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A3BAE8" w14:textId="77777777" w:rsidR="009A0EB3" w:rsidRDefault="009A0EB3" w:rsidP="00816E4C">
      <w:pPr>
        <w:pStyle w:val="Heading4"/>
      </w:pPr>
    </w:p>
    <w:p w14:paraId="5B461D50" w14:textId="77777777" w:rsidR="003E1929" w:rsidRDefault="003E1929" w:rsidP="003E1929">
      <w:pPr>
        <w:rPr>
          <w:lang w:val="en-IN" w:eastAsia="en-IN"/>
        </w:rPr>
      </w:pPr>
    </w:p>
    <w:p w14:paraId="2BDF6765" w14:textId="77777777" w:rsidR="003E1929" w:rsidRDefault="003E1929" w:rsidP="003E1929">
      <w:pPr>
        <w:rPr>
          <w:lang w:val="en-IN" w:eastAsia="en-IN"/>
        </w:rPr>
      </w:pPr>
    </w:p>
    <w:p w14:paraId="348E65A9" w14:textId="77777777" w:rsidR="003E1929" w:rsidRDefault="003E1929" w:rsidP="003E1929">
      <w:pPr>
        <w:rPr>
          <w:lang w:val="en-IN" w:eastAsia="en-IN"/>
        </w:rPr>
      </w:pPr>
    </w:p>
    <w:p w14:paraId="55DEC14F" w14:textId="77777777" w:rsidR="003E1929" w:rsidRPr="003E1929" w:rsidRDefault="003E1929" w:rsidP="003E1929">
      <w:pPr>
        <w:rPr>
          <w:lang w:val="en-IN" w:eastAsia="en-IN"/>
        </w:rPr>
      </w:pPr>
    </w:p>
    <w:p w14:paraId="5DAAE763" w14:textId="77777777" w:rsidR="009A0EB3" w:rsidRPr="002726A8" w:rsidRDefault="009A0EB3" w:rsidP="009A0EB3">
      <w:pPr>
        <w:spacing w:line="20" w:lineRule="atLeast"/>
        <w:jc w:val="center"/>
        <w:outlineLvl w:val="0"/>
        <w:rPr>
          <w:rFonts w:ascii="Garamond" w:hAnsi="Garamond"/>
          <w:b/>
          <w:color w:val="000080"/>
          <w:sz w:val="144"/>
          <w:szCs w:val="144"/>
        </w:rPr>
      </w:pPr>
      <w:r w:rsidRPr="002726A8">
        <w:rPr>
          <w:rFonts w:ascii="Garamond" w:hAnsi="Garamond"/>
          <w:b/>
          <w:color w:val="000080"/>
          <w:sz w:val="144"/>
          <w:szCs w:val="144"/>
        </w:rPr>
        <w:t>SEBI</w:t>
      </w:r>
    </w:p>
    <w:p w14:paraId="007BAC31" w14:textId="77777777" w:rsidR="009A0EB3" w:rsidRPr="002726A8" w:rsidRDefault="009A0EB3" w:rsidP="009A0EB3">
      <w:pPr>
        <w:spacing w:line="20" w:lineRule="atLeast"/>
        <w:jc w:val="center"/>
        <w:outlineLvl w:val="0"/>
        <w:rPr>
          <w:rFonts w:ascii="Garamond" w:hAnsi="Garamond"/>
          <w:b/>
          <w:color w:val="000080"/>
          <w:sz w:val="56"/>
          <w:szCs w:val="56"/>
        </w:rPr>
      </w:pPr>
      <w:r w:rsidRPr="002726A8">
        <w:rPr>
          <w:rFonts w:ascii="Garamond" w:hAnsi="Garamond"/>
          <w:b/>
          <w:color w:val="000080"/>
          <w:sz w:val="56"/>
          <w:szCs w:val="56"/>
        </w:rPr>
        <w:t>BULLETIN</w:t>
      </w:r>
    </w:p>
    <w:p w14:paraId="23898482" w14:textId="77777777" w:rsidR="002C3645" w:rsidRPr="009A0EB3" w:rsidRDefault="002C3645" w:rsidP="002C3645">
      <w:pPr>
        <w:spacing w:line="20" w:lineRule="atLeast"/>
        <w:jc w:val="center"/>
        <w:rPr>
          <w:rFonts w:ascii="Palatino Linotype" w:hAnsi="Palatino Linotype"/>
          <w:b/>
          <w:color w:val="000080"/>
          <w:sz w:val="22"/>
          <w:szCs w:val="22"/>
        </w:rPr>
      </w:pPr>
    </w:p>
    <w:p w14:paraId="6DAD2540" w14:textId="77777777" w:rsidR="002C3645" w:rsidRPr="009A0EB3" w:rsidRDefault="002C3645" w:rsidP="002C3645">
      <w:pPr>
        <w:spacing w:line="20" w:lineRule="atLeast"/>
        <w:jc w:val="center"/>
        <w:rPr>
          <w:rFonts w:ascii="Palatino Linotype" w:hAnsi="Palatino Linotype"/>
          <w:b/>
          <w:color w:val="000080"/>
          <w:sz w:val="22"/>
          <w:szCs w:val="22"/>
        </w:rPr>
      </w:pPr>
    </w:p>
    <w:p w14:paraId="267AEC2B" w14:textId="77777777" w:rsidR="002C3645" w:rsidRPr="009A0EB3" w:rsidRDefault="0060602C" w:rsidP="002C3645">
      <w:pPr>
        <w:spacing w:line="20" w:lineRule="atLeast"/>
        <w:jc w:val="center"/>
        <w:rPr>
          <w:rFonts w:ascii="Palatino Linotype" w:hAnsi="Palatino Linotype"/>
          <w:b/>
          <w:color w:val="FF0000"/>
          <w:sz w:val="22"/>
          <w:szCs w:val="22"/>
        </w:rPr>
      </w:pPr>
      <w:r>
        <w:rPr>
          <w:rFonts w:ascii="Palatino Linotype" w:hAnsi="Palatino Linotype"/>
          <w:b/>
          <w:color w:val="000080"/>
          <w:sz w:val="22"/>
          <w:szCs w:val="22"/>
        </w:rPr>
        <w:t>JU</w:t>
      </w:r>
      <w:r w:rsidR="00D33F7C">
        <w:rPr>
          <w:rFonts w:ascii="Palatino Linotype" w:hAnsi="Palatino Linotype"/>
          <w:b/>
          <w:color w:val="000080"/>
          <w:sz w:val="22"/>
          <w:szCs w:val="22"/>
        </w:rPr>
        <w:t>LY</w:t>
      </w:r>
      <w:r w:rsidR="001D4399">
        <w:rPr>
          <w:rFonts w:ascii="Palatino Linotype" w:hAnsi="Palatino Linotype"/>
          <w:b/>
          <w:color w:val="000080"/>
          <w:sz w:val="22"/>
          <w:szCs w:val="22"/>
        </w:rPr>
        <w:t xml:space="preserve"> </w:t>
      </w:r>
      <w:r w:rsidR="00074803">
        <w:rPr>
          <w:rFonts w:ascii="Palatino Linotype" w:hAnsi="Palatino Linotype"/>
          <w:b/>
          <w:color w:val="000080"/>
          <w:sz w:val="22"/>
          <w:szCs w:val="22"/>
        </w:rPr>
        <w:t>2</w:t>
      </w:r>
      <w:r w:rsidR="009B7E61">
        <w:rPr>
          <w:rFonts w:ascii="Palatino Linotype" w:hAnsi="Palatino Linotype"/>
          <w:b/>
          <w:color w:val="000080"/>
          <w:sz w:val="22"/>
          <w:szCs w:val="22"/>
        </w:rPr>
        <w:t>02</w:t>
      </w:r>
      <w:r w:rsidR="002361F1">
        <w:rPr>
          <w:rFonts w:ascii="Palatino Linotype" w:hAnsi="Palatino Linotype"/>
          <w:b/>
          <w:color w:val="000080"/>
          <w:sz w:val="22"/>
          <w:szCs w:val="22"/>
        </w:rPr>
        <w:t>1</w:t>
      </w:r>
      <w:r w:rsidR="008E4467">
        <w:rPr>
          <w:rFonts w:ascii="Palatino Linotype" w:hAnsi="Palatino Linotype"/>
          <w:b/>
          <w:color w:val="000080"/>
          <w:sz w:val="22"/>
          <w:szCs w:val="22"/>
        </w:rPr>
        <w:t xml:space="preserve">   VOL. 1</w:t>
      </w:r>
      <w:r w:rsidR="002361F1">
        <w:rPr>
          <w:rFonts w:ascii="Palatino Linotype" w:hAnsi="Palatino Linotype"/>
          <w:b/>
          <w:color w:val="000080"/>
          <w:sz w:val="22"/>
          <w:szCs w:val="22"/>
        </w:rPr>
        <w:t>9</w:t>
      </w:r>
      <w:r w:rsidR="008E4467">
        <w:rPr>
          <w:rFonts w:ascii="Palatino Linotype" w:hAnsi="Palatino Linotype"/>
          <w:b/>
          <w:color w:val="000080"/>
          <w:sz w:val="22"/>
          <w:szCs w:val="22"/>
        </w:rPr>
        <w:t xml:space="preserve">              </w:t>
      </w:r>
      <w:r w:rsidR="002C3645" w:rsidRPr="009A0EB3">
        <w:rPr>
          <w:rFonts w:ascii="Palatino Linotype" w:hAnsi="Palatino Linotype"/>
          <w:b/>
          <w:color w:val="000080"/>
          <w:sz w:val="22"/>
          <w:szCs w:val="22"/>
        </w:rPr>
        <w:t xml:space="preserve"> </w:t>
      </w:r>
      <w:r w:rsidR="00B20597">
        <w:rPr>
          <w:rFonts w:ascii="Palatino Linotype" w:hAnsi="Palatino Linotype"/>
          <w:b/>
          <w:color w:val="FF0000"/>
          <w:sz w:val="22"/>
          <w:szCs w:val="22"/>
        </w:rPr>
        <w:t xml:space="preserve">NUMBER </w:t>
      </w:r>
      <w:r w:rsidR="002361F1">
        <w:rPr>
          <w:rFonts w:ascii="Palatino Linotype" w:hAnsi="Palatino Linotype"/>
          <w:b/>
          <w:color w:val="FF0000"/>
          <w:sz w:val="22"/>
          <w:szCs w:val="22"/>
        </w:rPr>
        <w:t>0</w:t>
      </w:r>
      <w:r w:rsidR="00D33F7C">
        <w:rPr>
          <w:rFonts w:ascii="Palatino Linotype" w:hAnsi="Palatino Linotype"/>
          <w:b/>
          <w:color w:val="FF0000"/>
          <w:sz w:val="22"/>
          <w:szCs w:val="22"/>
        </w:rPr>
        <w:t>7</w:t>
      </w:r>
    </w:p>
    <w:p w14:paraId="54C2FCAB" w14:textId="77777777" w:rsidR="002C3645" w:rsidRPr="009A0EB3" w:rsidRDefault="002C3645" w:rsidP="002C3645">
      <w:pPr>
        <w:spacing w:line="20" w:lineRule="atLeast"/>
        <w:jc w:val="center"/>
        <w:rPr>
          <w:rFonts w:ascii="Palatino Linotype" w:hAnsi="Palatino Linotype"/>
          <w:b/>
          <w:color w:val="000080"/>
          <w:sz w:val="22"/>
          <w:szCs w:val="22"/>
        </w:rPr>
      </w:pPr>
    </w:p>
    <w:p w14:paraId="57641E29" w14:textId="77777777" w:rsidR="002C3645" w:rsidRPr="009A0EB3" w:rsidRDefault="002C3645" w:rsidP="002C3645">
      <w:pPr>
        <w:spacing w:line="20" w:lineRule="atLeast"/>
        <w:jc w:val="center"/>
        <w:rPr>
          <w:rFonts w:ascii="Palatino Linotype" w:hAnsi="Palatino Linotype"/>
          <w:b/>
          <w:color w:val="000080"/>
          <w:sz w:val="22"/>
          <w:szCs w:val="22"/>
        </w:rPr>
      </w:pPr>
    </w:p>
    <w:p w14:paraId="36E5F645" w14:textId="77777777" w:rsidR="002C3645" w:rsidRPr="009A0EB3" w:rsidRDefault="002C3645" w:rsidP="002C3645">
      <w:pPr>
        <w:spacing w:line="20" w:lineRule="atLeast"/>
        <w:jc w:val="center"/>
        <w:rPr>
          <w:rFonts w:ascii="Palatino Linotype" w:hAnsi="Palatino Linotype"/>
          <w:b/>
          <w:color w:val="000080"/>
          <w:sz w:val="22"/>
          <w:szCs w:val="22"/>
        </w:rPr>
      </w:pPr>
    </w:p>
    <w:p w14:paraId="2F2573B5" w14:textId="77777777" w:rsidR="002C3645" w:rsidRPr="009A0EB3" w:rsidRDefault="002C3645" w:rsidP="002C3645">
      <w:pPr>
        <w:spacing w:line="20" w:lineRule="atLeast"/>
        <w:jc w:val="center"/>
        <w:rPr>
          <w:rFonts w:ascii="Palatino Linotype" w:hAnsi="Palatino Linotype"/>
          <w:b/>
          <w:color w:val="000080"/>
          <w:sz w:val="22"/>
          <w:szCs w:val="22"/>
        </w:rPr>
      </w:pPr>
    </w:p>
    <w:p w14:paraId="4AD4BAE6" w14:textId="77777777" w:rsidR="002C3645" w:rsidRPr="009A0EB3" w:rsidRDefault="002C3645" w:rsidP="002C3645">
      <w:pPr>
        <w:spacing w:line="20" w:lineRule="atLeast"/>
        <w:jc w:val="center"/>
        <w:rPr>
          <w:rFonts w:ascii="Palatino Linotype" w:hAnsi="Palatino Linotype"/>
          <w:b/>
          <w:color w:val="000080"/>
          <w:sz w:val="22"/>
          <w:szCs w:val="22"/>
        </w:rPr>
      </w:pPr>
    </w:p>
    <w:p w14:paraId="5E12E2B8" w14:textId="77777777" w:rsidR="002C3645" w:rsidRPr="009A0EB3" w:rsidRDefault="002C3645" w:rsidP="002C3645">
      <w:pPr>
        <w:spacing w:line="20" w:lineRule="atLeast"/>
        <w:jc w:val="center"/>
        <w:rPr>
          <w:rFonts w:ascii="Palatino Linotype" w:hAnsi="Palatino Linotype"/>
          <w:b/>
          <w:color w:val="000080"/>
          <w:sz w:val="22"/>
          <w:szCs w:val="22"/>
        </w:rPr>
      </w:pPr>
    </w:p>
    <w:p w14:paraId="15908C88" w14:textId="77777777" w:rsidR="002C3645" w:rsidRPr="009A0EB3" w:rsidRDefault="002C3645" w:rsidP="002C3645">
      <w:pPr>
        <w:spacing w:line="20" w:lineRule="atLeast"/>
        <w:jc w:val="center"/>
        <w:rPr>
          <w:rFonts w:ascii="Palatino Linotype" w:hAnsi="Palatino Linotype"/>
          <w:b/>
          <w:color w:val="000080"/>
          <w:sz w:val="22"/>
          <w:szCs w:val="22"/>
        </w:rPr>
      </w:pPr>
    </w:p>
    <w:p w14:paraId="656BEF28" w14:textId="77777777" w:rsidR="002C3645" w:rsidRPr="009A0EB3" w:rsidRDefault="002C3645" w:rsidP="002C3645">
      <w:pPr>
        <w:spacing w:line="20" w:lineRule="atLeast"/>
        <w:jc w:val="center"/>
        <w:rPr>
          <w:rFonts w:ascii="Palatino Linotype" w:hAnsi="Palatino Linotype"/>
          <w:b/>
          <w:color w:val="000080"/>
          <w:sz w:val="22"/>
          <w:szCs w:val="22"/>
        </w:rPr>
      </w:pPr>
      <w:r w:rsidRPr="009A0EB3">
        <w:rPr>
          <w:rFonts w:ascii="Palatino Linotype" w:hAnsi="Palatino Linotype"/>
          <w:b/>
          <w:color w:val="000080"/>
          <w:sz w:val="22"/>
          <w:szCs w:val="22"/>
        </w:rPr>
        <w:t>(LOGO)</w:t>
      </w:r>
    </w:p>
    <w:p w14:paraId="78C2C2BF" w14:textId="77777777" w:rsidR="0018049A" w:rsidRPr="009A0EB3" w:rsidRDefault="0018049A" w:rsidP="00B25DA6">
      <w:pPr>
        <w:jc w:val="center"/>
        <w:outlineLvl w:val="0"/>
        <w:rPr>
          <w:rFonts w:ascii="Palatino Linotype" w:hAnsi="Palatino Linotype" w:cs="Helvetica"/>
          <w:b/>
          <w:color w:val="000099"/>
          <w:sz w:val="22"/>
          <w:szCs w:val="22"/>
        </w:rPr>
      </w:pPr>
    </w:p>
    <w:p w14:paraId="62B604D5" w14:textId="77777777" w:rsidR="002C3645" w:rsidRPr="009A0EB3" w:rsidRDefault="002C3645" w:rsidP="00B25DA6">
      <w:pPr>
        <w:jc w:val="center"/>
        <w:outlineLvl w:val="0"/>
        <w:rPr>
          <w:rFonts w:ascii="Palatino Linotype" w:hAnsi="Palatino Linotype" w:cs="Helvetica"/>
          <w:b/>
          <w:color w:val="000099"/>
          <w:sz w:val="22"/>
          <w:szCs w:val="22"/>
        </w:rPr>
      </w:pPr>
    </w:p>
    <w:p w14:paraId="7BE44B7F" w14:textId="77777777" w:rsidR="002C3645" w:rsidRPr="009A0EB3" w:rsidRDefault="002C3645" w:rsidP="00B25DA6">
      <w:pPr>
        <w:jc w:val="center"/>
        <w:outlineLvl w:val="0"/>
        <w:rPr>
          <w:rFonts w:ascii="Palatino Linotype" w:hAnsi="Palatino Linotype" w:cs="Helvetica"/>
          <w:b/>
          <w:color w:val="000099"/>
          <w:sz w:val="22"/>
          <w:szCs w:val="22"/>
        </w:rPr>
      </w:pPr>
    </w:p>
    <w:p w14:paraId="00314B77" w14:textId="77777777" w:rsidR="002C3645" w:rsidRPr="009A0EB3" w:rsidRDefault="002C3645" w:rsidP="00B25DA6">
      <w:pPr>
        <w:jc w:val="center"/>
        <w:outlineLvl w:val="0"/>
        <w:rPr>
          <w:rFonts w:ascii="Palatino Linotype" w:hAnsi="Palatino Linotype" w:cs="Helvetica"/>
          <w:b/>
          <w:color w:val="000099"/>
          <w:sz w:val="22"/>
          <w:szCs w:val="22"/>
        </w:rPr>
      </w:pPr>
    </w:p>
    <w:p w14:paraId="7E28BF50" w14:textId="77777777" w:rsidR="002C3645" w:rsidRPr="009A0EB3" w:rsidRDefault="002C3645" w:rsidP="00B25DA6">
      <w:pPr>
        <w:jc w:val="center"/>
        <w:outlineLvl w:val="0"/>
        <w:rPr>
          <w:rFonts w:ascii="Palatino Linotype" w:hAnsi="Palatino Linotype" w:cs="Helvetica"/>
          <w:b/>
          <w:color w:val="000099"/>
          <w:sz w:val="22"/>
          <w:szCs w:val="22"/>
        </w:rPr>
      </w:pPr>
    </w:p>
    <w:p w14:paraId="7C404AE9" w14:textId="77777777" w:rsidR="002C3645" w:rsidRPr="009A0EB3" w:rsidRDefault="002C3645" w:rsidP="00B25DA6">
      <w:pPr>
        <w:jc w:val="center"/>
        <w:outlineLvl w:val="0"/>
        <w:rPr>
          <w:rFonts w:ascii="Palatino Linotype" w:hAnsi="Palatino Linotype" w:cs="Helvetica"/>
          <w:b/>
          <w:color w:val="000099"/>
          <w:sz w:val="22"/>
          <w:szCs w:val="22"/>
        </w:rPr>
      </w:pPr>
    </w:p>
    <w:p w14:paraId="4986B59E" w14:textId="77777777" w:rsidR="002C3645" w:rsidRPr="009A0EB3" w:rsidRDefault="002C3645" w:rsidP="00B25DA6">
      <w:pPr>
        <w:jc w:val="center"/>
        <w:outlineLvl w:val="0"/>
        <w:rPr>
          <w:rFonts w:ascii="Palatino Linotype" w:hAnsi="Palatino Linotype" w:cs="Helvetica"/>
          <w:b/>
          <w:color w:val="000099"/>
          <w:sz w:val="22"/>
          <w:szCs w:val="22"/>
        </w:rPr>
      </w:pPr>
    </w:p>
    <w:p w14:paraId="4FF25AAB" w14:textId="77777777" w:rsidR="002C3645" w:rsidRPr="009A0EB3" w:rsidRDefault="002C3645" w:rsidP="00B25DA6">
      <w:pPr>
        <w:jc w:val="center"/>
        <w:outlineLvl w:val="0"/>
        <w:rPr>
          <w:rFonts w:ascii="Palatino Linotype" w:hAnsi="Palatino Linotype" w:cs="Helvetica"/>
          <w:b/>
          <w:color w:val="000099"/>
          <w:sz w:val="22"/>
          <w:szCs w:val="22"/>
        </w:rPr>
      </w:pPr>
    </w:p>
    <w:p w14:paraId="1F8D3E05" w14:textId="77777777" w:rsidR="002C3645" w:rsidRPr="009A0EB3" w:rsidRDefault="002C3645" w:rsidP="00B25DA6">
      <w:pPr>
        <w:jc w:val="center"/>
        <w:outlineLvl w:val="0"/>
        <w:rPr>
          <w:rFonts w:ascii="Palatino Linotype" w:hAnsi="Palatino Linotype" w:cs="Helvetica"/>
          <w:b/>
          <w:color w:val="000099"/>
          <w:sz w:val="22"/>
          <w:szCs w:val="22"/>
        </w:rPr>
      </w:pPr>
    </w:p>
    <w:p w14:paraId="08910EE0" w14:textId="77777777" w:rsidR="002C3645" w:rsidRPr="009A0EB3" w:rsidRDefault="002C3645" w:rsidP="00B25DA6">
      <w:pPr>
        <w:jc w:val="center"/>
        <w:outlineLvl w:val="0"/>
        <w:rPr>
          <w:rFonts w:ascii="Palatino Linotype" w:hAnsi="Palatino Linotype" w:cs="Helvetica"/>
          <w:b/>
          <w:color w:val="000099"/>
          <w:sz w:val="22"/>
          <w:szCs w:val="22"/>
        </w:rPr>
      </w:pPr>
    </w:p>
    <w:p w14:paraId="3FF45EAC" w14:textId="77777777" w:rsidR="002C3645" w:rsidRPr="009A0EB3" w:rsidRDefault="002C3645" w:rsidP="00B25DA6">
      <w:pPr>
        <w:jc w:val="center"/>
        <w:outlineLvl w:val="0"/>
        <w:rPr>
          <w:rFonts w:ascii="Palatino Linotype" w:hAnsi="Palatino Linotype" w:cs="Helvetica"/>
          <w:b/>
          <w:color w:val="000099"/>
          <w:sz w:val="22"/>
          <w:szCs w:val="22"/>
        </w:rPr>
      </w:pPr>
    </w:p>
    <w:p w14:paraId="1CE0C846" w14:textId="77777777" w:rsidR="002C3645" w:rsidRPr="009A0EB3" w:rsidRDefault="002C3645" w:rsidP="00B25DA6">
      <w:pPr>
        <w:jc w:val="center"/>
        <w:outlineLvl w:val="0"/>
        <w:rPr>
          <w:rFonts w:ascii="Palatino Linotype" w:hAnsi="Palatino Linotype" w:cs="Helvetica"/>
          <w:b/>
          <w:color w:val="000099"/>
          <w:sz w:val="22"/>
          <w:szCs w:val="22"/>
        </w:rPr>
      </w:pPr>
    </w:p>
    <w:p w14:paraId="766FEC75" w14:textId="77777777" w:rsidR="002C3645" w:rsidRPr="009A0EB3" w:rsidRDefault="002C3645" w:rsidP="00B25DA6">
      <w:pPr>
        <w:jc w:val="center"/>
        <w:outlineLvl w:val="0"/>
        <w:rPr>
          <w:rFonts w:ascii="Palatino Linotype" w:hAnsi="Palatino Linotype" w:cs="Helvetica"/>
          <w:b/>
          <w:color w:val="000099"/>
          <w:sz w:val="22"/>
          <w:szCs w:val="22"/>
        </w:rPr>
      </w:pPr>
    </w:p>
    <w:p w14:paraId="3ECF4C33" w14:textId="77777777" w:rsidR="002C3645" w:rsidRPr="009A0EB3" w:rsidRDefault="002C3645" w:rsidP="00B25DA6">
      <w:pPr>
        <w:jc w:val="center"/>
        <w:outlineLvl w:val="0"/>
        <w:rPr>
          <w:rFonts w:ascii="Palatino Linotype" w:hAnsi="Palatino Linotype" w:cs="Helvetica"/>
          <w:b/>
          <w:color w:val="000099"/>
          <w:sz w:val="22"/>
          <w:szCs w:val="22"/>
        </w:rPr>
      </w:pPr>
    </w:p>
    <w:p w14:paraId="31AB1892" w14:textId="77777777" w:rsidR="002C3645" w:rsidRPr="009A0EB3" w:rsidRDefault="002C3645" w:rsidP="00B25DA6">
      <w:pPr>
        <w:jc w:val="center"/>
        <w:outlineLvl w:val="0"/>
        <w:rPr>
          <w:rFonts w:ascii="Palatino Linotype" w:hAnsi="Palatino Linotype" w:cs="Helvetica"/>
          <w:b/>
          <w:color w:val="000099"/>
          <w:sz w:val="22"/>
          <w:szCs w:val="22"/>
        </w:rPr>
      </w:pPr>
    </w:p>
    <w:p w14:paraId="0BDA5CED" w14:textId="77777777" w:rsidR="002C3645" w:rsidRPr="009A0EB3" w:rsidRDefault="002C3645" w:rsidP="00B25DA6">
      <w:pPr>
        <w:jc w:val="center"/>
        <w:outlineLvl w:val="0"/>
        <w:rPr>
          <w:rFonts w:ascii="Palatino Linotype" w:hAnsi="Palatino Linotype" w:cs="Helvetica"/>
          <w:b/>
          <w:color w:val="000099"/>
          <w:sz w:val="22"/>
          <w:szCs w:val="22"/>
        </w:rPr>
      </w:pPr>
    </w:p>
    <w:p w14:paraId="532BB94D" w14:textId="77777777" w:rsidR="002C3645" w:rsidRDefault="002C3645" w:rsidP="00B25DA6">
      <w:pPr>
        <w:jc w:val="center"/>
        <w:outlineLvl w:val="0"/>
        <w:rPr>
          <w:rFonts w:ascii="Palatino Linotype" w:hAnsi="Palatino Linotype" w:cs="Helvetica"/>
          <w:b/>
          <w:color w:val="000099"/>
          <w:sz w:val="22"/>
          <w:szCs w:val="22"/>
        </w:rPr>
      </w:pPr>
    </w:p>
    <w:p w14:paraId="4F70AA92" w14:textId="77777777" w:rsidR="002E18B1" w:rsidRDefault="002E18B1" w:rsidP="00B25DA6">
      <w:pPr>
        <w:jc w:val="center"/>
        <w:outlineLvl w:val="0"/>
        <w:rPr>
          <w:rFonts w:ascii="Palatino Linotype" w:hAnsi="Palatino Linotype" w:cs="Helvetica"/>
          <w:b/>
          <w:color w:val="000099"/>
          <w:sz w:val="22"/>
          <w:szCs w:val="22"/>
        </w:rPr>
      </w:pPr>
    </w:p>
    <w:p w14:paraId="304C7696" w14:textId="77777777" w:rsidR="002E18B1" w:rsidRDefault="002E18B1" w:rsidP="00B25DA6">
      <w:pPr>
        <w:jc w:val="center"/>
        <w:outlineLvl w:val="0"/>
        <w:rPr>
          <w:rFonts w:ascii="Palatino Linotype" w:hAnsi="Palatino Linotype" w:cs="Helvetica"/>
          <w:b/>
          <w:color w:val="000099"/>
          <w:sz w:val="22"/>
          <w:szCs w:val="22"/>
        </w:rPr>
      </w:pPr>
    </w:p>
    <w:p w14:paraId="006E2047" w14:textId="77777777" w:rsidR="002E18B1" w:rsidRPr="009A0EB3" w:rsidRDefault="002E18B1" w:rsidP="00B25DA6">
      <w:pPr>
        <w:jc w:val="center"/>
        <w:outlineLvl w:val="0"/>
        <w:rPr>
          <w:rFonts w:ascii="Palatino Linotype" w:hAnsi="Palatino Linotype" w:cs="Helvetica"/>
          <w:b/>
          <w:color w:val="000099"/>
          <w:sz w:val="22"/>
          <w:szCs w:val="22"/>
        </w:rPr>
      </w:pPr>
    </w:p>
    <w:p w14:paraId="1BD8F7B9" w14:textId="77777777" w:rsidR="002C3645" w:rsidRDefault="002C3645" w:rsidP="00B25DA6">
      <w:pPr>
        <w:jc w:val="center"/>
        <w:outlineLvl w:val="0"/>
        <w:rPr>
          <w:rFonts w:ascii="Palatino Linotype" w:hAnsi="Palatino Linotype" w:cs="Helvetica"/>
          <w:b/>
          <w:color w:val="000099"/>
          <w:sz w:val="22"/>
          <w:szCs w:val="22"/>
        </w:rPr>
      </w:pPr>
    </w:p>
    <w:p w14:paraId="6DA422F6" w14:textId="77777777" w:rsidR="00434487" w:rsidRPr="009A0EB3" w:rsidRDefault="00434487" w:rsidP="00B25DA6">
      <w:pPr>
        <w:jc w:val="center"/>
        <w:outlineLvl w:val="0"/>
        <w:rPr>
          <w:rFonts w:ascii="Palatino Linotype" w:hAnsi="Palatino Linotype" w:cs="Helvetica"/>
          <w:b/>
          <w:color w:val="000099"/>
          <w:sz w:val="22"/>
          <w:szCs w:val="22"/>
        </w:rPr>
      </w:pPr>
    </w:p>
    <w:p w14:paraId="4CDE29E5" w14:textId="77777777" w:rsidR="002C3645" w:rsidRPr="009A0EB3" w:rsidRDefault="002C3645" w:rsidP="00B25DA6">
      <w:pPr>
        <w:jc w:val="center"/>
        <w:outlineLvl w:val="0"/>
        <w:rPr>
          <w:rFonts w:ascii="Palatino Linotype" w:hAnsi="Palatino Linotype" w:cs="Helvetica"/>
          <w:b/>
          <w:color w:val="000099"/>
          <w:sz w:val="22"/>
          <w:szCs w:val="22"/>
        </w:rPr>
      </w:pPr>
    </w:p>
    <w:p w14:paraId="01FA156E" w14:textId="77777777" w:rsidR="002C3645" w:rsidRDefault="002C3645" w:rsidP="00B25DA6">
      <w:pPr>
        <w:jc w:val="center"/>
        <w:outlineLvl w:val="0"/>
        <w:rPr>
          <w:rFonts w:ascii="Palatino Linotype" w:hAnsi="Palatino Linotype" w:cs="Helvetica"/>
          <w:b/>
          <w:color w:val="000099"/>
          <w:sz w:val="22"/>
          <w:szCs w:val="22"/>
        </w:rPr>
      </w:pPr>
    </w:p>
    <w:p w14:paraId="7214CB44" w14:textId="77777777" w:rsidR="008E4467" w:rsidRPr="009A0EB3" w:rsidRDefault="008E4467" w:rsidP="00B25DA6">
      <w:pPr>
        <w:jc w:val="center"/>
        <w:outlineLvl w:val="0"/>
        <w:rPr>
          <w:rFonts w:ascii="Palatino Linotype" w:hAnsi="Palatino Linotype" w:cs="Helvetica"/>
          <w:b/>
          <w:color w:val="000099"/>
          <w:sz w:val="22"/>
          <w:szCs w:val="22"/>
        </w:rPr>
      </w:pPr>
    </w:p>
    <w:p w14:paraId="22C6D34A" w14:textId="77777777" w:rsidR="002C3645" w:rsidRPr="009A0EB3" w:rsidRDefault="002C3645" w:rsidP="00B25DA6">
      <w:pPr>
        <w:jc w:val="center"/>
        <w:outlineLvl w:val="0"/>
        <w:rPr>
          <w:rFonts w:ascii="Palatino Linotype" w:hAnsi="Palatino Linotype" w:cs="Helvetica"/>
          <w:b/>
          <w:color w:val="000099"/>
          <w:sz w:val="22"/>
          <w:szCs w:val="22"/>
        </w:rPr>
      </w:pPr>
    </w:p>
    <w:p w14:paraId="40A4715C" w14:textId="77777777" w:rsidR="002C3645" w:rsidRPr="009A0EB3" w:rsidRDefault="002C3645" w:rsidP="00B25DA6">
      <w:pPr>
        <w:jc w:val="center"/>
        <w:outlineLvl w:val="0"/>
        <w:rPr>
          <w:rFonts w:ascii="Palatino Linotype" w:hAnsi="Palatino Linotype" w:cs="Helvetica"/>
          <w:b/>
          <w:color w:val="000099"/>
          <w:sz w:val="22"/>
          <w:szCs w:val="22"/>
        </w:rPr>
      </w:pPr>
    </w:p>
    <w:p w14:paraId="7F9DA817" w14:textId="77777777" w:rsidR="002C3645" w:rsidRPr="009A0EB3" w:rsidRDefault="002C3645" w:rsidP="002C3645">
      <w:pPr>
        <w:spacing w:line="20" w:lineRule="atLeast"/>
        <w:jc w:val="center"/>
        <w:rPr>
          <w:rFonts w:ascii="Palatino Linotype" w:hAnsi="Palatino Linotype"/>
          <w:b/>
          <w:color w:val="000080"/>
          <w:sz w:val="22"/>
          <w:szCs w:val="22"/>
        </w:rPr>
      </w:pPr>
      <w:r w:rsidRPr="009A0EB3">
        <w:rPr>
          <w:rFonts w:ascii="Palatino Linotype" w:hAnsi="Palatino Linotype"/>
          <w:b/>
          <w:color w:val="000080"/>
          <w:sz w:val="22"/>
          <w:szCs w:val="22"/>
        </w:rPr>
        <w:t>SECURITIES AND EXCHANGE BOARD OF INDIA</w:t>
      </w:r>
    </w:p>
    <w:p w14:paraId="5E467A1B" w14:textId="77777777" w:rsidR="002C3645" w:rsidRPr="009A0EB3" w:rsidRDefault="002C3645" w:rsidP="002C3645">
      <w:pPr>
        <w:spacing w:line="20" w:lineRule="atLeast"/>
        <w:jc w:val="both"/>
        <w:rPr>
          <w:rFonts w:ascii="Palatino Linotype" w:hAnsi="Palatino Linotype"/>
          <w:color w:val="FF0000"/>
          <w:sz w:val="22"/>
          <w:szCs w:val="22"/>
        </w:rPr>
      </w:pPr>
    </w:p>
    <w:p w14:paraId="50C75279" w14:textId="77777777" w:rsidR="009A0EB3" w:rsidRPr="009A0EB3" w:rsidRDefault="009A0EB3" w:rsidP="002C3645">
      <w:pPr>
        <w:spacing w:line="20" w:lineRule="atLeast"/>
        <w:rPr>
          <w:rFonts w:ascii="Palatino Linotype" w:hAnsi="Palatino Linotype"/>
          <w:b/>
          <w:sz w:val="22"/>
          <w:szCs w:val="22"/>
        </w:rPr>
      </w:pPr>
    </w:p>
    <w:p w14:paraId="09B3BEAE" w14:textId="77777777" w:rsidR="002C3645" w:rsidRPr="009A0EB3" w:rsidRDefault="002C3645" w:rsidP="002C3645">
      <w:pPr>
        <w:spacing w:line="20" w:lineRule="atLeast"/>
        <w:rPr>
          <w:rFonts w:ascii="Palatino Linotype" w:hAnsi="Palatino Linotype"/>
          <w:b/>
          <w:sz w:val="22"/>
          <w:szCs w:val="22"/>
        </w:rPr>
      </w:pPr>
      <w:r w:rsidRPr="009A0EB3">
        <w:rPr>
          <w:rFonts w:ascii="Palatino Linotype" w:hAnsi="Palatino Linotype"/>
          <w:b/>
          <w:sz w:val="22"/>
          <w:szCs w:val="22"/>
        </w:rPr>
        <w:t xml:space="preserve">EDITORIAL COMMITTEE </w:t>
      </w:r>
      <w:r w:rsidR="009A0EB3" w:rsidRPr="009A0EB3">
        <w:rPr>
          <w:rFonts w:ascii="Palatino Linotype" w:hAnsi="Palatino Linotype"/>
          <w:b/>
          <w:sz w:val="22"/>
          <w:szCs w:val="22"/>
        </w:rPr>
        <w:br/>
      </w:r>
    </w:p>
    <w:p w14:paraId="4FA6E111" w14:textId="77777777" w:rsidR="00E4439E" w:rsidRDefault="00E4439E" w:rsidP="002C3645">
      <w:pPr>
        <w:spacing w:line="20" w:lineRule="atLeast"/>
        <w:jc w:val="both"/>
        <w:outlineLvl w:val="0"/>
        <w:rPr>
          <w:rFonts w:ascii="Palatino Linotype" w:hAnsi="Palatino Linotype"/>
          <w:b/>
          <w:sz w:val="22"/>
          <w:szCs w:val="22"/>
        </w:rPr>
      </w:pPr>
      <w:r w:rsidRPr="009E322F">
        <w:rPr>
          <w:rFonts w:ascii="Palatino Linotype" w:eastAsia="Times New Roman" w:hAnsi="Palatino Linotype"/>
          <w:b/>
          <w:sz w:val="22"/>
          <w:szCs w:val="22"/>
        </w:rPr>
        <w:t xml:space="preserve">Shri </w:t>
      </w:r>
      <w:r w:rsidRPr="00FE77E0">
        <w:rPr>
          <w:rFonts w:ascii="Palatino Linotype" w:eastAsia="Times New Roman" w:hAnsi="Palatino Linotype"/>
          <w:b/>
          <w:sz w:val="22"/>
          <w:szCs w:val="22"/>
        </w:rPr>
        <w:t>Amarjeet Singh</w:t>
      </w:r>
      <w:r w:rsidRPr="009A0EB3">
        <w:rPr>
          <w:rFonts w:ascii="Palatino Linotype" w:hAnsi="Palatino Linotype"/>
          <w:b/>
          <w:sz w:val="22"/>
          <w:szCs w:val="22"/>
        </w:rPr>
        <w:t xml:space="preserve"> </w:t>
      </w:r>
    </w:p>
    <w:p w14:paraId="50152A6F" w14:textId="77777777" w:rsidR="002C3645" w:rsidRDefault="002C3645" w:rsidP="002C3645">
      <w:pPr>
        <w:spacing w:line="20" w:lineRule="atLeast"/>
        <w:jc w:val="both"/>
        <w:outlineLvl w:val="0"/>
        <w:rPr>
          <w:rFonts w:ascii="Palatino Linotype" w:hAnsi="Palatino Linotype"/>
          <w:b/>
          <w:sz w:val="22"/>
          <w:szCs w:val="22"/>
        </w:rPr>
      </w:pPr>
      <w:r w:rsidRPr="009A0EB3">
        <w:rPr>
          <w:rFonts w:ascii="Palatino Linotype" w:hAnsi="Palatino Linotype"/>
          <w:b/>
          <w:sz w:val="22"/>
          <w:szCs w:val="22"/>
        </w:rPr>
        <w:t xml:space="preserve">Dr. </w:t>
      </w:r>
      <w:r w:rsidR="004A4D62">
        <w:rPr>
          <w:rFonts w:ascii="Palatino Linotype" w:hAnsi="Palatino Linotype"/>
          <w:b/>
          <w:sz w:val="22"/>
          <w:szCs w:val="22"/>
        </w:rPr>
        <w:t xml:space="preserve"> </w:t>
      </w:r>
      <w:r w:rsidRPr="009A0EB3">
        <w:rPr>
          <w:rFonts w:ascii="Palatino Linotype" w:hAnsi="Palatino Linotype"/>
          <w:b/>
          <w:sz w:val="22"/>
          <w:szCs w:val="22"/>
        </w:rPr>
        <w:t>Prabhakar R. Patil</w:t>
      </w:r>
    </w:p>
    <w:p w14:paraId="5709B552" w14:textId="77777777" w:rsidR="00E71481" w:rsidRDefault="00E71481" w:rsidP="002C3645">
      <w:pPr>
        <w:spacing w:line="20" w:lineRule="atLeast"/>
        <w:jc w:val="both"/>
        <w:outlineLvl w:val="0"/>
        <w:rPr>
          <w:rFonts w:ascii="Palatino Linotype" w:hAnsi="Palatino Linotype"/>
          <w:b/>
          <w:sz w:val="22"/>
          <w:szCs w:val="22"/>
        </w:rPr>
      </w:pPr>
      <w:r>
        <w:rPr>
          <w:rFonts w:ascii="Palatino Linotype" w:hAnsi="Palatino Linotype"/>
          <w:b/>
          <w:sz w:val="22"/>
          <w:szCs w:val="22"/>
        </w:rPr>
        <w:t>Shri Prabhas Rath</w:t>
      </w:r>
    </w:p>
    <w:p w14:paraId="2A7DF231" w14:textId="77777777" w:rsidR="00012FAA" w:rsidRPr="009A0EB3" w:rsidRDefault="00012FAA" w:rsidP="002C3645">
      <w:pPr>
        <w:spacing w:line="20" w:lineRule="atLeast"/>
        <w:jc w:val="both"/>
        <w:outlineLvl w:val="0"/>
        <w:rPr>
          <w:rFonts w:ascii="Palatino Linotype" w:hAnsi="Palatino Linotype"/>
          <w:b/>
          <w:sz w:val="22"/>
          <w:szCs w:val="22"/>
        </w:rPr>
      </w:pPr>
      <w:r>
        <w:rPr>
          <w:rFonts w:ascii="Palatino Linotype" w:hAnsi="Palatino Linotype"/>
          <w:b/>
          <w:sz w:val="22"/>
          <w:szCs w:val="22"/>
        </w:rPr>
        <w:t>Ms. Sangeeta Rathod</w:t>
      </w:r>
    </w:p>
    <w:p w14:paraId="3CC10EC1" w14:textId="77777777" w:rsidR="002C3645" w:rsidRPr="009A0EB3" w:rsidRDefault="00FD1851" w:rsidP="002C3645">
      <w:pPr>
        <w:spacing w:line="20" w:lineRule="atLeast"/>
        <w:jc w:val="both"/>
        <w:outlineLvl w:val="0"/>
        <w:rPr>
          <w:rFonts w:ascii="Palatino Linotype" w:hAnsi="Palatino Linotype"/>
          <w:b/>
          <w:sz w:val="22"/>
          <w:szCs w:val="22"/>
        </w:rPr>
      </w:pPr>
      <w:r>
        <w:rPr>
          <w:rFonts w:ascii="Palatino Linotype" w:hAnsi="Palatino Linotype"/>
          <w:b/>
          <w:sz w:val="22"/>
          <w:szCs w:val="22"/>
        </w:rPr>
        <w:t>Ms. Deepthi L.S.</w:t>
      </w:r>
    </w:p>
    <w:p w14:paraId="555FCA7E" w14:textId="77777777" w:rsidR="002C3645" w:rsidRPr="009A0EB3" w:rsidRDefault="00FD1851" w:rsidP="002C3645">
      <w:pPr>
        <w:spacing w:line="20" w:lineRule="atLeast"/>
        <w:jc w:val="both"/>
        <w:outlineLvl w:val="0"/>
        <w:rPr>
          <w:rFonts w:ascii="Palatino Linotype" w:hAnsi="Palatino Linotype"/>
          <w:b/>
          <w:sz w:val="22"/>
          <w:szCs w:val="22"/>
        </w:rPr>
      </w:pPr>
      <w:r>
        <w:rPr>
          <w:rFonts w:ascii="Palatino Linotype" w:hAnsi="Palatino Linotype"/>
          <w:b/>
          <w:sz w:val="22"/>
          <w:szCs w:val="22"/>
        </w:rPr>
        <w:t>Dr.</w:t>
      </w:r>
      <w:r w:rsidR="002C3645" w:rsidRPr="009A0EB3">
        <w:rPr>
          <w:rFonts w:ascii="Palatino Linotype" w:hAnsi="Palatino Linotype"/>
          <w:b/>
          <w:sz w:val="22"/>
          <w:szCs w:val="22"/>
        </w:rPr>
        <w:t xml:space="preserve"> </w:t>
      </w:r>
      <w:r>
        <w:rPr>
          <w:rFonts w:ascii="Palatino Linotype" w:hAnsi="Palatino Linotype"/>
          <w:b/>
          <w:sz w:val="22"/>
          <w:szCs w:val="22"/>
        </w:rPr>
        <w:t xml:space="preserve"> Deepali Dixit</w:t>
      </w:r>
    </w:p>
    <w:p w14:paraId="56E82F72" w14:textId="77777777" w:rsidR="002C3645" w:rsidRPr="009A0EB3" w:rsidRDefault="00E71481" w:rsidP="002C3645">
      <w:pPr>
        <w:spacing w:line="20" w:lineRule="atLeast"/>
        <w:jc w:val="both"/>
        <w:outlineLvl w:val="0"/>
        <w:rPr>
          <w:rFonts w:ascii="Palatino Linotype" w:hAnsi="Palatino Linotype"/>
          <w:b/>
          <w:sz w:val="22"/>
          <w:szCs w:val="22"/>
        </w:rPr>
      </w:pPr>
      <w:r>
        <w:rPr>
          <w:rFonts w:ascii="Palatino Linotype" w:hAnsi="Palatino Linotype"/>
          <w:b/>
          <w:sz w:val="22"/>
          <w:szCs w:val="22"/>
        </w:rPr>
        <w:t>Shri</w:t>
      </w:r>
      <w:r w:rsidR="002C3645" w:rsidRPr="009A0EB3">
        <w:rPr>
          <w:rFonts w:ascii="Palatino Linotype" w:hAnsi="Palatino Linotype"/>
          <w:b/>
          <w:sz w:val="22"/>
          <w:szCs w:val="22"/>
        </w:rPr>
        <w:t xml:space="preserve"> </w:t>
      </w:r>
      <w:r w:rsidR="00FD1851">
        <w:rPr>
          <w:rFonts w:ascii="Palatino Linotype" w:hAnsi="Palatino Linotype"/>
          <w:b/>
          <w:sz w:val="22"/>
          <w:szCs w:val="22"/>
        </w:rPr>
        <w:t>Jitendra Kumar</w:t>
      </w:r>
    </w:p>
    <w:p w14:paraId="247102EE" w14:textId="77777777" w:rsidR="002C3645" w:rsidRPr="009A0EB3" w:rsidRDefault="002C3645" w:rsidP="002C3645">
      <w:pPr>
        <w:spacing w:line="20" w:lineRule="atLeast"/>
        <w:jc w:val="both"/>
        <w:outlineLvl w:val="0"/>
        <w:rPr>
          <w:rFonts w:ascii="Palatino Linotype" w:hAnsi="Palatino Linotype"/>
          <w:b/>
          <w:sz w:val="22"/>
          <w:szCs w:val="22"/>
        </w:rPr>
      </w:pPr>
    </w:p>
    <w:p w14:paraId="1E8A2820" w14:textId="77777777" w:rsidR="002C3645" w:rsidRPr="009A0EB3" w:rsidRDefault="002C3645" w:rsidP="002C3645">
      <w:pPr>
        <w:spacing w:line="20" w:lineRule="atLeast"/>
        <w:jc w:val="both"/>
        <w:rPr>
          <w:rFonts w:ascii="Palatino Linotype" w:hAnsi="Palatino Linotype"/>
          <w:sz w:val="22"/>
          <w:szCs w:val="22"/>
        </w:rPr>
      </w:pPr>
    </w:p>
    <w:p w14:paraId="353207ED" w14:textId="77777777" w:rsidR="002C3645" w:rsidRPr="009A0EB3" w:rsidRDefault="002C3645" w:rsidP="002C3645">
      <w:pPr>
        <w:spacing w:line="20" w:lineRule="atLeast"/>
        <w:jc w:val="both"/>
        <w:rPr>
          <w:rFonts w:ascii="Palatino Linotype" w:hAnsi="Palatino Linotype"/>
          <w:sz w:val="22"/>
          <w:szCs w:val="22"/>
        </w:rPr>
      </w:pPr>
      <w:r w:rsidRPr="009A0EB3">
        <w:rPr>
          <w:rFonts w:ascii="Palatino Linotype" w:hAnsi="Palatino Linotype"/>
          <w:sz w:val="22"/>
          <w:szCs w:val="22"/>
        </w:rPr>
        <w:t xml:space="preserve">The Securities and Exchange Board of India Bulletin is issued by the Department of Economic and Policy Analysis, Securities and Exchange Board of India under the direction of an Editorial Committee. SEBI is not responsible for accuracy of data/information/interpretations and opinions expressed in the case of signed articles/speeches as authors are responsible for their personal views. SEBI has no objection to the material published herein being reproduced, provided an acknowledgement of the same is made. </w:t>
      </w:r>
      <w:r w:rsidRPr="009A0EB3">
        <w:rPr>
          <w:rFonts w:ascii="Palatino Linotype" w:hAnsi="Palatino Linotype"/>
          <w:bCs/>
          <w:sz w:val="22"/>
          <w:szCs w:val="22"/>
        </w:rPr>
        <w:t xml:space="preserve">A readable version of SEBI Bulletin is available at </w:t>
      </w:r>
      <w:hyperlink r:id="rId17" w:history="1">
        <w:r w:rsidRPr="009A0EB3">
          <w:rPr>
            <w:rFonts w:ascii="Palatino Linotype" w:hAnsi="Palatino Linotype"/>
            <w:bCs/>
            <w:sz w:val="22"/>
            <w:szCs w:val="22"/>
          </w:rPr>
          <w:t>http://www.sebi.gov.in</w:t>
        </w:r>
      </w:hyperlink>
      <w:r w:rsidRPr="009A0EB3">
        <w:rPr>
          <w:rFonts w:ascii="Palatino Linotype" w:hAnsi="Palatino Linotype"/>
          <w:bCs/>
          <w:sz w:val="22"/>
          <w:szCs w:val="22"/>
        </w:rPr>
        <w:t xml:space="preserve">. </w:t>
      </w:r>
      <w:r w:rsidR="00E71481">
        <w:rPr>
          <w:rFonts w:ascii="Palatino Linotype" w:hAnsi="Palatino Linotype"/>
          <w:bCs/>
          <w:sz w:val="22"/>
          <w:szCs w:val="22"/>
        </w:rPr>
        <w:t xml:space="preserve"> </w:t>
      </w:r>
      <w:r w:rsidR="00E71481" w:rsidRPr="00E71481">
        <w:rPr>
          <w:rFonts w:ascii="Palatino Linotype" w:hAnsi="Palatino Linotype"/>
          <w:bCs/>
          <w:sz w:val="22"/>
          <w:szCs w:val="22"/>
        </w:rPr>
        <w:t xml:space="preserve">Further,  soft copy of SEBI Bulletin is available free of cost to the subscribers/readers, who register at bulletin@sebi.gov.in along with their complete address. </w:t>
      </w:r>
      <w:r w:rsidRPr="009A0EB3">
        <w:rPr>
          <w:rFonts w:ascii="Palatino Linotype" w:hAnsi="Palatino Linotype"/>
          <w:bCs/>
          <w:sz w:val="22"/>
          <w:szCs w:val="22"/>
        </w:rPr>
        <w:t xml:space="preserve">Any comments and suggestions on any of the features/sections may be sent to </w:t>
      </w:r>
      <w:hyperlink r:id="rId18" w:history="1">
        <w:r w:rsidRPr="009A0EB3">
          <w:rPr>
            <w:rFonts w:ascii="Palatino Linotype" w:hAnsi="Palatino Linotype"/>
            <w:bCs/>
            <w:sz w:val="22"/>
            <w:szCs w:val="22"/>
          </w:rPr>
          <w:t>bulletin@sebi.gov.in</w:t>
        </w:r>
      </w:hyperlink>
    </w:p>
    <w:p w14:paraId="5B66E0B1" w14:textId="77777777" w:rsidR="002C3645" w:rsidRPr="009A0EB3" w:rsidRDefault="002C3645" w:rsidP="00B25DA6">
      <w:pPr>
        <w:jc w:val="center"/>
        <w:outlineLvl w:val="0"/>
        <w:rPr>
          <w:rFonts w:ascii="Palatino Linotype" w:hAnsi="Palatino Linotype" w:cs="Helvetica"/>
          <w:b/>
          <w:color w:val="000099"/>
          <w:sz w:val="22"/>
          <w:szCs w:val="22"/>
        </w:rPr>
      </w:pPr>
    </w:p>
    <w:p w14:paraId="14C6DF17" w14:textId="77777777" w:rsidR="002C3645" w:rsidRPr="009A0EB3" w:rsidRDefault="002C3645" w:rsidP="00B25DA6">
      <w:pPr>
        <w:jc w:val="center"/>
        <w:outlineLvl w:val="0"/>
        <w:rPr>
          <w:rFonts w:ascii="Palatino Linotype" w:hAnsi="Palatino Linotype" w:cs="Helvetica"/>
          <w:b/>
          <w:color w:val="000099"/>
          <w:sz w:val="22"/>
          <w:szCs w:val="22"/>
        </w:rPr>
      </w:pPr>
    </w:p>
    <w:p w14:paraId="2C692157" w14:textId="77777777" w:rsidR="002C3645" w:rsidRPr="009A0EB3" w:rsidRDefault="002C3645" w:rsidP="00B25DA6">
      <w:pPr>
        <w:jc w:val="center"/>
        <w:outlineLvl w:val="0"/>
        <w:rPr>
          <w:rFonts w:ascii="Palatino Linotype" w:hAnsi="Palatino Linotype" w:cs="Helvetica"/>
          <w:b/>
          <w:color w:val="000099"/>
          <w:sz w:val="22"/>
          <w:szCs w:val="22"/>
        </w:rPr>
      </w:pPr>
    </w:p>
    <w:p w14:paraId="5830D1FB" w14:textId="77777777" w:rsidR="002C3645" w:rsidRPr="009A0EB3" w:rsidRDefault="002C3645" w:rsidP="00B25DA6">
      <w:pPr>
        <w:jc w:val="center"/>
        <w:outlineLvl w:val="0"/>
        <w:rPr>
          <w:rFonts w:ascii="Palatino Linotype" w:hAnsi="Palatino Linotype" w:cs="Helvetica"/>
          <w:b/>
          <w:color w:val="000099"/>
          <w:sz w:val="22"/>
          <w:szCs w:val="22"/>
        </w:rPr>
      </w:pPr>
    </w:p>
    <w:p w14:paraId="63F4800B" w14:textId="77777777" w:rsidR="002C3645" w:rsidRPr="009A0EB3" w:rsidRDefault="002C3645" w:rsidP="00B25DA6">
      <w:pPr>
        <w:jc w:val="center"/>
        <w:outlineLvl w:val="0"/>
        <w:rPr>
          <w:rFonts w:ascii="Palatino Linotype" w:hAnsi="Palatino Linotype" w:cs="Helvetica"/>
          <w:b/>
          <w:color w:val="000099"/>
          <w:sz w:val="22"/>
          <w:szCs w:val="22"/>
        </w:rPr>
      </w:pPr>
    </w:p>
    <w:p w14:paraId="35E11B7C" w14:textId="77777777" w:rsidR="002C3645" w:rsidRPr="009A0EB3" w:rsidRDefault="002C3645" w:rsidP="00B25DA6">
      <w:pPr>
        <w:jc w:val="center"/>
        <w:outlineLvl w:val="0"/>
        <w:rPr>
          <w:rFonts w:ascii="Palatino Linotype" w:hAnsi="Palatino Linotype" w:cs="Helvetica"/>
          <w:b/>
          <w:color w:val="000099"/>
          <w:sz w:val="22"/>
          <w:szCs w:val="22"/>
        </w:rPr>
      </w:pPr>
    </w:p>
    <w:p w14:paraId="17E836B2" w14:textId="77777777" w:rsidR="002C3645" w:rsidRPr="009A0EB3" w:rsidRDefault="002C3645" w:rsidP="00B25DA6">
      <w:pPr>
        <w:jc w:val="center"/>
        <w:outlineLvl w:val="0"/>
        <w:rPr>
          <w:rFonts w:ascii="Palatino Linotype" w:hAnsi="Palatino Linotype" w:cs="Helvetica"/>
          <w:b/>
          <w:color w:val="000099"/>
          <w:sz w:val="22"/>
          <w:szCs w:val="22"/>
        </w:rPr>
      </w:pPr>
    </w:p>
    <w:p w14:paraId="42870B8D" w14:textId="77777777" w:rsidR="002C3645" w:rsidRPr="009A0EB3" w:rsidRDefault="002C3645" w:rsidP="00B25DA6">
      <w:pPr>
        <w:jc w:val="center"/>
        <w:outlineLvl w:val="0"/>
        <w:rPr>
          <w:rFonts w:ascii="Palatino Linotype" w:hAnsi="Palatino Linotype" w:cs="Helvetica"/>
          <w:b/>
          <w:color w:val="000099"/>
          <w:sz w:val="22"/>
          <w:szCs w:val="22"/>
        </w:rPr>
      </w:pPr>
    </w:p>
    <w:p w14:paraId="51D3059A" w14:textId="77777777" w:rsidR="002C3645" w:rsidRPr="009A0EB3" w:rsidRDefault="002C3645" w:rsidP="00B25DA6">
      <w:pPr>
        <w:jc w:val="center"/>
        <w:outlineLvl w:val="0"/>
        <w:rPr>
          <w:rFonts w:ascii="Palatino Linotype" w:hAnsi="Palatino Linotype" w:cs="Helvetica"/>
          <w:b/>
          <w:color w:val="000099"/>
          <w:sz w:val="22"/>
          <w:szCs w:val="22"/>
        </w:rPr>
      </w:pPr>
    </w:p>
    <w:p w14:paraId="278AB592" w14:textId="77777777" w:rsidR="002C3645" w:rsidRPr="009A0EB3" w:rsidRDefault="002C3645" w:rsidP="00B25DA6">
      <w:pPr>
        <w:jc w:val="center"/>
        <w:outlineLvl w:val="0"/>
        <w:rPr>
          <w:rFonts w:ascii="Palatino Linotype" w:hAnsi="Palatino Linotype" w:cs="Helvetica"/>
          <w:b/>
          <w:color w:val="000099"/>
          <w:sz w:val="22"/>
          <w:szCs w:val="22"/>
        </w:rPr>
      </w:pPr>
    </w:p>
    <w:p w14:paraId="0F64669A" w14:textId="77777777" w:rsidR="002C3645" w:rsidRPr="009A0EB3" w:rsidRDefault="002C3645" w:rsidP="00B25DA6">
      <w:pPr>
        <w:jc w:val="center"/>
        <w:outlineLvl w:val="0"/>
        <w:rPr>
          <w:rFonts w:ascii="Palatino Linotype" w:hAnsi="Palatino Linotype" w:cs="Helvetica"/>
          <w:b/>
          <w:color w:val="000099"/>
          <w:sz w:val="22"/>
          <w:szCs w:val="22"/>
        </w:rPr>
      </w:pPr>
    </w:p>
    <w:p w14:paraId="19C0DD24" w14:textId="77777777" w:rsidR="002C3645" w:rsidRPr="009A0EB3" w:rsidRDefault="002C3645" w:rsidP="00B25DA6">
      <w:pPr>
        <w:jc w:val="center"/>
        <w:outlineLvl w:val="0"/>
        <w:rPr>
          <w:rFonts w:ascii="Palatino Linotype" w:hAnsi="Palatino Linotype" w:cs="Helvetica"/>
          <w:b/>
          <w:color w:val="000099"/>
          <w:sz w:val="22"/>
          <w:szCs w:val="22"/>
        </w:rPr>
      </w:pPr>
    </w:p>
    <w:p w14:paraId="16F07497" w14:textId="77777777" w:rsidR="002C3645" w:rsidRPr="009A0EB3" w:rsidRDefault="002C3645" w:rsidP="00B25DA6">
      <w:pPr>
        <w:jc w:val="center"/>
        <w:outlineLvl w:val="0"/>
        <w:rPr>
          <w:rFonts w:ascii="Palatino Linotype" w:hAnsi="Palatino Linotype" w:cs="Helvetica"/>
          <w:b/>
          <w:color w:val="000099"/>
          <w:sz w:val="22"/>
          <w:szCs w:val="22"/>
        </w:rPr>
      </w:pPr>
    </w:p>
    <w:p w14:paraId="21B57569" w14:textId="77777777" w:rsidR="002C3645" w:rsidRPr="009A0EB3" w:rsidRDefault="002C3645" w:rsidP="00B25DA6">
      <w:pPr>
        <w:jc w:val="center"/>
        <w:outlineLvl w:val="0"/>
        <w:rPr>
          <w:rFonts w:ascii="Palatino Linotype" w:hAnsi="Palatino Linotype" w:cs="Helvetica"/>
          <w:b/>
          <w:color w:val="000099"/>
          <w:sz w:val="22"/>
          <w:szCs w:val="22"/>
        </w:rPr>
      </w:pPr>
    </w:p>
    <w:p w14:paraId="49660B98" w14:textId="77777777" w:rsidR="002C3645" w:rsidRPr="009A0EB3" w:rsidRDefault="002C3645" w:rsidP="00B25DA6">
      <w:pPr>
        <w:jc w:val="center"/>
        <w:outlineLvl w:val="0"/>
        <w:rPr>
          <w:rFonts w:ascii="Palatino Linotype" w:hAnsi="Palatino Linotype" w:cs="Helvetica"/>
          <w:b/>
          <w:color w:val="000099"/>
          <w:sz w:val="22"/>
          <w:szCs w:val="22"/>
        </w:rPr>
      </w:pPr>
    </w:p>
    <w:p w14:paraId="6AD7A6E0" w14:textId="77777777" w:rsidR="002C3645" w:rsidRDefault="002C3645" w:rsidP="00B25DA6">
      <w:pPr>
        <w:jc w:val="center"/>
        <w:outlineLvl w:val="0"/>
        <w:rPr>
          <w:rFonts w:ascii="Palatino Linotype" w:hAnsi="Palatino Linotype" w:cs="Helvetica"/>
          <w:b/>
          <w:color w:val="000099"/>
          <w:sz w:val="22"/>
          <w:szCs w:val="22"/>
        </w:rPr>
      </w:pPr>
    </w:p>
    <w:p w14:paraId="6E29C55A" w14:textId="77777777" w:rsidR="000254CD" w:rsidRDefault="000254CD" w:rsidP="00B25DA6">
      <w:pPr>
        <w:jc w:val="center"/>
        <w:outlineLvl w:val="0"/>
        <w:rPr>
          <w:rFonts w:ascii="Palatino Linotype" w:hAnsi="Palatino Linotype" w:cs="Helvetica"/>
          <w:b/>
          <w:color w:val="000099"/>
          <w:sz w:val="22"/>
          <w:szCs w:val="22"/>
        </w:rPr>
      </w:pPr>
    </w:p>
    <w:p w14:paraId="5384EFC7" w14:textId="77777777" w:rsidR="000254CD" w:rsidRDefault="000254CD" w:rsidP="00B25DA6">
      <w:pPr>
        <w:jc w:val="center"/>
        <w:outlineLvl w:val="0"/>
        <w:rPr>
          <w:rFonts w:ascii="Palatino Linotype" w:hAnsi="Palatino Linotype" w:cs="Helvetica"/>
          <w:b/>
          <w:color w:val="000099"/>
          <w:sz w:val="22"/>
          <w:szCs w:val="22"/>
        </w:rPr>
      </w:pPr>
    </w:p>
    <w:p w14:paraId="2DEF764B" w14:textId="77777777" w:rsidR="000254CD" w:rsidRDefault="000254CD" w:rsidP="00B25DA6">
      <w:pPr>
        <w:jc w:val="center"/>
        <w:outlineLvl w:val="0"/>
        <w:rPr>
          <w:rFonts w:ascii="Palatino Linotype" w:hAnsi="Palatino Linotype" w:cs="Helvetica"/>
          <w:b/>
          <w:color w:val="000099"/>
          <w:sz w:val="22"/>
          <w:szCs w:val="22"/>
        </w:rPr>
      </w:pPr>
    </w:p>
    <w:p w14:paraId="5699DC48" w14:textId="77777777" w:rsidR="000254CD" w:rsidRDefault="000254CD" w:rsidP="00B25DA6">
      <w:pPr>
        <w:jc w:val="center"/>
        <w:outlineLvl w:val="0"/>
        <w:rPr>
          <w:rFonts w:ascii="Palatino Linotype" w:hAnsi="Palatino Linotype" w:cs="Helvetica"/>
          <w:b/>
          <w:color w:val="000099"/>
          <w:sz w:val="22"/>
          <w:szCs w:val="22"/>
        </w:rPr>
      </w:pPr>
    </w:p>
    <w:p w14:paraId="67A4A978" w14:textId="77777777" w:rsidR="000254CD" w:rsidRDefault="000254CD" w:rsidP="00B25DA6">
      <w:pPr>
        <w:jc w:val="center"/>
        <w:outlineLvl w:val="0"/>
        <w:rPr>
          <w:rFonts w:ascii="Palatino Linotype" w:hAnsi="Palatino Linotype" w:cs="Helvetica"/>
          <w:b/>
          <w:color w:val="000099"/>
          <w:sz w:val="22"/>
          <w:szCs w:val="22"/>
        </w:rPr>
      </w:pPr>
    </w:p>
    <w:p w14:paraId="33064F57" w14:textId="77777777" w:rsidR="000254CD" w:rsidRPr="009A0EB3" w:rsidRDefault="000254CD" w:rsidP="00B25DA6">
      <w:pPr>
        <w:jc w:val="center"/>
        <w:outlineLvl w:val="0"/>
        <w:rPr>
          <w:rFonts w:ascii="Palatino Linotype" w:hAnsi="Palatino Linotype" w:cs="Helvetica"/>
          <w:b/>
          <w:color w:val="000099"/>
          <w:sz w:val="22"/>
          <w:szCs w:val="22"/>
        </w:rPr>
      </w:pPr>
    </w:p>
    <w:p w14:paraId="141E81EB" w14:textId="77777777" w:rsidR="002C3645" w:rsidRDefault="002C3645" w:rsidP="00B25DA6">
      <w:pPr>
        <w:jc w:val="center"/>
        <w:outlineLvl w:val="0"/>
        <w:rPr>
          <w:rFonts w:ascii="Palatino Linotype" w:hAnsi="Palatino Linotype" w:cs="Helvetica"/>
          <w:b/>
          <w:color w:val="000099"/>
          <w:sz w:val="22"/>
          <w:szCs w:val="22"/>
        </w:rPr>
      </w:pPr>
    </w:p>
    <w:p w14:paraId="716AC885" w14:textId="77777777" w:rsidR="00EB52C5" w:rsidRDefault="00EB52C5" w:rsidP="00B25DA6">
      <w:pPr>
        <w:jc w:val="center"/>
        <w:outlineLvl w:val="0"/>
        <w:rPr>
          <w:rFonts w:ascii="Palatino Linotype" w:hAnsi="Palatino Linotype" w:cs="Helvetica"/>
          <w:b/>
          <w:color w:val="000099"/>
          <w:sz w:val="22"/>
          <w:szCs w:val="22"/>
        </w:rPr>
      </w:pPr>
    </w:p>
    <w:p w14:paraId="289B8057" w14:textId="77777777" w:rsidR="00EB52C5" w:rsidRPr="009A0EB3" w:rsidRDefault="00EB52C5" w:rsidP="00B25DA6">
      <w:pPr>
        <w:jc w:val="center"/>
        <w:outlineLvl w:val="0"/>
        <w:rPr>
          <w:rFonts w:ascii="Palatino Linotype" w:hAnsi="Palatino Linotype" w:cs="Helvetica"/>
          <w:b/>
          <w:color w:val="000099"/>
          <w:sz w:val="22"/>
          <w:szCs w:val="22"/>
        </w:rPr>
      </w:pPr>
    </w:p>
    <w:p w14:paraId="70976457" w14:textId="77777777" w:rsidR="002C3645" w:rsidRPr="009A0EB3" w:rsidRDefault="002C3645" w:rsidP="00B25DA6">
      <w:pPr>
        <w:jc w:val="center"/>
        <w:outlineLvl w:val="0"/>
        <w:rPr>
          <w:rFonts w:ascii="Palatino Linotype" w:hAnsi="Palatino Linotype" w:cs="Helvetica"/>
          <w:b/>
          <w:color w:val="000099"/>
          <w:sz w:val="22"/>
          <w:szCs w:val="22"/>
        </w:rPr>
      </w:pPr>
    </w:p>
    <w:p w14:paraId="7AF15C88" w14:textId="77777777" w:rsidR="002C3645" w:rsidRPr="009A0EB3" w:rsidRDefault="002C3645" w:rsidP="002C3645">
      <w:pPr>
        <w:spacing w:line="20" w:lineRule="atLeast"/>
        <w:jc w:val="center"/>
        <w:rPr>
          <w:rFonts w:ascii="Palatino Linotype" w:hAnsi="Palatino Linotype"/>
          <w:b/>
          <w:color w:val="632423"/>
          <w:sz w:val="22"/>
          <w:szCs w:val="22"/>
        </w:rPr>
      </w:pPr>
      <w:r w:rsidRPr="009A0EB3">
        <w:rPr>
          <w:rFonts w:ascii="Palatino Linotype" w:hAnsi="Palatino Linotype"/>
          <w:b/>
          <w:color w:val="632423"/>
          <w:sz w:val="22"/>
          <w:szCs w:val="22"/>
        </w:rPr>
        <w:t>CONTENTS</w:t>
      </w:r>
    </w:p>
    <w:p w14:paraId="1877C239" w14:textId="77777777" w:rsidR="002C3645" w:rsidRPr="009A0EB3" w:rsidRDefault="002C3645" w:rsidP="002C3645">
      <w:pPr>
        <w:spacing w:line="20" w:lineRule="atLeast"/>
        <w:jc w:val="both"/>
        <w:rPr>
          <w:rFonts w:ascii="Palatino Linotype" w:hAnsi="Palatino Linotype"/>
          <w:b/>
          <w:color w:val="0000FF"/>
          <w:sz w:val="22"/>
          <w:szCs w:val="22"/>
        </w:rPr>
      </w:pPr>
    </w:p>
    <w:p w14:paraId="4562BF13" w14:textId="77777777" w:rsidR="002C3645" w:rsidRPr="009A0EB3" w:rsidRDefault="002C3645" w:rsidP="002C3645">
      <w:pPr>
        <w:spacing w:line="20" w:lineRule="atLeast"/>
        <w:jc w:val="both"/>
        <w:rPr>
          <w:rFonts w:ascii="Palatino Linotype" w:hAnsi="Palatino Linotype"/>
          <w:b/>
          <w:color w:val="0000FF"/>
          <w:sz w:val="22"/>
          <w:szCs w:val="22"/>
        </w:rPr>
      </w:pPr>
    </w:p>
    <w:p w14:paraId="784928D8" w14:textId="77777777" w:rsidR="002C1136" w:rsidRDefault="002C1136" w:rsidP="00A36146">
      <w:pPr>
        <w:spacing w:line="20" w:lineRule="atLeast"/>
        <w:jc w:val="both"/>
        <w:rPr>
          <w:rFonts w:ascii="Palatino Linotype" w:hAnsi="Palatino Linotype"/>
          <w:b/>
          <w:color w:val="0000FF"/>
          <w:sz w:val="22"/>
          <w:szCs w:val="22"/>
        </w:rPr>
      </w:pPr>
    </w:p>
    <w:p w14:paraId="29B0EAB8" w14:textId="77777777" w:rsidR="002C3645" w:rsidRPr="009A0EB3" w:rsidRDefault="002C3645" w:rsidP="00F81232">
      <w:pPr>
        <w:spacing w:line="20" w:lineRule="atLeast"/>
        <w:jc w:val="both"/>
        <w:rPr>
          <w:rFonts w:ascii="Palatino Linotype" w:hAnsi="Palatino Linotype"/>
          <w:b/>
          <w:color w:val="0000FF"/>
          <w:sz w:val="22"/>
          <w:szCs w:val="22"/>
        </w:rPr>
      </w:pPr>
      <w:r w:rsidRPr="009A0EB3">
        <w:rPr>
          <w:rFonts w:ascii="Palatino Linotype" w:hAnsi="Palatino Linotype"/>
          <w:b/>
          <w:color w:val="0000FF"/>
          <w:sz w:val="22"/>
          <w:szCs w:val="22"/>
        </w:rPr>
        <w:t>CAPITAL MARKET REVIEW</w:t>
      </w:r>
    </w:p>
    <w:p w14:paraId="03295F40" w14:textId="77777777" w:rsidR="002C3645" w:rsidRPr="009A0EB3" w:rsidRDefault="002C3645" w:rsidP="002C3645">
      <w:pPr>
        <w:spacing w:line="20" w:lineRule="atLeast"/>
        <w:jc w:val="both"/>
        <w:rPr>
          <w:rFonts w:ascii="Palatino Linotype" w:hAnsi="Palatino Linotype"/>
          <w:b/>
          <w:color w:val="0000FF"/>
          <w:sz w:val="22"/>
          <w:szCs w:val="22"/>
        </w:rPr>
      </w:pPr>
    </w:p>
    <w:p w14:paraId="6537DBE3" w14:textId="77777777" w:rsidR="002C3645" w:rsidRPr="009A0EB3" w:rsidRDefault="002C3645" w:rsidP="002C3645">
      <w:pPr>
        <w:spacing w:line="20" w:lineRule="atLeast"/>
        <w:jc w:val="both"/>
        <w:rPr>
          <w:rFonts w:ascii="Palatino Linotype" w:hAnsi="Palatino Linotype"/>
          <w:b/>
          <w:color w:val="0000FF"/>
          <w:sz w:val="22"/>
          <w:szCs w:val="22"/>
        </w:rPr>
      </w:pPr>
      <w:r w:rsidRPr="009A0EB3">
        <w:rPr>
          <w:rFonts w:ascii="Palatino Linotype" w:hAnsi="Palatino Linotype"/>
          <w:b/>
          <w:color w:val="0000FF"/>
          <w:sz w:val="22"/>
          <w:szCs w:val="22"/>
        </w:rPr>
        <w:t>REVIEW OF GLOBAL FINANCIAL MARKETS</w:t>
      </w:r>
    </w:p>
    <w:p w14:paraId="2AFB71CE" w14:textId="77777777" w:rsidR="002C3645" w:rsidRPr="009A0EB3" w:rsidRDefault="002C3645" w:rsidP="002C3645">
      <w:pPr>
        <w:spacing w:line="20" w:lineRule="atLeast"/>
        <w:jc w:val="both"/>
        <w:rPr>
          <w:rFonts w:ascii="Palatino Linotype" w:hAnsi="Palatino Linotype"/>
          <w:b/>
          <w:color w:val="0000FF"/>
          <w:sz w:val="22"/>
          <w:szCs w:val="22"/>
        </w:rPr>
      </w:pPr>
    </w:p>
    <w:p w14:paraId="0B49AA41" w14:textId="77777777" w:rsidR="002C3645" w:rsidRPr="009A0EB3" w:rsidRDefault="002C3645" w:rsidP="002C3645">
      <w:pPr>
        <w:spacing w:line="20" w:lineRule="atLeast"/>
        <w:jc w:val="both"/>
        <w:rPr>
          <w:rFonts w:ascii="Palatino Linotype" w:hAnsi="Palatino Linotype"/>
          <w:b/>
          <w:color w:val="0000FF"/>
          <w:sz w:val="22"/>
          <w:szCs w:val="22"/>
        </w:rPr>
      </w:pPr>
      <w:r w:rsidRPr="009A0EB3">
        <w:rPr>
          <w:rFonts w:ascii="Palatino Linotype" w:hAnsi="Palatino Linotype"/>
          <w:b/>
          <w:color w:val="0000FF"/>
          <w:sz w:val="22"/>
          <w:szCs w:val="22"/>
        </w:rPr>
        <w:t>HIGHLIGHTS OF DEVELOPMENTS IN INTERNATIONAL SECURITIES MARKET</w:t>
      </w:r>
    </w:p>
    <w:p w14:paraId="24153EDB" w14:textId="77777777" w:rsidR="002C3645" w:rsidRPr="009A0EB3" w:rsidRDefault="002C3645" w:rsidP="002C3645">
      <w:pPr>
        <w:spacing w:line="20" w:lineRule="atLeast"/>
        <w:jc w:val="both"/>
        <w:rPr>
          <w:rFonts w:ascii="Palatino Linotype" w:hAnsi="Palatino Linotype"/>
          <w:b/>
          <w:color w:val="0000FF"/>
          <w:sz w:val="22"/>
          <w:szCs w:val="22"/>
        </w:rPr>
      </w:pPr>
    </w:p>
    <w:p w14:paraId="5E1916B9" w14:textId="77777777" w:rsidR="002C3645" w:rsidRPr="009A0EB3" w:rsidRDefault="002C3645" w:rsidP="002C3645">
      <w:pPr>
        <w:spacing w:line="20" w:lineRule="atLeast"/>
        <w:jc w:val="both"/>
        <w:rPr>
          <w:rFonts w:ascii="Palatino Linotype" w:hAnsi="Palatino Linotype"/>
          <w:b/>
          <w:color w:val="0000FF"/>
          <w:sz w:val="22"/>
          <w:szCs w:val="22"/>
        </w:rPr>
      </w:pPr>
      <w:r w:rsidRPr="009A0EB3">
        <w:rPr>
          <w:rFonts w:ascii="Palatino Linotype" w:hAnsi="Palatino Linotype"/>
          <w:b/>
          <w:color w:val="0000FF"/>
          <w:sz w:val="22"/>
          <w:szCs w:val="22"/>
        </w:rPr>
        <w:t xml:space="preserve">POLICY DEVELOPMENTS </w:t>
      </w:r>
      <w:r w:rsidR="00E71481">
        <w:rPr>
          <w:rFonts w:ascii="Palatino Linotype" w:hAnsi="Palatino Linotype"/>
          <w:b/>
          <w:color w:val="0000FF"/>
          <w:sz w:val="22"/>
          <w:szCs w:val="22"/>
        </w:rPr>
        <w:t>AT SEBI</w:t>
      </w:r>
    </w:p>
    <w:p w14:paraId="038995C5" w14:textId="77777777" w:rsidR="002C3645" w:rsidRPr="009A0EB3" w:rsidRDefault="002C3645" w:rsidP="002C3645">
      <w:pPr>
        <w:spacing w:line="20" w:lineRule="atLeast"/>
        <w:jc w:val="both"/>
        <w:rPr>
          <w:rFonts w:ascii="Palatino Linotype" w:hAnsi="Palatino Linotype"/>
          <w:b/>
          <w:color w:val="0000FF"/>
          <w:sz w:val="22"/>
          <w:szCs w:val="22"/>
        </w:rPr>
      </w:pPr>
    </w:p>
    <w:p w14:paraId="504362E2" w14:textId="77777777" w:rsidR="002C3645" w:rsidRPr="009A0EB3" w:rsidRDefault="002C3645" w:rsidP="002C3645">
      <w:pPr>
        <w:spacing w:line="20" w:lineRule="atLeast"/>
        <w:jc w:val="both"/>
        <w:rPr>
          <w:rFonts w:ascii="Palatino Linotype" w:hAnsi="Palatino Linotype"/>
          <w:b/>
          <w:color w:val="0000FF"/>
          <w:sz w:val="22"/>
          <w:szCs w:val="22"/>
        </w:rPr>
      </w:pPr>
      <w:r w:rsidRPr="009A0EB3">
        <w:rPr>
          <w:rFonts w:ascii="Palatino Linotype" w:hAnsi="Palatino Linotype"/>
          <w:b/>
          <w:color w:val="0000FF"/>
          <w:sz w:val="22"/>
          <w:szCs w:val="22"/>
        </w:rPr>
        <w:t xml:space="preserve">REGULATORY ACTIONS TAKEN BY SEBI </w:t>
      </w:r>
    </w:p>
    <w:p w14:paraId="44355A68" w14:textId="77777777" w:rsidR="002C3645" w:rsidRPr="009A0EB3" w:rsidRDefault="002C3645" w:rsidP="002C3645">
      <w:pPr>
        <w:spacing w:line="20" w:lineRule="atLeast"/>
        <w:jc w:val="both"/>
        <w:rPr>
          <w:rFonts w:ascii="Palatino Linotype" w:hAnsi="Palatino Linotype"/>
          <w:b/>
          <w:color w:val="0000FF"/>
          <w:sz w:val="22"/>
          <w:szCs w:val="22"/>
        </w:rPr>
      </w:pPr>
    </w:p>
    <w:p w14:paraId="4DDA2D9C" w14:textId="77777777" w:rsidR="002C3645" w:rsidRPr="009A0EB3" w:rsidRDefault="002C3645" w:rsidP="002C3645">
      <w:pPr>
        <w:spacing w:line="20" w:lineRule="atLeast"/>
        <w:jc w:val="both"/>
        <w:rPr>
          <w:rFonts w:ascii="Palatino Linotype" w:hAnsi="Palatino Linotype"/>
          <w:b/>
          <w:color w:val="0000FF"/>
          <w:sz w:val="22"/>
          <w:szCs w:val="22"/>
        </w:rPr>
      </w:pPr>
      <w:r w:rsidRPr="009A0EB3">
        <w:rPr>
          <w:rFonts w:ascii="Palatino Linotype" w:hAnsi="Palatino Linotype"/>
          <w:b/>
          <w:color w:val="0000FF"/>
          <w:sz w:val="22"/>
          <w:szCs w:val="22"/>
        </w:rPr>
        <w:t xml:space="preserve">TABLES </w:t>
      </w:r>
    </w:p>
    <w:p w14:paraId="46148DBE" w14:textId="77777777" w:rsidR="002C3645" w:rsidRPr="009A0EB3" w:rsidRDefault="002C3645" w:rsidP="002C3645">
      <w:pPr>
        <w:spacing w:line="20" w:lineRule="atLeast"/>
        <w:jc w:val="both"/>
        <w:rPr>
          <w:rFonts w:ascii="Palatino Linotype" w:hAnsi="Palatino Linotype"/>
          <w:b/>
          <w:color w:val="0000FF"/>
          <w:sz w:val="22"/>
          <w:szCs w:val="22"/>
        </w:rPr>
      </w:pPr>
    </w:p>
    <w:p w14:paraId="1D8E8439" w14:textId="77777777" w:rsidR="002C3645" w:rsidRPr="009A0EB3" w:rsidRDefault="002C3645" w:rsidP="002C3645">
      <w:pPr>
        <w:spacing w:line="20" w:lineRule="atLeast"/>
        <w:jc w:val="both"/>
        <w:rPr>
          <w:rFonts w:ascii="Palatino Linotype" w:hAnsi="Palatino Linotype"/>
          <w:b/>
          <w:color w:val="0000FF"/>
          <w:sz w:val="22"/>
          <w:szCs w:val="22"/>
        </w:rPr>
      </w:pPr>
      <w:r w:rsidRPr="009A0EB3">
        <w:rPr>
          <w:rFonts w:ascii="Palatino Linotype" w:hAnsi="Palatino Linotype"/>
          <w:b/>
          <w:color w:val="0000FF"/>
          <w:sz w:val="22"/>
          <w:szCs w:val="22"/>
        </w:rPr>
        <w:t>PUBLICATIONS</w:t>
      </w:r>
    </w:p>
    <w:p w14:paraId="7F733C25" w14:textId="77777777" w:rsidR="002C3645" w:rsidRDefault="002C3645" w:rsidP="00B25DA6">
      <w:pPr>
        <w:jc w:val="center"/>
        <w:outlineLvl w:val="0"/>
        <w:rPr>
          <w:rFonts w:ascii="Palatino Linotype" w:hAnsi="Palatino Linotype" w:cs="Helvetica"/>
          <w:b/>
          <w:color w:val="000099"/>
          <w:sz w:val="22"/>
          <w:szCs w:val="22"/>
        </w:rPr>
      </w:pPr>
    </w:p>
    <w:p w14:paraId="02D7558D" w14:textId="77777777" w:rsidR="009E322F" w:rsidRDefault="009E322F" w:rsidP="00B25DA6">
      <w:pPr>
        <w:jc w:val="center"/>
        <w:outlineLvl w:val="0"/>
        <w:rPr>
          <w:rFonts w:ascii="Palatino Linotype" w:hAnsi="Palatino Linotype" w:cs="Helvetica"/>
          <w:b/>
          <w:color w:val="000099"/>
          <w:sz w:val="22"/>
          <w:szCs w:val="22"/>
        </w:rPr>
      </w:pPr>
    </w:p>
    <w:p w14:paraId="19F9AA50" w14:textId="77777777" w:rsidR="009E322F" w:rsidRDefault="009E322F" w:rsidP="00B25DA6">
      <w:pPr>
        <w:jc w:val="center"/>
        <w:outlineLvl w:val="0"/>
        <w:rPr>
          <w:rFonts w:ascii="Palatino Linotype" w:hAnsi="Palatino Linotype" w:cs="Helvetica"/>
          <w:b/>
          <w:color w:val="000099"/>
          <w:sz w:val="22"/>
          <w:szCs w:val="22"/>
        </w:rPr>
      </w:pPr>
    </w:p>
    <w:p w14:paraId="1A07795D" w14:textId="77777777" w:rsidR="009E322F" w:rsidRDefault="009E322F" w:rsidP="00B25DA6">
      <w:pPr>
        <w:jc w:val="center"/>
        <w:outlineLvl w:val="0"/>
        <w:rPr>
          <w:rFonts w:ascii="Palatino Linotype" w:hAnsi="Palatino Linotype" w:cs="Helvetica"/>
          <w:b/>
          <w:color w:val="000099"/>
          <w:sz w:val="22"/>
          <w:szCs w:val="22"/>
        </w:rPr>
      </w:pPr>
    </w:p>
    <w:p w14:paraId="2BC7950A" w14:textId="77777777" w:rsidR="009E322F" w:rsidRDefault="009E322F" w:rsidP="00B25DA6">
      <w:pPr>
        <w:jc w:val="center"/>
        <w:outlineLvl w:val="0"/>
        <w:rPr>
          <w:rFonts w:ascii="Palatino Linotype" w:hAnsi="Palatino Linotype" w:cs="Helvetica"/>
          <w:b/>
          <w:color w:val="000099"/>
          <w:sz w:val="22"/>
          <w:szCs w:val="22"/>
        </w:rPr>
      </w:pPr>
    </w:p>
    <w:p w14:paraId="22AD7993" w14:textId="77777777" w:rsidR="009E322F" w:rsidRDefault="009E322F" w:rsidP="00B25DA6">
      <w:pPr>
        <w:jc w:val="center"/>
        <w:outlineLvl w:val="0"/>
        <w:rPr>
          <w:rFonts w:ascii="Palatino Linotype" w:hAnsi="Palatino Linotype" w:cs="Helvetica"/>
          <w:b/>
          <w:color w:val="000099"/>
          <w:sz w:val="22"/>
          <w:szCs w:val="22"/>
        </w:rPr>
      </w:pPr>
    </w:p>
    <w:p w14:paraId="741DC72E" w14:textId="77777777" w:rsidR="009E322F" w:rsidRDefault="009E322F" w:rsidP="00B25DA6">
      <w:pPr>
        <w:jc w:val="center"/>
        <w:outlineLvl w:val="0"/>
        <w:rPr>
          <w:rFonts w:ascii="Palatino Linotype" w:hAnsi="Palatino Linotype" w:cs="Helvetica"/>
          <w:b/>
          <w:color w:val="000099"/>
          <w:sz w:val="22"/>
          <w:szCs w:val="22"/>
        </w:rPr>
      </w:pPr>
    </w:p>
    <w:p w14:paraId="356F1431" w14:textId="77777777" w:rsidR="009E322F" w:rsidRDefault="009E322F" w:rsidP="00B25DA6">
      <w:pPr>
        <w:jc w:val="center"/>
        <w:outlineLvl w:val="0"/>
        <w:rPr>
          <w:rFonts w:ascii="Palatino Linotype" w:hAnsi="Palatino Linotype" w:cs="Helvetica"/>
          <w:b/>
          <w:color w:val="000099"/>
          <w:sz w:val="22"/>
          <w:szCs w:val="22"/>
        </w:rPr>
      </w:pPr>
    </w:p>
    <w:p w14:paraId="0166659C" w14:textId="77777777" w:rsidR="009E322F" w:rsidRDefault="009E322F" w:rsidP="00B25DA6">
      <w:pPr>
        <w:jc w:val="center"/>
        <w:outlineLvl w:val="0"/>
        <w:rPr>
          <w:rFonts w:ascii="Palatino Linotype" w:hAnsi="Palatino Linotype" w:cs="Helvetica"/>
          <w:b/>
          <w:color w:val="000099"/>
          <w:sz w:val="22"/>
          <w:szCs w:val="22"/>
        </w:rPr>
      </w:pPr>
    </w:p>
    <w:p w14:paraId="5054C1ED" w14:textId="77777777" w:rsidR="009E322F" w:rsidRDefault="009E322F" w:rsidP="00B25DA6">
      <w:pPr>
        <w:jc w:val="center"/>
        <w:outlineLvl w:val="0"/>
        <w:rPr>
          <w:rFonts w:ascii="Palatino Linotype" w:hAnsi="Palatino Linotype" w:cs="Helvetica"/>
          <w:b/>
          <w:color w:val="000099"/>
          <w:sz w:val="22"/>
          <w:szCs w:val="22"/>
        </w:rPr>
      </w:pPr>
    </w:p>
    <w:p w14:paraId="5EA07A0A" w14:textId="77777777" w:rsidR="009E322F" w:rsidRDefault="009E322F" w:rsidP="00B25DA6">
      <w:pPr>
        <w:jc w:val="center"/>
        <w:outlineLvl w:val="0"/>
        <w:rPr>
          <w:rFonts w:ascii="Palatino Linotype" w:hAnsi="Palatino Linotype" w:cs="Helvetica"/>
          <w:b/>
          <w:color w:val="000099"/>
          <w:sz w:val="22"/>
          <w:szCs w:val="22"/>
        </w:rPr>
      </w:pPr>
    </w:p>
    <w:p w14:paraId="4D76A7E0" w14:textId="77777777" w:rsidR="009E322F" w:rsidRDefault="009E322F" w:rsidP="00B25DA6">
      <w:pPr>
        <w:jc w:val="center"/>
        <w:outlineLvl w:val="0"/>
        <w:rPr>
          <w:rFonts w:ascii="Palatino Linotype" w:hAnsi="Palatino Linotype" w:cs="Helvetica"/>
          <w:b/>
          <w:color w:val="000099"/>
          <w:sz w:val="22"/>
          <w:szCs w:val="22"/>
        </w:rPr>
      </w:pPr>
    </w:p>
    <w:p w14:paraId="5C1318D6" w14:textId="77777777" w:rsidR="009E322F" w:rsidRDefault="009E322F" w:rsidP="00B25DA6">
      <w:pPr>
        <w:jc w:val="center"/>
        <w:outlineLvl w:val="0"/>
        <w:rPr>
          <w:rFonts w:ascii="Palatino Linotype" w:hAnsi="Palatino Linotype" w:cs="Helvetica"/>
          <w:b/>
          <w:color w:val="000099"/>
          <w:sz w:val="22"/>
          <w:szCs w:val="22"/>
        </w:rPr>
      </w:pPr>
    </w:p>
    <w:p w14:paraId="63ACA920" w14:textId="77777777" w:rsidR="009E322F" w:rsidRDefault="009E322F" w:rsidP="00B25DA6">
      <w:pPr>
        <w:jc w:val="center"/>
        <w:outlineLvl w:val="0"/>
        <w:rPr>
          <w:rFonts w:ascii="Palatino Linotype" w:hAnsi="Palatino Linotype" w:cs="Helvetica"/>
          <w:b/>
          <w:color w:val="000099"/>
          <w:sz w:val="22"/>
          <w:szCs w:val="22"/>
        </w:rPr>
      </w:pPr>
    </w:p>
    <w:p w14:paraId="71E1133A" w14:textId="77777777" w:rsidR="009E322F" w:rsidRDefault="009E322F" w:rsidP="00B25DA6">
      <w:pPr>
        <w:jc w:val="center"/>
        <w:outlineLvl w:val="0"/>
        <w:rPr>
          <w:rFonts w:ascii="Palatino Linotype" w:hAnsi="Palatino Linotype" w:cs="Helvetica"/>
          <w:b/>
          <w:color w:val="000099"/>
          <w:sz w:val="22"/>
          <w:szCs w:val="22"/>
        </w:rPr>
      </w:pPr>
    </w:p>
    <w:p w14:paraId="62AB99C5" w14:textId="77777777" w:rsidR="009E322F" w:rsidRDefault="009E322F" w:rsidP="00B25DA6">
      <w:pPr>
        <w:jc w:val="center"/>
        <w:outlineLvl w:val="0"/>
        <w:rPr>
          <w:rFonts w:ascii="Palatino Linotype" w:hAnsi="Palatino Linotype" w:cs="Helvetica"/>
          <w:b/>
          <w:color w:val="000099"/>
          <w:sz w:val="22"/>
          <w:szCs w:val="22"/>
        </w:rPr>
      </w:pPr>
    </w:p>
    <w:p w14:paraId="6C370496" w14:textId="77777777" w:rsidR="009E322F" w:rsidRDefault="009E322F" w:rsidP="00B25DA6">
      <w:pPr>
        <w:jc w:val="center"/>
        <w:outlineLvl w:val="0"/>
        <w:rPr>
          <w:rFonts w:ascii="Palatino Linotype" w:hAnsi="Palatino Linotype" w:cs="Helvetica"/>
          <w:b/>
          <w:color w:val="000099"/>
          <w:sz w:val="22"/>
          <w:szCs w:val="22"/>
        </w:rPr>
      </w:pPr>
    </w:p>
    <w:p w14:paraId="15B7EF86" w14:textId="77777777" w:rsidR="009E322F" w:rsidRDefault="009E322F" w:rsidP="00B25DA6">
      <w:pPr>
        <w:jc w:val="center"/>
        <w:outlineLvl w:val="0"/>
        <w:rPr>
          <w:rFonts w:ascii="Palatino Linotype" w:hAnsi="Palatino Linotype" w:cs="Helvetica"/>
          <w:b/>
          <w:color w:val="000099"/>
          <w:sz w:val="22"/>
          <w:szCs w:val="22"/>
        </w:rPr>
      </w:pPr>
    </w:p>
    <w:p w14:paraId="4C6C9310" w14:textId="77777777" w:rsidR="009E322F" w:rsidRDefault="009E322F" w:rsidP="00B25DA6">
      <w:pPr>
        <w:jc w:val="center"/>
        <w:outlineLvl w:val="0"/>
        <w:rPr>
          <w:rFonts w:ascii="Palatino Linotype" w:hAnsi="Palatino Linotype" w:cs="Helvetica"/>
          <w:b/>
          <w:color w:val="000099"/>
          <w:sz w:val="22"/>
          <w:szCs w:val="22"/>
        </w:rPr>
      </w:pPr>
    </w:p>
    <w:p w14:paraId="7C52AD2B" w14:textId="77777777" w:rsidR="006A566F" w:rsidRDefault="006A566F" w:rsidP="00B25DA6">
      <w:pPr>
        <w:jc w:val="center"/>
        <w:outlineLvl w:val="0"/>
        <w:rPr>
          <w:rFonts w:ascii="Palatino Linotype" w:hAnsi="Palatino Linotype" w:cs="Helvetica"/>
          <w:b/>
          <w:color w:val="000099"/>
          <w:sz w:val="22"/>
          <w:szCs w:val="22"/>
        </w:rPr>
      </w:pPr>
    </w:p>
    <w:p w14:paraId="0ACA3B18" w14:textId="77777777" w:rsidR="006A566F" w:rsidRDefault="006A566F" w:rsidP="00B25DA6">
      <w:pPr>
        <w:jc w:val="center"/>
        <w:outlineLvl w:val="0"/>
        <w:rPr>
          <w:rFonts w:ascii="Palatino Linotype" w:hAnsi="Palatino Linotype" w:cs="Helvetica"/>
          <w:b/>
          <w:color w:val="000099"/>
          <w:sz w:val="22"/>
          <w:szCs w:val="22"/>
        </w:rPr>
      </w:pPr>
    </w:p>
    <w:p w14:paraId="0B49AD90" w14:textId="77777777" w:rsidR="006A566F" w:rsidRDefault="006A566F" w:rsidP="00B25DA6">
      <w:pPr>
        <w:jc w:val="center"/>
        <w:outlineLvl w:val="0"/>
        <w:rPr>
          <w:rFonts w:ascii="Palatino Linotype" w:hAnsi="Palatino Linotype" w:cs="Helvetica"/>
          <w:b/>
          <w:color w:val="000099"/>
          <w:sz w:val="22"/>
          <w:szCs w:val="22"/>
        </w:rPr>
      </w:pPr>
    </w:p>
    <w:p w14:paraId="24941660" w14:textId="77777777" w:rsidR="006A566F" w:rsidRDefault="006A566F" w:rsidP="00B25DA6">
      <w:pPr>
        <w:jc w:val="center"/>
        <w:outlineLvl w:val="0"/>
        <w:rPr>
          <w:rFonts w:ascii="Palatino Linotype" w:hAnsi="Palatino Linotype" w:cs="Helvetica"/>
          <w:b/>
          <w:color w:val="000099"/>
          <w:sz w:val="22"/>
          <w:szCs w:val="22"/>
        </w:rPr>
      </w:pPr>
    </w:p>
    <w:p w14:paraId="602B2908" w14:textId="77777777" w:rsidR="006A566F" w:rsidRDefault="006A566F" w:rsidP="00B25DA6">
      <w:pPr>
        <w:jc w:val="center"/>
        <w:outlineLvl w:val="0"/>
        <w:rPr>
          <w:rFonts w:ascii="Palatino Linotype" w:hAnsi="Palatino Linotype" w:cs="Helvetica"/>
          <w:b/>
          <w:color w:val="000099"/>
          <w:sz w:val="22"/>
          <w:szCs w:val="22"/>
        </w:rPr>
      </w:pPr>
    </w:p>
    <w:p w14:paraId="72D1EEAC" w14:textId="77777777" w:rsidR="006A566F" w:rsidRDefault="006A566F" w:rsidP="00B25DA6">
      <w:pPr>
        <w:jc w:val="center"/>
        <w:outlineLvl w:val="0"/>
        <w:rPr>
          <w:rFonts w:ascii="Palatino Linotype" w:hAnsi="Palatino Linotype" w:cs="Helvetica"/>
          <w:b/>
          <w:color w:val="000099"/>
          <w:sz w:val="22"/>
          <w:szCs w:val="22"/>
        </w:rPr>
      </w:pPr>
    </w:p>
    <w:p w14:paraId="7ABE235C" w14:textId="77777777" w:rsidR="006A566F" w:rsidRDefault="006A566F" w:rsidP="00B25DA6">
      <w:pPr>
        <w:jc w:val="center"/>
        <w:outlineLvl w:val="0"/>
        <w:rPr>
          <w:rFonts w:ascii="Palatino Linotype" w:hAnsi="Palatino Linotype" w:cs="Helvetica"/>
          <w:b/>
          <w:color w:val="000099"/>
          <w:sz w:val="22"/>
          <w:szCs w:val="22"/>
        </w:rPr>
      </w:pPr>
    </w:p>
    <w:p w14:paraId="6B5F6965" w14:textId="77777777" w:rsidR="001A7518" w:rsidRDefault="001A7518" w:rsidP="00B43812">
      <w:pPr>
        <w:jc w:val="both"/>
        <w:outlineLvl w:val="0"/>
        <w:rPr>
          <w:rFonts w:ascii="Palatino Linotype" w:hAnsi="Palatino Linotype" w:cs="Helvetica"/>
          <w:b/>
          <w:color w:val="000099"/>
          <w:sz w:val="28"/>
          <w:szCs w:val="28"/>
        </w:rPr>
      </w:pPr>
    </w:p>
    <w:p w14:paraId="465B33F6" w14:textId="77777777" w:rsidR="001A7518" w:rsidRDefault="001A7518" w:rsidP="00B43812">
      <w:pPr>
        <w:jc w:val="both"/>
        <w:outlineLvl w:val="0"/>
        <w:rPr>
          <w:rFonts w:ascii="Palatino Linotype" w:hAnsi="Palatino Linotype" w:cs="Helvetica"/>
          <w:b/>
          <w:color w:val="000099"/>
          <w:sz w:val="28"/>
          <w:szCs w:val="28"/>
        </w:rPr>
      </w:pPr>
    </w:p>
    <w:p w14:paraId="33E55057" w14:textId="77777777" w:rsidR="001A7518" w:rsidRDefault="001A7518" w:rsidP="00B43812">
      <w:pPr>
        <w:jc w:val="both"/>
        <w:outlineLvl w:val="0"/>
        <w:rPr>
          <w:rFonts w:ascii="Palatino Linotype" w:hAnsi="Palatino Linotype" w:cs="Helvetica"/>
          <w:b/>
          <w:color w:val="000099"/>
          <w:sz w:val="28"/>
          <w:szCs w:val="28"/>
        </w:rPr>
      </w:pPr>
    </w:p>
    <w:p w14:paraId="7F47E9A0" w14:textId="77777777" w:rsidR="007547DA" w:rsidRPr="009A0EB3" w:rsidRDefault="007547DA" w:rsidP="007547DA">
      <w:pPr>
        <w:jc w:val="center"/>
        <w:outlineLvl w:val="0"/>
        <w:rPr>
          <w:rFonts w:ascii="Palatino Linotype" w:hAnsi="Palatino Linotype" w:cs="Helvetica"/>
          <w:b/>
          <w:color w:val="000099"/>
          <w:sz w:val="28"/>
          <w:szCs w:val="28"/>
        </w:rPr>
      </w:pPr>
      <w:r w:rsidRPr="009A0EB3">
        <w:rPr>
          <w:rFonts w:ascii="Palatino Linotype" w:hAnsi="Palatino Linotype" w:cs="Helvetica"/>
          <w:b/>
          <w:color w:val="000099"/>
          <w:sz w:val="28"/>
          <w:szCs w:val="28"/>
        </w:rPr>
        <w:lastRenderedPageBreak/>
        <w:t>CAPITAL MARKET REVIEW</w:t>
      </w:r>
    </w:p>
    <w:p w14:paraId="04DA9F08" w14:textId="77777777" w:rsidR="007547DA" w:rsidRPr="009A0EB3" w:rsidRDefault="007547DA" w:rsidP="007547DA">
      <w:pPr>
        <w:jc w:val="center"/>
        <w:outlineLvl w:val="0"/>
        <w:rPr>
          <w:rFonts w:ascii="Palatino Linotype" w:hAnsi="Palatino Linotype" w:cs="Helvetica"/>
          <w:b/>
          <w:color w:val="000099"/>
          <w:sz w:val="22"/>
          <w:szCs w:val="22"/>
        </w:rPr>
      </w:pPr>
    </w:p>
    <w:p w14:paraId="5213ABC7" w14:textId="77777777" w:rsidR="003B1F08" w:rsidRDefault="003B1F08" w:rsidP="003F4581">
      <w:pPr>
        <w:widowControl w:val="0"/>
        <w:ind w:left="-284"/>
        <w:jc w:val="both"/>
        <w:rPr>
          <w:rFonts w:ascii="Palatino Linotype" w:hAnsi="Palatino Linotype"/>
          <w:b/>
          <w:color w:val="0F0684"/>
        </w:rPr>
      </w:pPr>
    </w:p>
    <w:p w14:paraId="57B1E222" w14:textId="77777777" w:rsidR="00D33F7C" w:rsidRPr="00D33F7C" w:rsidRDefault="00D33F7C" w:rsidP="00D33F7C">
      <w:pPr>
        <w:widowControl w:val="0"/>
        <w:numPr>
          <w:ilvl w:val="0"/>
          <w:numId w:val="2"/>
        </w:numPr>
        <w:spacing w:line="276" w:lineRule="auto"/>
        <w:ind w:left="454" w:hanging="454"/>
        <w:rPr>
          <w:rFonts w:ascii="Palatino Linotype" w:eastAsia="Palatino Linotype" w:hAnsi="Palatino Linotype" w:cs="Palatino Linotype"/>
          <w:b/>
          <w:sz w:val="22"/>
          <w:szCs w:val="22"/>
        </w:rPr>
      </w:pPr>
      <w:r w:rsidRPr="00D33F7C">
        <w:rPr>
          <w:rFonts w:ascii="Palatino Linotype" w:eastAsia="Palatino Linotype" w:hAnsi="Palatino Linotype" w:cs="Palatino Linotype"/>
          <w:b/>
          <w:sz w:val="22"/>
          <w:szCs w:val="22"/>
        </w:rPr>
        <w:t xml:space="preserve">Trends in Resource Mobilisation by Corporates  </w:t>
      </w:r>
    </w:p>
    <w:p w14:paraId="5E3D2152" w14:textId="77777777" w:rsidR="00D33F7C" w:rsidRPr="00D33F7C" w:rsidRDefault="00D33F7C" w:rsidP="00D33F7C">
      <w:pPr>
        <w:widowControl w:val="0"/>
        <w:spacing w:line="276" w:lineRule="auto"/>
        <w:jc w:val="both"/>
        <w:rPr>
          <w:rFonts w:ascii="Palatino Linotype" w:eastAsia="Palatino Linotype" w:hAnsi="Palatino Linotype" w:cs="Palatino Linotype"/>
          <w:b/>
          <w:color w:val="2E74B5"/>
          <w:sz w:val="22"/>
          <w:szCs w:val="22"/>
          <w:highlight w:val="yellow"/>
        </w:rPr>
      </w:pPr>
    </w:p>
    <w:p w14:paraId="6A342100" w14:textId="77777777" w:rsidR="00D33F7C" w:rsidRPr="00D33F7C" w:rsidRDefault="00D33F7C" w:rsidP="00D33F7C">
      <w:pPr>
        <w:widowControl w:val="0"/>
        <w:spacing w:line="276" w:lineRule="auto"/>
        <w:jc w:val="both"/>
        <w:rPr>
          <w:rFonts w:ascii="Palatino Linotype" w:eastAsia="Palatino Linotype" w:hAnsi="Palatino Linotype" w:cs="Palatino Linotype"/>
          <w:b/>
          <w:sz w:val="22"/>
          <w:szCs w:val="22"/>
        </w:rPr>
      </w:pPr>
      <w:r w:rsidRPr="00D33F7C">
        <w:rPr>
          <w:rFonts w:ascii="Palatino Linotype" w:eastAsia="Palatino Linotype" w:hAnsi="Palatino Linotype" w:cs="Palatino Linotype"/>
          <w:b/>
          <w:sz w:val="22"/>
          <w:szCs w:val="22"/>
        </w:rPr>
        <w:t>Table 1: Fund Mobilisation by Corporates (</w:t>
      </w:r>
      <w:r w:rsidRPr="00D33F7C">
        <w:rPr>
          <w:rFonts w:ascii="Times New Roman" w:eastAsia="Tahoma" w:hAnsi="Times New Roman"/>
          <w:b/>
          <w:sz w:val="22"/>
          <w:szCs w:val="22"/>
        </w:rPr>
        <w:t xml:space="preserve">₹ </w:t>
      </w:r>
      <w:r w:rsidRPr="00D33F7C">
        <w:rPr>
          <w:rFonts w:ascii="Palatino Linotype" w:eastAsia="Palatino Linotype" w:hAnsi="Palatino Linotype" w:cs="Palatino Linotype"/>
          <w:b/>
          <w:sz w:val="22"/>
          <w:szCs w:val="22"/>
        </w:rPr>
        <w:t xml:space="preserve">crore) </w:t>
      </w:r>
    </w:p>
    <w:tbl>
      <w:tblPr>
        <w:tblW w:w="7968" w:type="dxa"/>
        <w:tblLook w:val="04A0" w:firstRow="1" w:lastRow="0" w:firstColumn="1" w:lastColumn="0" w:noHBand="0" w:noVBand="1"/>
      </w:tblPr>
      <w:tblGrid>
        <w:gridCol w:w="5580"/>
        <w:gridCol w:w="1194"/>
        <w:gridCol w:w="1194"/>
      </w:tblGrid>
      <w:tr w:rsidR="00D33F7C" w:rsidRPr="00D33F7C" w14:paraId="6BCDADB9" w14:textId="77777777" w:rsidTr="00E213CE">
        <w:trPr>
          <w:trHeight w:val="251"/>
        </w:trPr>
        <w:tc>
          <w:tcPr>
            <w:tcW w:w="5580" w:type="dxa"/>
            <w:tcBorders>
              <w:top w:val="single" w:sz="4" w:space="0" w:color="000000"/>
              <w:left w:val="single" w:sz="4" w:space="0" w:color="000000"/>
              <w:bottom w:val="single" w:sz="4" w:space="0" w:color="000000"/>
              <w:right w:val="single" w:sz="4" w:space="0" w:color="000000"/>
            </w:tcBorders>
            <w:shd w:val="clear" w:color="A9D08E" w:fill="A9D08E"/>
            <w:noWrap/>
            <w:vAlign w:val="center"/>
            <w:hideMark/>
          </w:tcPr>
          <w:p w14:paraId="6CE2F183" w14:textId="77777777" w:rsidR="00D33F7C" w:rsidRPr="00D33F7C" w:rsidRDefault="00D33F7C" w:rsidP="00D33F7C">
            <w:pPr>
              <w:rPr>
                <w:rFonts w:ascii="Garamond" w:eastAsia="Times New Roman" w:hAnsi="Garamond"/>
                <w:b/>
                <w:bCs/>
                <w:color w:val="000000"/>
                <w:sz w:val="22"/>
                <w:szCs w:val="22"/>
                <w:lang w:val="en-IN" w:eastAsia="en-IN" w:bidi="hi-IN"/>
              </w:rPr>
            </w:pPr>
            <w:r w:rsidRPr="00D33F7C">
              <w:rPr>
                <w:rFonts w:ascii="Garamond" w:eastAsia="Times New Roman" w:hAnsi="Garamond"/>
                <w:b/>
                <w:bCs/>
                <w:color w:val="000000"/>
                <w:sz w:val="22"/>
                <w:szCs w:val="22"/>
                <w:lang w:val="en-IN" w:eastAsia="en-IN" w:bidi="hi-IN"/>
              </w:rPr>
              <w:t>Particulars</w:t>
            </w:r>
          </w:p>
        </w:tc>
        <w:tc>
          <w:tcPr>
            <w:tcW w:w="1194" w:type="dxa"/>
            <w:tcBorders>
              <w:top w:val="single" w:sz="4" w:space="0" w:color="000000"/>
              <w:left w:val="nil"/>
              <w:bottom w:val="single" w:sz="4" w:space="0" w:color="000000"/>
              <w:right w:val="single" w:sz="4" w:space="0" w:color="000000"/>
            </w:tcBorders>
            <w:shd w:val="clear" w:color="A9D08E" w:fill="A9D08E"/>
            <w:noWrap/>
            <w:vAlign w:val="center"/>
            <w:hideMark/>
          </w:tcPr>
          <w:p w14:paraId="595819BC" w14:textId="77777777" w:rsidR="00D33F7C" w:rsidRPr="00D33F7C" w:rsidRDefault="00D33F7C" w:rsidP="00D33F7C">
            <w:pPr>
              <w:jc w:val="right"/>
              <w:rPr>
                <w:rFonts w:ascii="Garamond" w:eastAsia="Times New Roman" w:hAnsi="Garamond"/>
                <w:b/>
                <w:bCs/>
                <w:color w:val="000000"/>
                <w:sz w:val="22"/>
                <w:szCs w:val="22"/>
                <w:lang w:val="en-IN" w:eastAsia="en-IN" w:bidi="hi-IN"/>
              </w:rPr>
            </w:pPr>
            <w:r w:rsidRPr="00D33F7C">
              <w:rPr>
                <w:rFonts w:ascii="Garamond" w:eastAsia="Times New Roman" w:hAnsi="Garamond"/>
                <w:b/>
                <w:bCs/>
                <w:color w:val="000000"/>
                <w:sz w:val="22"/>
                <w:szCs w:val="22"/>
                <w:lang w:val="en-IN" w:eastAsia="en-IN" w:bidi="hi-IN"/>
              </w:rPr>
              <w:t>May-21</w:t>
            </w:r>
          </w:p>
        </w:tc>
        <w:tc>
          <w:tcPr>
            <w:tcW w:w="1194" w:type="dxa"/>
            <w:tcBorders>
              <w:top w:val="single" w:sz="4" w:space="0" w:color="000000"/>
              <w:left w:val="nil"/>
              <w:bottom w:val="single" w:sz="4" w:space="0" w:color="000000"/>
              <w:right w:val="single" w:sz="4" w:space="0" w:color="000000"/>
            </w:tcBorders>
            <w:shd w:val="clear" w:color="A9D08E" w:fill="A9D08E"/>
            <w:noWrap/>
            <w:vAlign w:val="center"/>
            <w:hideMark/>
          </w:tcPr>
          <w:p w14:paraId="23E037E9" w14:textId="77777777" w:rsidR="00D33F7C" w:rsidRPr="00D33F7C" w:rsidRDefault="00D33F7C" w:rsidP="00D33F7C">
            <w:pPr>
              <w:jc w:val="right"/>
              <w:rPr>
                <w:rFonts w:ascii="Garamond" w:eastAsia="Times New Roman" w:hAnsi="Garamond"/>
                <w:b/>
                <w:bCs/>
                <w:color w:val="000000"/>
                <w:sz w:val="22"/>
                <w:szCs w:val="22"/>
                <w:lang w:val="en-IN" w:eastAsia="en-IN" w:bidi="hi-IN"/>
              </w:rPr>
            </w:pPr>
            <w:r w:rsidRPr="00D33F7C">
              <w:rPr>
                <w:rFonts w:ascii="Garamond" w:eastAsia="Times New Roman" w:hAnsi="Garamond"/>
                <w:b/>
                <w:bCs/>
                <w:color w:val="000000"/>
                <w:sz w:val="22"/>
                <w:szCs w:val="22"/>
                <w:lang w:val="en-IN" w:eastAsia="en-IN" w:bidi="hi-IN"/>
              </w:rPr>
              <w:t>Jun-21</w:t>
            </w:r>
          </w:p>
        </w:tc>
      </w:tr>
      <w:tr w:rsidR="00D33F7C" w:rsidRPr="00D33F7C" w14:paraId="04378E60" w14:textId="77777777" w:rsidTr="00E213CE">
        <w:trPr>
          <w:trHeight w:val="251"/>
        </w:trPr>
        <w:tc>
          <w:tcPr>
            <w:tcW w:w="5580" w:type="dxa"/>
            <w:tcBorders>
              <w:top w:val="nil"/>
              <w:left w:val="single" w:sz="4" w:space="0" w:color="000000"/>
              <w:bottom w:val="single" w:sz="4" w:space="0" w:color="000000"/>
              <w:right w:val="nil"/>
            </w:tcBorders>
            <w:shd w:val="clear" w:color="auto" w:fill="auto"/>
            <w:vAlign w:val="center"/>
            <w:hideMark/>
          </w:tcPr>
          <w:p w14:paraId="4C8E885E" w14:textId="77777777" w:rsidR="00D33F7C" w:rsidRPr="00D33F7C" w:rsidRDefault="00D33F7C" w:rsidP="00D33F7C">
            <w:pPr>
              <w:rPr>
                <w:rFonts w:ascii="Garamond" w:eastAsia="Times New Roman" w:hAnsi="Garamond"/>
                <w:b/>
                <w:bCs/>
                <w:i/>
                <w:iCs/>
                <w:color w:val="000000"/>
                <w:sz w:val="22"/>
                <w:szCs w:val="22"/>
                <w:lang w:val="en-IN" w:eastAsia="en-IN" w:bidi="hi-IN"/>
              </w:rPr>
            </w:pPr>
            <w:r w:rsidRPr="00D33F7C">
              <w:rPr>
                <w:rFonts w:ascii="Garamond" w:eastAsia="Times New Roman" w:hAnsi="Garamond"/>
                <w:b/>
                <w:bCs/>
                <w:i/>
                <w:iCs/>
                <w:color w:val="000000"/>
                <w:sz w:val="22"/>
                <w:szCs w:val="22"/>
                <w:lang w:val="en-IN" w:eastAsia="en-IN" w:bidi="hi-IN"/>
              </w:rPr>
              <w:t>I. Equity Issue</w:t>
            </w:r>
          </w:p>
        </w:tc>
        <w:tc>
          <w:tcPr>
            <w:tcW w:w="1194" w:type="dxa"/>
            <w:tcBorders>
              <w:top w:val="nil"/>
              <w:left w:val="single" w:sz="4" w:space="0" w:color="000000"/>
              <w:bottom w:val="single" w:sz="4" w:space="0" w:color="000000"/>
              <w:right w:val="single" w:sz="4" w:space="0" w:color="000000"/>
            </w:tcBorders>
            <w:shd w:val="clear" w:color="auto" w:fill="auto"/>
            <w:noWrap/>
            <w:vAlign w:val="center"/>
            <w:hideMark/>
          </w:tcPr>
          <w:p w14:paraId="13126939" w14:textId="77777777" w:rsidR="00D33F7C" w:rsidRPr="00D33F7C" w:rsidRDefault="00D33F7C" w:rsidP="00D33F7C">
            <w:pPr>
              <w:jc w:val="right"/>
              <w:rPr>
                <w:rFonts w:ascii="Garamond" w:eastAsia="Times New Roman" w:hAnsi="Garamond"/>
                <w:b/>
                <w:bCs/>
                <w:color w:val="000000"/>
                <w:sz w:val="22"/>
                <w:szCs w:val="22"/>
                <w:lang w:val="en-IN" w:eastAsia="en-IN" w:bidi="hi-IN"/>
              </w:rPr>
            </w:pPr>
            <w:r w:rsidRPr="00D33F7C">
              <w:rPr>
                <w:rFonts w:ascii="Garamond" w:eastAsia="Times New Roman" w:hAnsi="Garamond"/>
                <w:b/>
                <w:bCs/>
                <w:color w:val="000000"/>
                <w:sz w:val="22"/>
                <w:szCs w:val="22"/>
                <w:lang w:val="en-IN" w:eastAsia="en-IN" w:bidi="hi-IN"/>
              </w:rPr>
              <w:t>9,470</w:t>
            </w:r>
          </w:p>
        </w:tc>
        <w:tc>
          <w:tcPr>
            <w:tcW w:w="1194" w:type="dxa"/>
            <w:tcBorders>
              <w:top w:val="nil"/>
              <w:left w:val="nil"/>
              <w:bottom w:val="single" w:sz="4" w:space="0" w:color="000000"/>
              <w:right w:val="single" w:sz="4" w:space="0" w:color="000000"/>
            </w:tcBorders>
            <w:shd w:val="clear" w:color="auto" w:fill="auto"/>
            <w:noWrap/>
            <w:vAlign w:val="center"/>
            <w:hideMark/>
          </w:tcPr>
          <w:p w14:paraId="445B78D6" w14:textId="77777777" w:rsidR="00D33F7C" w:rsidRPr="00D33F7C" w:rsidRDefault="00D33F7C" w:rsidP="00D33F7C">
            <w:pPr>
              <w:jc w:val="right"/>
              <w:rPr>
                <w:rFonts w:ascii="Garamond" w:eastAsia="Times New Roman" w:hAnsi="Garamond"/>
                <w:b/>
                <w:bCs/>
                <w:color w:val="000000"/>
                <w:sz w:val="22"/>
                <w:szCs w:val="22"/>
                <w:lang w:val="en-IN" w:eastAsia="en-IN" w:bidi="hi-IN"/>
              </w:rPr>
            </w:pPr>
            <w:r w:rsidRPr="00D33F7C">
              <w:rPr>
                <w:rFonts w:ascii="Garamond" w:eastAsia="Times New Roman" w:hAnsi="Garamond"/>
                <w:b/>
                <w:bCs/>
                <w:color w:val="000000"/>
                <w:sz w:val="22"/>
                <w:szCs w:val="22"/>
                <w:lang w:val="en-IN" w:eastAsia="en-IN" w:bidi="hi-IN"/>
              </w:rPr>
              <w:t>24,652</w:t>
            </w:r>
          </w:p>
        </w:tc>
      </w:tr>
      <w:tr w:rsidR="00D33F7C" w:rsidRPr="00D33F7C" w14:paraId="5730D37A" w14:textId="77777777" w:rsidTr="00E213CE">
        <w:trPr>
          <w:trHeight w:val="251"/>
        </w:trPr>
        <w:tc>
          <w:tcPr>
            <w:tcW w:w="5580" w:type="dxa"/>
            <w:tcBorders>
              <w:top w:val="nil"/>
              <w:left w:val="single" w:sz="4" w:space="0" w:color="000000"/>
              <w:bottom w:val="single" w:sz="4" w:space="0" w:color="000000"/>
              <w:right w:val="single" w:sz="4" w:space="0" w:color="000000"/>
            </w:tcBorders>
            <w:shd w:val="clear" w:color="auto" w:fill="auto"/>
            <w:noWrap/>
            <w:vAlign w:val="center"/>
            <w:hideMark/>
          </w:tcPr>
          <w:p w14:paraId="625DAA2D" w14:textId="77777777" w:rsidR="00D33F7C" w:rsidRPr="00D33F7C" w:rsidRDefault="00D33F7C" w:rsidP="00D33F7C">
            <w:pPr>
              <w:rPr>
                <w:rFonts w:ascii="Garamond" w:eastAsia="Times New Roman" w:hAnsi="Garamond"/>
                <w:color w:val="000000"/>
                <w:sz w:val="22"/>
                <w:szCs w:val="22"/>
                <w:lang w:val="en-IN" w:eastAsia="en-IN" w:bidi="hi-IN"/>
              </w:rPr>
            </w:pPr>
            <w:r w:rsidRPr="00D33F7C">
              <w:rPr>
                <w:rFonts w:ascii="Garamond" w:eastAsia="Times New Roman" w:hAnsi="Garamond"/>
                <w:color w:val="000000"/>
                <w:sz w:val="22"/>
                <w:szCs w:val="22"/>
                <w:lang w:val="en-IN" w:eastAsia="en-IN" w:bidi="hi-IN"/>
              </w:rPr>
              <w:t>a. IPOs (i+ii)</w:t>
            </w:r>
          </w:p>
        </w:tc>
        <w:tc>
          <w:tcPr>
            <w:tcW w:w="1194" w:type="dxa"/>
            <w:tcBorders>
              <w:top w:val="nil"/>
              <w:left w:val="nil"/>
              <w:bottom w:val="single" w:sz="4" w:space="0" w:color="000000"/>
              <w:right w:val="single" w:sz="4" w:space="0" w:color="000000"/>
            </w:tcBorders>
            <w:shd w:val="clear" w:color="auto" w:fill="auto"/>
            <w:noWrap/>
            <w:vAlign w:val="center"/>
            <w:hideMark/>
          </w:tcPr>
          <w:p w14:paraId="3E566E1E" w14:textId="77777777" w:rsidR="00D33F7C" w:rsidRPr="00D33F7C" w:rsidRDefault="00D33F7C" w:rsidP="00D33F7C">
            <w:pPr>
              <w:jc w:val="right"/>
              <w:rPr>
                <w:rFonts w:ascii="Garamond" w:eastAsia="Times New Roman" w:hAnsi="Garamond"/>
                <w:color w:val="000000"/>
                <w:sz w:val="22"/>
                <w:szCs w:val="22"/>
                <w:lang w:val="en-IN" w:eastAsia="en-IN" w:bidi="hi-IN"/>
              </w:rPr>
            </w:pPr>
            <w:r w:rsidRPr="00D33F7C">
              <w:rPr>
                <w:rFonts w:ascii="Garamond" w:eastAsia="Times New Roman" w:hAnsi="Garamond"/>
                <w:color w:val="000000"/>
                <w:sz w:val="22"/>
                <w:szCs w:val="22"/>
                <w:lang w:val="en-IN" w:eastAsia="en-IN" w:bidi="hi-IN"/>
              </w:rPr>
              <w:t>1</w:t>
            </w:r>
          </w:p>
        </w:tc>
        <w:tc>
          <w:tcPr>
            <w:tcW w:w="1194" w:type="dxa"/>
            <w:tcBorders>
              <w:top w:val="nil"/>
              <w:left w:val="nil"/>
              <w:bottom w:val="single" w:sz="4" w:space="0" w:color="000000"/>
              <w:right w:val="single" w:sz="4" w:space="0" w:color="000000"/>
            </w:tcBorders>
            <w:shd w:val="clear" w:color="auto" w:fill="auto"/>
            <w:noWrap/>
            <w:vAlign w:val="center"/>
            <w:hideMark/>
          </w:tcPr>
          <w:p w14:paraId="14CB52B6" w14:textId="77777777" w:rsidR="00D33F7C" w:rsidRPr="00D33F7C" w:rsidRDefault="00D33F7C" w:rsidP="00D33F7C">
            <w:pPr>
              <w:jc w:val="right"/>
              <w:rPr>
                <w:rFonts w:ascii="Garamond" w:eastAsia="Times New Roman" w:hAnsi="Garamond"/>
                <w:color w:val="000000"/>
                <w:sz w:val="22"/>
                <w:szCs w:val="22"/>
                <w:lang w:val="en-IN" w:eastAsia="en-IN" w:bidi="hi-IN"/>
              </w:rPr>
            </w:pPr>
            <w:r w:rsidRPr="00D33F7C">
              <w:rPr>
                <w:rFonts w:ascii="Garamond" w:eastAsia="Times New Roman" w:hAnsi="Garamond"/>
                <w:color w:val="000000"/>
                <w:sz w:val="22"/>
                <w:szCs w:val="22"/>
                <w:lang w:val="en-IN" w:eastAsia="en-IN" w:bidi="hi-IN"/>
              </w:rPr>
              <w:t>9,146</w:t>
            </w:r>
          </w:p>
        </w:tc>
      </w:tr>
      <w:tr w:rsidR="00D33F7C" w:rsidRPr="00D33F7C" w14:paraId="6A088004" w14:textId="77777777" w:rsidTr="00E213CE">
        <w:trPr>
          <w:trHeight w:val="251"/>
        </w:trPr>
        <w:tc>
          <w:tcPr>
            <w:tcW w:w="5580" w:type="dxa"/>
            <w:tcBorders>
              <w:top w:val="nil"/>
              <w:left w:val="single" w:sz="4" w:space="0" w:color="000000"/>
              <w:bottom w:val="single" w:sz="4" w:space="0" w:color="000000"/>
              <w:right w:val="single" w:sz="4" w:space="0" w:color="000000"/>
            </w:tcBorders>
            <w:shd w:val="clear" w:color="auto" w:fill="auto"/>
            <w:noWrap/>
            <w:vAlign w:val="center"/>
            <w:hideMark/>
          </w:tcPr>
          <w:p w14:paraId="072DD47A" w14:textId="77777777" w:rsidR="00D33F7C" w:rsidRPr="00D33F7C" w:rsidRDefault="00D33F7C" w:rsidP="00D33F7C">
            <w:pPr>
              <w:rPr>
                <w:rFonts w:ascii="Garamond" w:eastAsia="Times New Roman" w:hAnsi="Garamond"/>
                <w:i/>
                <w:iCs/>
                <w:color w:val="000000"/>
                <w:sz w:val="22"/>
                <w:szCs w:val="22"/>
                <w:lang w:val="en-IN" w:eastAsia="en-IN" w:bidi="hi-IN"/>
              </w:rPr>
            </w:pPr>
            <w:r w:rsidRPr="00D33F7C">
              <w:rPr>
                <w:rFonts w:ascii="Garamond" w:eastAsia="Times New Roman" w:hAnsi="Garamond"/>
                <w:i/>
                <w:iCs/>
                <w:color w:val="000000"/>
                <w:sz w:val="22"/>
                <w:szCs w:val="22"/>
                <w:lang w:val="en-IN" w:eastAsia="en-IN" w:bidi="hi-IN"/>
              </w:rPr>
              <w:t xml:space="preserve">    i. Main Board</w:t>
            </w:r>
          </w:p>
        </w:tc>
        <w:tc>
          <w:tcPr>
            <w:tcW w:w="1194" w:type="dxa"/>
            <w:tcBorders>
              <w:top w:val="nil"/>
              <w:left w:val="nil"/>
              <w:bottom w:val="single" w:sz="4" w:space="0" w:color="000000"/>
              <w:right w:val="single" w:sz="4" w:space="0" w:color="000000"/>
            </w:tcBorders>
            <w:shd w:val="clear" w:color="auto" w:fill="auto"/>
            <w:noWrap/>
            <w:vAlign w:val="center"/>
            <w:hideMark/>
          </w:tcPr>
          <w:p w14:paraId="043D080B" w14:textId="77777777" w:rsidR="00D33F7C" w:rsidRPr="00D33F7C" w:rsidRDefault="00D33F7C" w:rsidP="00D33F7C">
            <w:pPr>
              <w:jc w:val="right"/>
              <w:rPr>
                <w:rFonts w:ascii="Garamond" w:eastAsia="Times New Roman" w:hAnsi="Garamond"/>
                <w:color w:val="000000"/>
                <w:sz w:val="22"/>
                <w:szCs w:val="22"/>
                <w:lang w:val="en-IN" w:eastAsia="en-IN" w:bidi="hi-IN"/>
              </w:rPr>
            </w:pPr>
            <w:r w:rsidRPr="00D33F7C">
              <w:rPr>
                <w:rFonts w:ascii="Garamond" w:eastAsia="Times New Roman" w:hAnsi="Garamond"/>
                <w:color w:val="000000"/>
                <w:sz w:val="22"/>
                <w:szCs w:val="22"/>
                <w:lang w:val="en-IN" w:eastAsia="en-IN" w:bidi="hi-IN"/>
              </w:rPr>
              <w:t>0</w:t>
            </w:r>
          </w:p>
        </w:tc>
        <w:tc>
          <w:tcPr>
            <w:tcW w:w="1194" w:type="dxa"/>
            <w:tcBorders>
              <w:top w:val="nil"/>
              <w:left w:val="nil"/>
              <w:bottom w:val="single" w:sz="4" w:space="0" w:color="000000"/>
              <w:right w:val="single" w:sz="4" w:space="0" w:color="000000"/>
            </w:tcBorders>
            <w:shd w:val="clear" w:color="auto" w:fill="auto"/>
            <w:noWrap/>
            <w:vAlign w:val="center"/>
            <w:hideMark/>
          </w:tcPr>
          <w:p w14:paraId="346A388E" w14:textId="77777777" w:rsidR="00D33F7C" w:rsidRPr="00D33F7C" w:rsidRDefault="00D33F7C" w:rsidP="00D33F7C">
            <w:pPr>
              <w:jc w:val="right"/>
              <w:rPr>
                <w:rFonts w:ascii="Garamond" w:eastAsia="Times New Roman" w:hAnsi="Garamond"/>
                <w:color w:val="000000"/>
                <w:sz w:val="22"/>
                <w:szCs w:val="22"/>
                <w:lang w:val="en-IN" w:eastAsia="en-IN" w:bidi="hi-IN"/>
              </w:rPr>
            </w:pPr>
            <w:r w:rsidRPr="00D33F7C">
              <w:rPr>
                <w:rFonts w:ascii="Garamond" w:eastAsia="Times New Roman" w:hAnsi="Garamond"/>
                <w:color w:val="000000"/>
                <w:sz w:val="22"/>
                <w:szCs w:val="22"/>
                <w:lang w:val="en-IN" w:eastAsia="en-IN" w:bidi="hi-IN"/>
              </w:rPr>
              <w:t>9,122</w:t>
            </w:r>
          </w:p>
        </w:tc>
      </w:tr>
      <w:tr w:rsidR="00D33F7C" w:rsidRPr="00D33F7C" w14:paraId="7D845427" w14:textId="77777777" w:rsidTr="00E213CE">
        <w:trPr>
          <w:trHeight w:val="251"/>
        </w:trPr>
        <w:tc>
          <w:tcPr>
            <w:tcW w:w="5580" w:type="dxa"/>
            <w:tcBorders>
              <w:top w:val="nil"/>
              <w:left w:val="single" w:sz="4" w:space="0" w:color="000000"/>
              <w:bottom w:val="single" w:sz="4" w:space="0" w:color="000000"/>
              <w:right w:val="single" w:sz="4" w:space="0" w:color="000000"/>
            </w:tcBorders>
            <w:shd w:val="clear" w:color="auto" w:fill="auto"/>
            <w:noWrap/>
            <w:vAlign w:val="center"/>
            <w:hideMark/>
          </w:tcPr>
          <w:p w14:paraId="632410E3" w14:textId="77777777" w:rsidR="00D33F7C" w:rsidRPr="00D33F7C" w:rsidRDefault="00D33F7C" w:rsidP="00D33F7C">
            <w:pPr>
              <w:rPr>
                <w:rFonts w:ascii="Garamond" w:eastAsia="Times New Roman" w:hAnsi="Garamond"/>
                <w:i/>
                <w:iCs/>
                <w:color w:val="000000"/>
                <w:sz w:val="22"/>
                <w:szCs w:val="22"/>
                <w:lang w:val="en-IN" w:eastAsia="en-IN" w:bidi="hi-IN"/>
              </w:rPr>
            </w:pPr>
            <w:r w:rsidRPr="00D33F7C">
              <w:rPr>
                <w:rFonts w:ascii="Garamond" w:eastAsia="Times New Roman" w:hAnsi="Garamond"/>
                <w:i/>
                <w:iCs/>
                <w:color w:val="000000"/>
                <w:sz w:val="22"/>
                <w:szCs w:val="22"/>
                <w:lang w:val="en-IN" w:eastAsia="en-IN" w:bidi="hi-IN"/>
              </w:rPr>
              <w:t xml:space="preserve">    ii. SME Platform</w:t>
            </w:r>
          </w:p>
        </w:tc>
        <w:tc>
          <w:tcPr>
            <w:tcW w:w="1194" w:type="dxa"/>
            <w:tcBorders>
              <w:top w:val="nil"/>
              <w:left w:val="nil"/>
              <w:bottom w:val="single" w:sz="4" w:space="0" w:color="000000"/>
              <w:right w:val="single" w:sz="4" w:space="0" w:color="000000"/>
            </w:tcBorders>
            <w:shd w:val="clear" w:color="auto" w:fill="auto"/>
            <w:noWrap/>
            <w:vAlign w:val="center"/>
            <w:hideMark/>
          </w:tcPr>
          <w:p w14:paraId="79A8C2D5" w14:textId="77777777" w:rsidR="00D33F7C" w:rsidRPr="00D33F7C" w:rsidRDefault="00D33F7C" w:rsidP="00D33F7C">
            <w:pPr>
              <w:jc w:val="right"/>
              <w:rPr>
                <w:rFonts w:ascii="Garamond" w:eastAsia="Times New Roman" w:hAnsi="Garamond"/>
                <w:color w:val="000000"/>
                <w:sz w:val="22"/>
                <w:szCs w:val="22"/>
                <w:lang w:val="en-IN" w:eastAsia="en-IN" w:bidi="hi-IN"/>
              </w:rPr>
            </w:pPr>
            <w:r w:rsidRPr="00D33F7C">
              <w:rPr>
                <w:rFonts w:ascii="Garamond" w:eastAsia="Times New Roman" w:hAnsi="Garamond"/>
                <w:color w:val="000000"/>
                <w:sz w:val="22"/>
                <w:szCs w:val="22"/>
                <w:lang w:val="en-IN" w:eastAsia="en-IN" w:bidi="hi-IN"/>
              </w:rPr>
              <w:t>1</w:t>
            </w:r>
          </w:p>
        </w:tc>
        <w:tc>
          <w:tcPr>
            <w:tcW w:w="1194" w:type="dxa"/>
            <w:tcBorders>
              <w:top w:val="nil"/>
              <w:left w:val="nil"/>
              <w:bottom w:val="single" w:sz="4" w:space="0" w:color="000000"/>
              <w:right w:val="single" w:sz="4" w:space="0" w:color="000000"/>
            </w:tcBorders>
            <w:shd w:val="clear" w:color="auto" w:fill="auto"/>
            <w:noWrap/>
            <w:vAlign w:val="center"/>
            <w:hideMark/>
          </w:tcPr>
          <w:p w14:paraId="5A475492" w14:textId="77777777" w:rsidR="00D33F7C" w:rsidRPr="00D33F7C" w:rsidRDefault="00D33F7C" w:rsidP="00D33F7C">
            <w:pPr>
              <w:jc w:val="right"/>
              <w:rPr>
                <w:rFonts w:ascii="Garamond" w:eastAsia="Times New Roman" w:hAnsi="Garamond"/>
                <w:color w:val="000000"/>
                <w:sz w:val="22"/>
                <w:szCs w:val="22"/>
                <w:lang w:val="en-IN" w:eastAsia="en-IN" w:bidi="hi-IN"/>
              </w:rPr>
            </w:pPr>
            <w:r w:rsidRPr="00D33F7C">
              <w:rPr>
                <w:rFonts w:ascii="Garamond" w:eastAsia="Times New Roman" w:hAnsi="Garamond"/>
                <w:color w:val="000000"/>
                <w:sz w:val="22"/>
                <w:szCs w:val="22"/>
                <w:lang w:val="en-IN" w:eastAsia="en-IN" w:bidi="hi-IN"/>
              </w:rPr>
              <w:t>24</w:t>
            </w:r>
          </w:p>
        </w:tc>
      </w:tr>
      <w:tr w:rsidR="00D33F7C" w:rsidRPr="00D33F7C" w14:paraId="6A33EBF7" w14:textId="77777777" w:rsidTr="00E213CE">
        <w:trPr>
          <w:trHeight w:val="251"/>
        </w:trPr>
        <w:tc>
          <w:tcPr>
            <w:tcW w:w="5580" w:type="dxa"/>
            <w:tcBorders>
              <w:top w:val="nil"/>
              <w:left w:val="single" w:sz="4" w:space="0" w:color="000000"/>
              <w:bottom w:val="single" w:sz="4" w:space="0" w:color="000000"/>
              <w:right w:val="single" w:sz="4" w:space="0" w:color="000000"/>
            </w:tcBorders>
            <w:shd w:val="clear" w:color="auto" w:fill="auto"/>
            <w:noWrap/>
            <w:vAlign w:val="center"/>
            <w:hideMark/>
          </w:tcPr>
          <w:p w14:paraId="589D6AAE" w14:textId="77777777" w:rsidR="00D33F7C" w:rsidRPr="00D33F7C" w:rsidRDefault="00D33F7C" w:rsidP="00D33F7C">
            <w:pPr>
              <w:rPr>
                <w:rFonts w:ascii="Garamond" w:eastAsia="Times New Roman" w:hAnsi="Garamond"/>
                <w:color w:val="000000"/>
                <w:sz w:val="22"/>
                <w:szCs w:val="22"/>
                <w:lang w:val="en-IN" w:eastAsia="en-IN" w:bidi="hi-IN"/>
              </w:rPr>
            </w:pPr>
            <w:r w:rsidRPr="00D33F7C">
              <w:rPr>
                <w:rFonts w:ascii="Garamond" w:eastAsia="Times New Roman" w:hAnsi="Garamond"/>
                <w:color w:val="000000"/>
                <w:sz w:val="22"/>
                <w:szCs w:val="22"/>
                <w:lang w:val="en-IN" w:eastAsia="en-IN" w:bidi="hi-IN"/>
              </w:rPr>
              <w:t>b. FPOs</w:t>
            </w:r>
          </w:p>
        </w:tc>
        <w:tc>
          <w:tcPr>
            <w:tcW w:w="1194" w:type="dxa"/>
            <w:tcBorders>
              <w:top w:val="nil"/>
              <w:left w:val="nil"/>
              <w:bottom w:val="single" w:sz="4" w:space="0" w:color="000000"/>
              <w:right w:val="single" w:sz="4" w:space="0" w:color="000000"/>
            </w:tcBorders>
            <w:shd w:val="clear" w:color="auto" w:fill="auto"/>
            <w:noWrap/>
            <w:vAlign w:val="center"/>
            <w:hideMark/>
          </w:tcPr>
          <w:p w14:paraId="2A1281A2" w14:textId="77777777" w:rsidR="00D33F7C" w:rsidRPr="00D33F7C" w:rsidRDefault="00D33F7C" w:rsidP="00D33F7C">
            <w:pPr>
              <w:jc w:val="right"/>
              <w:rPr>
                <w:rFonts w:ascii="Garamond" w:eastAsia="Times New Roman" w:hAnsi="Garamond"/>
                <w:color w:val="000000"/>
                <w:sz w:val="22"/>
                <w:szCs w:val="22"/>
                <w:lang w:val="en-IN" w:eastAsia="en-IN" w:bidi="hi-IN"/>
              </w:rPr>
            </w:pPr>
            <w:r w:rsidRPr="00D33F7C">
              <w:rPr>
                <w:rFonts w:ascii="Garamond" w:eastAsia="Times New Roman" w:hAnsi="Garamond"/>
                <w:color w:val="000000"/>
                <w:sz w:val="22"/>
                <w:szCs w:val="22"/>
                <w:lang w:val="en-IN" w:eastAsia="en-IN" w:bidi="hi-IN"/>
              </w:rPr>
              <w:t>0</w:t>
            </w:r>
          </w:p>
        </w:tc>
        <w:tc>
          <w:tcPr>
            <w:tcW w:w="1194" w:type="dxa"/>
            <w:tcBorders>
              <w:top w:val="nil"/>
              <w:left w:val="nil"/>
              <w:bottom w:val="single" w:sz="4" w:space="0" w:color="000000"/>
              <w:right w:val="single" w:sz="4" w:space="0" w:color="000000"/>
            </w:tcBorders>
            <w:shd w:val="clear" w:color="auto" w:fill="auto"/>
            <w:noWrap/>
            <w:vAlign w:val="center"/>
            <w:hideMark/>
          </w:tcPr>
          <w:p w14:paraId="2303F753" w14:textId="77777777" w:rsidR="00D33F7C" w:rsidRPr="00D33F7C" w:rsidRDefault="00D33F7C" w:rsidP="00D33F7C">
            <w:pPr>
              <w:jc w:val="right"/>
              <w:rPr>
                <w:rFonts w:ascii="Garamond" w:eastAsia="Times New Roman" w:hAnsi="Garamond"/>
                <w:color w:val="000000"/>
                <w:sz w:val="22"/>
                <w:szCs w:val="22"/>
                <w:lang w:val="en-IN" w:eastAsia="en-IN" w:bidi="hi-IN"/>
              </w:rPr>
            </w:pPr>
            <w:r w:rsidRPr="00D33F7C">
              <w:rPr>
                <w:rFonts w:ascii="Garamond" w:eastAsia="Times New Roman" w:hAnsi="Garamond"/>
                <w:color w:val="000000"/>
                <w:sz w:val="22"/>
                <w:szCs w:val="22"/>
                <w:lang w:val="en-IN" w:eastAsia="en-IN" w:bidi="hi-IN"/>
              </w:rPr>
              <w:t>0</w:t>
            </w:r>
          </w:p>
        </w:tc>
      </w:tr>
      <w:tr w:rsidR="00D33F7C" w:rsidRPr="00D33F7C" w14:paraId="0BB596F9" w14:textId="77777777" w:rsidTr="00E213CE">
        <w:trPr>
          <w:trHeight w:val="251"/>
        </w:trPr>
        <w:tc>
          <w:tcPr>
            <w:tcW w:w="5580" w:type="dxa"/>
            <w:tcBorders>
              <w:top w:val="nil"/>
              <w:left w:val="single" w:sz="4" w:space="0" w:color="000000"/>
              <w:bottom w:val="single" w:sz="4" w:space="0" w:color="000000"/>
              <w:right w:val="single" w:sz="4" w:space="0" w:color="000000"/>
            </w:tcBorders>
            <w:shd w:val="clear" w:color="auto" w:fill="auto"/>
            <w:noWrap/>
            <w:vAlign w:val="center"/>
            <w:hideMark/>
          </w:tcPr>
          <w:p w14:paraId="64F04123" w14:textId="77777777" w:rsidR="00D33F7C" w:rsidRPr="00D33F7C" w:rsidRDefault="00D33F7C" w:rsidP="00D33F7C">
            <w:pPr>
              <w:rPr>
                <w:rFonts w:ascii="Garamond" w:eastAsia="Times New Roman" w:hAnsi="Garamond"/>
                <w:color w:val="000000"/>
                <w:sz w:val="22"/>
                <w:szCs w:val="22"/>
                <w:lang w:val="en-IN" w:eastAsia="en-IN" w:bidi="hi-IN"/>
              </w:rPr>
            </w:pPr>
            <w:r w:rsidRPr="00D33F7C">
              <w:rPr>
                <w:rFonts w:ascii="Garamond" w:eastAsia="Times New Roman" w:hAnsi="Garamond"/>
                <w:color w:val="000000"/>
                <w:sz w:val="22"/>
                <w:szCs w:val="22"/>
                <w:lang w:val="en-IN" w:eastAsia="en-IN" w:bidi="hi-IN"/>
              </w:rPr>
              <w:t>c. Equity Rights Issue</w:t>
            </w:r>
          </w:p>
        </w:tc>
        <w:tc>
          <w:tcPr>
            <w:tcW w:w="1194" w:type="dxa"/>
            <w:tcBorders>
              <w:top w:val="nil"/>
              <w:left w:val="nil"/>
              <w:bottom w:val="single" w:sz="4" w:space="0" w:color="000000"/>
              <w:right w:val="single" w:sz="4" w:space="0" w:color="000000"/>
            </w:tcBorders>
            <w:shd w:val="clear" w:color="auto" w:fill="auto"/>
            <w:noWrap/>
            <w:vAlign w:val="center"/>
            <w:hideMark/>
          </w:tcPr>
          <w:p w14:paraId="6FFFD6D2" w14:textId="77777777" w:rsidR="00D33F7C" w:rsidRPr="00D33F7C" w:rsidRDefault="00D33F7C" w:rsidP="00D33F7C">
            <w:pPr>
              <w:jc w:val="right"/>
              <w:rPr>
                <w:rFonts w:ascii="Garamond" w:eastAsia="Times New Roman" w:hAnsi="Garamond"/>
                <w:color w:val="000000"/>
                <w:sz w:val="22"/>
                <w:szCs w:val="22"/>
                <w:lang w:val="en-IN" w:eastAsia="en-IN" w:bidi="hi-IN"/>
              </w:rPr>
            </w:pPr>
            <w:r w:rsidRPr="00D33F7C">
              <w:rPr>
                <w:rFonts w:ascii="Garamond" w:eastAsia="Times New Roman" w:hAnsi="Garamond"/>
                <w:color w:val="000000"/>
                <w:sz w:val="22"/>
                <w:szCs w:val="22"/>
                <w:lang w:val="en-IN" w:eastAsia="en-IN" w:bidi="hi-IN"/>
              </w:rPr>
              <w:t>25</w:t>
            </w:r>
          </w:p>
        </w:tc>
        <w:tc>
          <w:tcPr>
            <w:tcW w:w="1194" w:type="dxa"/>
            <w:tcBorders>
              <w:top w:val="nil"/>
              <w:left w:val="nil"/>
              <w:bottom w:val="single" w:sz="4" w:space="0" w:color="000000"/>
              <w:right w:val="single" w:sz="4" w:space="0" w:color="000000"/>
            </w:tcBorders>
            <w:shd w:val="clear" w:color="auto" w:fill="auto"/>
            <w:noWrap/>
            <w:vAlign w:val="center"/>
            <w:hideMark/>
          </w:tcPr>
          <w:p w14:paraId="44E120D6" w14:textId="77777777" w:rsidR="00D33F7C" w:rsidRPr="00D33F7C" w:rsidRDefault="00D33F7C" w:rsidP="00D33F7C">
            <w:pPr>
              <w:jc w:val="right"/>
              <w:rPr>
                <w:rFonts w:ascii="Garamond" w:eastAsia="Times New Roman" w:hAnsi="Garamond"/>
                <w:color w:val="000000"/>
                <w:sz w:val="22"/>
                <w:szCs w:val="22"/>
                <w:lang w:val="en-IN" w:eastAsia="en-IN" w:bidi="hi-IN"/>
              </w:rPr>
            </w:pPr>
            <w:r w:rsidRPr="00D33F7C">
              <w:rPr>
                <w:rFonts w:ascii="Garamond" w:eastAsia="Times New Roman" w:hAnsi="Garamond"/>
                <w:color w:val="000000"/>
                <w:sz w:val="22"/>
                <w:szCs w:val="22"/>
                <w:lang w:val="en-IN" w:eastAsia="en-IN" w:bidi="hi-IN"/>
              </w:rPr>
              <w:t>404</w:t>
            </w:r>
          </w:p>
        </w:tc>
      </w:tr>
      <w:tr w:rsidR="00D33F7C" w:rsidRPr="00D33F7C" w14:paraId="5F54166E" w14:textId="77777777" w:rsidTr="00E213CE">
        <w:trPr>
          <w:trHeight w:val="251"/>
        </w:trPr>
        <w:tc>
          <w:tcPr>
            <w:tcW w:w="5580" w:type="dxa"/>
            <w:tcBorders>
              <w:top w:val="nil"/>
              <w:left w:val="single" w:sz="4" w:space="0" w:color="000000"/>
              <w:bottom w:val="single" w:sz="4" w:space="0" w:color="000000"/>
              <w:right w:val="single" w:sz="4" w:space="0" w:color="000000"/>
            </w:tcBorders>
            <w:shd w:val="clear" w:color="auto" w:fill="auto"/>
            <w:noWrap/>
            <w:vAlign w:val="center"/>
            <w:hideMark/>
          </w:tcPr>
          <w:p w14:paraId="506D9124" w14:textId="77777777" w:rsidR="00D33F7C" w:rsidRPr="00D33F7C" w:rsidRDefault="00D33F7C" w:rsidP="00D33F7C">
            <w:pPr>
              <w:rPr>
                <w:rFonts w:ascii="Garamond" w:eastAsia="Times New Roman" w:hAnsi="Garamond"/>
                <w:color w:val="000000"/>
                <w:sz w:val="22"/>
                <w:szCs w:val="22"/>
                <w:lang w:val="en-IN" w:eastAsia="en-IN" w:bidi="hi-IN"/>
              </w:rPr>
            </w:pPr>
            <w:r w:rsidRPr="00D33F7C">
              <w:rPr>
                <w:rFonts w:ascii="Garamond" w:eastAsia="Times New Roman" w:hAnsi="Garamond"/>
                <w:color w:val="000000"/>
                <w:sz w:val="22"/>
                <w:szCs w:val="22"/>
                <w:lang w:val="en-IN" w:eastAsia="en-IN" w:bidi="hi-IN"/>
              </w:rPr>
              <w:t>d. QIP/IPP</w:t>
            </w:r>
          </w:p>
        </w:tc>
        <w:tc>
          <w:tcPr>
            <w:tcW w:w="1194" w:type="dxa"/>
            <w:tcBorders>
              <w:top w:val="nil"/>
              <w:left w:val="nil"/>
              <w:bottom w:val="single" w:sz="4" w:space="0" w:color="000000"/>
              <w:right w:val="single" w:sz="4" w:space="0" w:color="000000"/>
            </w:tcBorders>
            <w:shd w:val="clear" w:color="auto" w:fill="auto"/>
            <w:noWrap/>
            <w:vAlign w:val="center"/>
            <w:hideMark/>
          </w:tcPr>
          <w:p w14:paraId="1666053F" w14:textId="77777777" w:rsidR="00D33F7C" w:rsidRPr="00D33F7C" w:rsidRDefault="00D33F7C" w:rsidP="00D33F7C">
            <w:pPr>
              <w:jc w:val="right"/>
              <w:rPr>
                <w:rFonts w:ascii="Garamond" w:eastAsia="Times New Roman" w:hAnsi="Garamond"/>
                <w:color w:val="000000"/>
                <w:sz w:val="22"/>
                <w:szCs w:val="22"/>
                <w:lang w:val="en-IN" w:eastAsia="en-IN" w:bidi="hi-IN"/>
              </w:rPr>
            </w:pPr>
            <w:r w:rsidRPr="00D33F7C">
              <w:rPr>
                <w:rFonts w:ascii="Garamond" w:eastAsia="Times New Roman" w:hAnsi="Garamond"/>
                <w:color w:val="000000"/>
                <w:sz w:val="22"/>
                <w:szCs w:val="22"/>
                <w:lang w:val="en-IN" w:eastAsia="en-IN" w:bidi="hi-IN"/>
              </w:rPr>
              <w:t>3,847</w:t>
            </w:r>
          </w:p>
        </w:tc>
        <w:tc>
          <w:tcPr>
            <w:tcW w:w="1194" w:type="dxa"/>
            <w:tcBorders>
              <w:top w:val="nil"/>
              <w:left w:val="nil"/>
              <w:bottom w:val="single" w:sz="4" w:space="0" w:color="000000"/>
              <w:right w:val="single" w:sz="4" w:space="0" w:color="000000"/>
            </w:tcBorders>
            <w:shd w:val="clear" w:color="auto" w:fill="auto"/>
            <w:noWrap/>
            <w:vAlign w:val="center"/>
            <w:hideMark/>
          </w:tcPr>
          <w:p w14:paraId="62E3FC54" w14:textId="77777777" w:rsidR="00D33F7C" w:rsidRPr="00D33F7C" w:rsidRDefault="00D33F7C" w:rsidP="00D33F7C">
            <w:pPr>
              <w:jc w:val="right"/>
              <w:rPr>
                <w:rFonts w:ascii="Garamond" w:eastAsia="Times New Roman" w:hAnsi="Garamond"/>
                <w:color w:val="000000"/>
                <w:sz w:val="22"/>
                <w:szCs w:val="22"/>
                <w:lang w:val="en-IN" w:eastAsia="en-IN" w:bidi="hi-IN"/>
              </w:rPr>
            </w:pPr>
            <w:r w:rsidRPr="00D33F7C">
              <w:rPr>
                <w:rFonts w:ascii="Garamond" w:eastAsia="Times New Roman" w:hAnsi="Garamond"/>
                <w:color w:val="000000"/>
                <w:sz w:val="22"/>
                <w:szCs w:val="22"/>
                <w:lang w:val="en-IN" w:eastAsia="en-IN" w:bidi="hi-IN"/>
              </w:rPr>
              <w:t>4,450</w:t>
            </w:r>
          </w:p>
        </w:tc>
      </w:tr>
      <w:tr w:rsidR="00D33F7C" w:rsidRPr="00D33F7C" w14:paraId="01F2B668" w14:textId="77777777" w:rsidTr="00E213CE">
        <w:trPr>
          <w:trHeight w:val="251"/>
        </w:trPr>
        <w:tc>
          <w:tcPr>
            <w:tcW w:w="5580" w:type="dxa"/>
            <w:tcBorders>
              <w:top w:val="nil"/>
              <w:left w:val="single" w:sz="4" w:space="0" w:color="000000"/>
              <w:bottom w:val="single" w:sz="4" w:space="0" w:color="000000"/>
              <w:right w:val="single" w:sz="4" w:space="0" w:color="000000"/>
            </w:tcBorders>
            <w:shd w:val="clear" w:color="auto" w:fill="auto"/>
            <w:noWrap/>
            <w:vAlign w:val="center"/>
            <w:hideMark/>
          </w:tcPr>
          <w:p w14:paraId="37ED53BA" w14:textId="77777777" w:rsidR="00D33F7C" w:rsidRPr="00D33F7C" w:rsidRDefault="00D33F7C" w:rsidP="00D33F7C">
            <w:pPr>
              <w:rPr>
                <w:rFonts w:ascii="Garamond" w:eastAsia="Times New Roman" w:hAnsi="Garamond"/>
                <w:color w:val="000000"/>
                <w:sz w:val="22"/>
                <w:szCs w:val="22"/>
                <w:lang w:val="en-IN" w:eastAsia="en-IN" w:bidi="hi-IN"/>
              </w:rPr>
            </w:pPr>
            <w:r w:rsidRPr="00D33F7C">
              <w:rPr>
                <w:rFonts w:ascii="Garamond" w:eastAsia="Times New Roman" w:hAnsi="Garamond"/>
                <w:color w:val="000000"/>
                <w:sz w:val="22"/>
                <w:szCs w:val="22"/>
                <w:lang w:val="en-IN" w:eastAsia="en-IN" w:bidi="hi-IN"/>
              </w:rPr>
              <w:t>e. Preferential Allotment</w:t>
            </w:r>
          </w:p>
        </w:tc>
        <w:tc>
          <w:tcPr>
            <w:tcW w:w="1194" w:type="dxa"/>
            <w:tcBorders>
              <w:top w:val="nil"/>
              <w:left w:val="nil"/>
              <w:bottom w:val="single" w:sz="4" w:space="0" w:color="000000"/>
              <w:right w:val="single" w:sz="4" w:space="0" w:color="000000"/>
            </w:tcBorders>
            <w:shd w:val="clear" w:color="auto" w:fill="auto"/>
            <w:noWrap/>
            <w:vAlign w:val="center"/>
            <w:hideMark/>
          </w:tcPr>
          <w:p w14:paraId="26B1D147" w14:textId="77777777" w:rsidR="00D33F7C" w:rsidRPr="00D33F7C" w:rsidRDefault="00D33F7C" w:rsidP="00D33F7C">
            <w:pPr>
              <w:jc w:val="right"/>
              <w:rPr>
                <w:rFonts w:ascii="Garamond" w:eastAsia="Times New Roman" w:hAnsi="Garamond"/>
                <w:color w:val="000000"/>
                <w:sz w:val="22"/>
                <w:szCs w:val="22"/>
                <w:lang w:val="en-IN" w:eastAsia="en-IN" w:bidi="hi-IN"/>
              </w:rPr>
            </w:pPr>
            <w:r w:rsidRPr="00D33F7C">
              <w:rPr>
                <w:rFonts w:ascii="Garamond" w:eastAsia="Times New Roman" w:hAnsi="Garamond"/>
                <w:color w:val="000000"/>
                <w:sz w:val="22"/>
                <w:szCs w:val="22"/>
                <w:lang w:val="en-IN" w:eastAsia="en-IN" w:bidi="hi-IN"/>
              </w:rPr>
              <w:t>5,596</w:t>
            </w:r>
          </w:p>
        </w:tc>
        <w:tc>
          <w:tcPr>
            <w:tcW w:w="1194" w:type="dxa"/>
            <w:tcBorders>
              <w:top w:val="nil"/>
              <w:left w:val="nil"/>
              <w:bottom w:val="single" w:sz="4" w:space="0" w:color="000000"/>
              <w:right w:val="single" w:sz="4" w:space="0" w:color="000000"/>
            </w:tcBorders>
            <w:shd w:val="clear" w:color="auto" w:fill="auto"/>
            <w:noWrap/>
            <w:vAlign w:val="center"/>
            <w:hideMark/>
          </w:tcPr>
          <w:p w14:paraId="0EB647F2" w14:textId="77777777" w:rsidR="00D33F7C" w:rsidRPr="00D33F7C" w:rsidRDefault="00D33F7C" w:rsidP="00D33F7C">
            <w:pPr>
              <w:jc w:val="right"/>
              <w:rPr>
                <w:rFonts w:ascii="Garamond" w:eastAsia="Times New Roman" w:hAnsi="Garamond"/>
                <w:color w:val="000000"/>
                <w:sz w:val="22"/>
                <w:szCs w:val="22"/>
                <w:lang w:val="en-IN" w:eastAsia="en-IN" w:bidi="hi-IN"/>
              </w:rPr>
            </w:pPr>
            <w:r w:rsidRPr="00D33F7C">
              <w:rPr>
                <w:rFonts w:ascii="Garamond" w:eastAsia="Times New Roman" w:hAnsi="Garamond"/>
                <w:color w:val="000000"/>
                <w:sz w:val="22"/>
                <w:szCs w:val="22"/>
                <w:lang w:val="en-IN" w:eastAsia="en-IN" w:bidi="hi-IN"/>
              </w:rPr>
              <w:t>10,652</w:t>
            </w:r>
          </w:p>
        </w:tc>
      </w:tr>
      <w:tr w:rsidR="00D33F7C" w:rsidRPr="00D33F7C" w14:paraId="21271B99" w14:textId="77777777" w:rsidTr="00E213CE">
        <w:trPr>
          <w:trHeight w:val="251"/>
        </w:trPr>
        <w:tc>
          <w:tcPr>
            <w:tcW w:w="5580" w:type="dxa"/>
            <w:tcBorders>
              <w:top w:val="nil"/>
              <w:left w:val="single" w:sz="4" w:space="0" w:color="000000"/>
              <w:bottom w:val="single" w:sz="4" w:space="0" w:color="000000"/>
              <w:right w:val="nil"/>
            </w:tcBorders>
            <w:shd w:val="clear" w:color="auto" w:fill="auto"/>
            <w:vAlign w:val="center"/>
            <w:hideMark/>
          </w:tcPr>
          <w:p w14:paraId="574C5CB1" w14:textId="77777777" w:rsidR="00D33F7C" w:rsidRPr="00D33F7C" w:rsidRDefault="00D33F7C" w:rsidP="00D33F7C">
            <w:pPr>
              <w:rPr>
                <w:rFonts w:ascii="Garamond" w:eastAsia="Times New Roman" w:hAnsi="Garamond"/>
                <w:b/>
                <w:bCs/>
                <w:i/>
                <w:iCs/>
                <w:color w:val="000000"/>
                <w:sz w:val="22"/>
                <w:szCs w:val="22"/>
                <w:lang w:val="en-IN" w:eastAsia="en-IN" w:bidi="hi-IN"/>
              </w:rPr>
            </w:pPr>
            <w:r w:rsidRPr="00D33F7C">
              <w:rPr>
                <w:rFonts w:ascii="Garamond" w:eastAsia="Times New Roman" w:hAnsi="Garamond"/>
                <w:b/>
                <w:bCs/>
                <w:i/>
                <w:iCs/>
                <w:color w:val="000000"/>
                <w:sz w:val="22"/>
                <w:szCs w:val="22"/>
                <w:lang w:val="en-IN" w:eastAsia="en-IN" w:bidi="hi-IN"/>
              </w:rPr>
              <w:t xml:space="preserve">II. Debt Issue </w:t>
            </w:r>
          </w:p>
        </w:tc>
        <w:tc>
          <w:tcPr>
            <w:tcW w:w="1194" w:type="dxa"/>
            <w:tcBorders>
              <w:top w:val="nil"/>
              <w:left w:val="single" w:sz="4" w:space="0" w:color="000000"/>
              <w:bottom w:val="single" w:sz="4" w:space="0" w:color="000000"/>
              <w:right w:val="single" w:sz="4" w:space="0" w:color="000000"/>
            </w:tcBorders>
            <w:shd w:val="clear" w:color="auto" w:fill="auto"/>
            <w:noWrap/>
            <w:vAlign w:val="center"/>
            <w:hideMark/>
          </w:tcPr>
          <w:p w14:paraId="278CD2E3" w14:textId="77777777" w:rsidR="00D33F7C" w:rsidRPr="00D33F7C" w:rsidRDefault="00D33F7C" w:rsidP="00D33F7C">
            <w:pPr>
              <w:jc w:val="right"/>
              <w:rPr>
                <w:rFonts w:ascii="Garamond" w:eastAsia="Times New Roman" w:hAnsi="Garamond"/>
                <w:b/>
                <w:bCs/>
                <w:color w:val="000000"/>
                <w:sz w:val="22"/>
                <w:szCs w:val="22"/>
                <w:lang w:val="en-IN" w:eastAsia="en-IN" w:bidi="hi-IN"/>
              </w:rPr>
            </w:pPr>
            <w:r w:rsidRPr="00D33F7C">
              <w:rPr>
                <w:rFonts w:ascii="Garamond" w:eastAsia="Times New Roman" w:hAnsi="Garamond"/>
                <w:b/>
                <w:bCs/>
                <w:color w:val="000000"/>
                <w:sz w:val="22"/>
                <w:szCs w:val="22"/>
                <w:lang w:val="en-IN" w:eastAsia="en-IN" w:bidi="hi-IN"/>
              </w:rPr>
              <w:t>22,887</w:t>
            </w:r>
          </w:p>
        </w:tc>
        <w:tc>
          <w:tcPr>
            <w:tcW w:w="1194" w:type="dxa"/>
            <w:tcBorders>
              <w:top w:val="nil"/>
              <w:left w:val="nil"/>
              <w:bottom w:val="single" w:sz="4" w:space="0" w:color="000000"/>
              <w:right w:val="single" w:sz="4" w:space="0" w:color="000000"/>
            </w:tcBorders>
            <w:shd w:val="clear" w:color="auto" w:fill="auto"/>
            <w:noWrap/>
            <w:vAlign w:val="center"/>
            <w:hideMark/>
          </w:tcPr>
          <w:p w14:paraId="60831E1D" w14:textId="77777777" w:rsidR="00D33F7C" w:rsidRPr="00D33F7C" w:rsidRDefault="00D33F7C" w:rsidP="00D33F7C">
            <w:pPr>
              <w:jc w:val="right"/>
              <w:rPr>
                <w:rFonts w:ascii="Garamond" w:eastAsia="Times New Roman" w:hAnsi="Garamond"/>
                <w:b/>
                <w:bCs/>
                <w:color w:val="000000"/>
                <w:sz w:val="22"/>
                <w:szCs w:val="22"/>
                <w:lang w:val="en-IN" w:eastAsia="en-IN" w:bidi="hi-IN"/>
              </w:rPr>
            </w:pPr>
            <w:r w:rsidRPr="00D33F7C">
              <w:rPr>
                <w:rFonts w:ascii="Garamond" w:eastAsia="Times New Roman" w:hAnsi="Garamond"/>
                <w:b/>
                <w:bCs/>
                <w:color w:val="000000"/>
                <w:sz w:val="22"/>
                <w:szCs w:val="22"/>
                <w:lang w:val="en-IN" w:eastAsia="en-IN" w:bidi="hi-IN"/>
              </w:rPr>
              <w:t>55,200</w:t>
            </w:r>
          </w:p>
        </w:tc>
      </w:tr>
      <w:tr w:rsidR="00D33F7C" w:rsidRPr="00D33F7C" w14:paraId="451201F1" w14:textId="77777777" w:rsidTr="00E213CE">
        <w:trPr>
          <w:trHeight w:val="251"/>
        </w:trPr>
        <w:tc>
          <w:tcPr>
            <w:tcW w:w="5580" w:type="dxa"/>
            <w:tcBorders>
              <w:top w:val="nil"/>
              <w:left w:val="single" w:sz="4" w:space="0" w:color="000000"/>
              <w:bottom w:val="single" w:sz="4" w:space="0" w:color="000000"/>
              <w:right w:val="single" w:sz="4" w:space="0" w:color="000000"/>
            </w:tcBorders>
            <w:shd w:val="clear" w:color="auto" w:fill="auto"/>
            <w:noWrap/>
            <w:vAlign w:val="center"/>
            <w:hideMark/>
          </w:tcPr>
          <w:p w14:paraId="745A86FC" w14:textId="77777777" w:rsidR="00D33F7C" w:rsidRPr="00D33F7C" w:rsidRDefault="00D33F7C" w:rsidP="00D33F7C">
            <w:pPr>
              <w:rPr>
                <w:rFonts w:ascii="Garamond" w:eastAsia="Times New Roman" w:hAnsi="Garamond"/>
                <w:color w:val="000000"/>
                <w:sz w:val="22"/>
                <w:szCs w:val="22"/>
                <w:lang w:val="en-IN" w:eastAsia="en-IN" w:bidi="hi-IN"/>
              </w:rPr>
            </w:pPr>
            <w:r w:rsidRPr="00D33F7C">
              <w:rPr>
                <w:rFonts w:ascii="Garamond" w:eastAsia="Times New Roman" w:hAnsi="Garamond"/>
                <w:color w:val="000000"/>
                <w:sz w:val="22"/>
                <w:szCs w:val="22"/>
                <w:lang w:val="en-IN" w:eastAsia="en-IN" w:bidi="hi-IN"/>
              </w:rPr>
              <w:t>a. Debt Public Issue</w:t>
            </w:r>
          </w:p>
        </w:tc>
        <w:tc>
          <w:tcPr>
            <w:tcW w:w="1194" w:type="dxa"/>
            <w:tcBorders>
              <w:top w:val="nil"/>
              <w:left w:val="nil"/>
              <w:bottom w:val="single" w:sz="4" w:space="0" w:color="000000"/>
              <w:right w:val="single" w:sz="4" w:space="0" w:color="000000"/>
            </w:tcBorders>
            <w:shd w:val="clear" w:color="auto" w:fill="auto"/>
            <w:noWrap/>
            <w:vAlign w:val="center"/>
            <w:hideMark/>
          </w:tcPr>
          <w:p w14:paraId="4FF9598C" w14:textId="77777777" w:rsidR="00D33F7C" w:rsidRPr="00D33F7C" w:rsidRDefault="00D33F7C" w:rsidP="00D33F7C">
            <w:pPr>
              <w:jc w:val="right"/>
              <w:rPr>
                <w:rFonts w:ascii="Garamond" w:eastAsia="Times New Roman" w:hAnsi="Garamond"/>
                <w:color w:val="000000"/>
                <w:sz w:val="22"/>
                <w:szCs w:val="22"/>
                <w:lang w:val="en-IN" w:eastAsia="en-IN" w:bidi="hi-IN"/>
              </w:rPr>
            </w:pPr>
            <w:r w:rsidRPr="00D33F7C">
              <w:rPr>
                <w:rFonts w:ascii="Garamond" w:eastAsia="Times New Roman" w:hAnsi="Garamond"/>
                <w:color w:val="000000"/>
                <w:sz w:val="22"/>
                <w:szCs w:val="22"/>
                <w:lang w:val="en-IN" w:eastAsia="en-IN" w:bidi="hi-IN"/>
              </w:rPr>
              <w:t>1,265</w:t>
            </w:r>
          </w:p>
        </w:tc>
        <w:tc>
          <w:tcPr>
            <w:tcW w:w="1194" w:type="dxa"/>
            <w:tcBorders>
              <w:top w:val="nil"/>
              <w:left w:val="nil"/>
              <w:bottom w:val="single" w:sz="4" w:space="0" w:color="000000"/>
              <w:right w:val="single" w:sz="4" w:space="0" w:color="000000"/>
            </w:tcBorders>
            <w:shd w:val="clear" w:color="auto" w:fill="auto"/>
            <w:noWrap/>
            <w:vAlign w:val="center"/>
            <w:hideMark/>
          </w:tcPr>
          <w:p w14:paraId="2BED2E32" w14:textId="77777777" w:rsidR="00D33F7C" w:rsidRPr="00D33F7C" w:rsidRDefault="00D33F7C" w:rsidP="00D33F7C">
            <w:pPr>
              <w:jc w:val="right"/>
              <w:rPr>
                <w:rFonts w:ascii="Garamond" w:eastAsia="Times New Roman" w:hAnsi="Garamond"/>
                <w:color w:val="000000"/>
                <w:sz w:val="22"/>
                <w:szCs w:val="22"/>
                <w:lang w:val="en-IN" w:eastAsia="en-IN" w:bidi="hi-IN"/>
              </w:rPr>
            </w:pPr>
            <w:r w:rsidRPr="00D33F7C">
              <w:rPr>
                <w:rFonts w:ascii="Garamond" w:eastAsia="Times New Roman" w:hAnsi="Garamond"/>
                <w:color w:val="000000"/>
                <w:sz w:val="22"/>
                <w:szCs w:val="22"/>
                <w:lang w:val="en-IN" w:eastAsia="en-IN" w:bidi="hi-IN"/>
              </w:rPr>
              <w:t>0</w:t>
            </w:r>
          </w:p>
        </w:tc>
      </w:tr>
      <w:tr w:rsidR="00D33F7C" w:rsidRPr="00D33F7C" w14:paraId="752CB21B" w14:textId="77777777" w:rsidTr="00E213CE">
        <w:trPr>
          <w:trHeight w:val="251"/>
        </w:trPr>
        <w:tc>
          <w:tcPr>
            <w:tcW w:w="5580" w:type="dxa"/>
            <w:tcBorders>
              <w:top w:val="nil"/>
              <w:left w:val="single" w:sz="4" w:space="0" w:color="000000"/>
              <w:bottom w:val="single" w:sz="4" w:space="0" w:color="000000"/>
              <w:right w:val="single" w:sz="4" w:space="0" w:color="000000"/>
            </w:tcBorders>
            <w:shd w:val="clear" w:color="auto" w:fill="auto"/>
            <w:noWrap/>
            <w:vAlign w:val="center"/>
            <w:hideMark/>
          </w:tcPr>
          <w:p w14:paraId="5EE142DB" w14:textId="77777777" w:rsidR="00D33F7C" w:rsidRPr="00D33F7C" w:rsidRDefault="00D33F7C" w:rsidP="00D33F7C">
            <w:pPr>
              <w:rPr>
                <w:rFonts w:ascii="Garamond" w:eastAsia="Times New Roman" w:hAnsi="Garamond"/>
                <w:color w:val="000000"/>
                <w:sz w:val="22"/>
                <w:szCs w:val="22"/>
                <w:lang w:val="en-IN" w:eastAsia="en-IN" w:bidi="hi-IN"/>
              </w:rPr>
            </w:pPr>
            <w:r w:rsidRPr="00D33F7C">
              <w:rPr>
                <w:rFonts w:ascii="Garamond" w:eastAsia="Times New Roman" w:hAnsi="Garamond"/>
                <w:color w:val="000000"/>
                <w:sz w:val="22"/>
                <w:szCs w:val="22"/>
                <w:lang w:val="en-IN" w:eastAsia="en-IN" w:bidi="hi-IN"/>
              </w:rPr>
              <w:t>b. Private Placement of Debt</w:t>
            </w:r>
          </w:p>
        </w:tc>
        <w:tc>
          <w:tcPr>
            <w:tcW w:w="1194" w:type="dxa"/>
            <w:tcBorders>
              <w:top w:val="nil"/>
              <w:left w:val="nil"/>
              <w:bottom w:val="single" w:sz="4" w:space="0" w:color="000000"/>
              <w:right w:val="single" w:sz="4" w:space="0" w:color="000000"/>
            </w:tcBorders>
            <w:shd w:val="clear" w:color="auto" w:fill="auto"/>
            <w:noWrap/>
            <w:vAlign w:val="center"/>
            <w:hideMark/>
          </w:tcPr>
          <w:p w14:paraId="02CEB044" w14:textId="77777777" w:rsidR="00D33F7C" w:rsidRPr="00D33F7C" w:rsidRDefault="00D33F7C" w:rsidP="00D33F7C">
            <w:pPr>
              <w:jc w:val="right"/>
              <w:rPr>
                <w:rFonts w:ascii="Garamond" w:eastAsia="Times New Roman" w:hAnsi="Garamond"/>
                <w:color w:val="000000"/>
                <w:sz w:val="22"/>
                <w:szCs w:val="22"/>
                <w:lang w:val="en-IN" w:eastAsia="en-IN" w:bidi="hi-IN"/>
              </w:rPr>
            </w:pPr>
            <w:r w:rsidRPr="00D33F7C">
              <w:rPr>
                <w:rFonts w:ascii="Garamond" w:eastAsia="Times New Roman" w:hAnsi="Garamond"/>
                <w:color w:val="000000"/>
                <w:sz w:val="22"/>
                <w:szCs w:val="22"/>
                <w:lang w:val="en-IN" w:eastAsia="en-IN" w:bidi="hi-IN"/>
              </w:rPr>
              <w:t xml:space="preserve">      21,622 </w:t>
            </w:r>
          </w:p>
        </w:tc>
        <w:tc>
          <w:tcPr>
            <w:tcW w:w="1194" w:type="dxa"/>
            <w:tcBorders>
              <w:top w:val="nil"/>
              <w:left w:val="nil"/>
              <w:bottom w:val="single" w:sz="4" w:space="0" w:color="000000"/>
              <w:right w:val="single" w:sz="4" w:space="0" w:color="000000"/>
            </w:tcBorders>
            <w:shd w:val="clear" w:color="auto" w:fill="auto"/>
            <w:noWrap/>
            <w:vAlign w:val="center"/>
            <w:hideMark/>
          </w:tcPr>
          <w:p w14:paraId="4E4CD8F9" w14:textId="77777777" w:rsidR="00D33F7C" w:rsidRPr="00D33F7C" w:rsidRDefault="00D33F7C" w:rsidP="00D33F7C">
            <w:pPr>
              <w:jc w:val="right"/>
              <w:rPr>
                <w:rFonts w:ascii="Garamond" w:eastAsia="Times New Roman" w:hAnsi="Garamond"/>
                <w:color w:val="000000"/>
                <w:sz w:val="22"/>
                <w:szCs w:val="22"/>
                <w:lang w:val="en-IN" w:eastAsia="en-IN" w:bidi="hi-IN"/>
              </w:rPr>
            </w:pPr>
            <w:r w:rsidRPr="00D33F7C">
              <w:rPr>
                <w:rFonts w:ascii="Garamond" w:eastAsia="Times New Roman" w:hAnsi="Garamond"/>
                <w:color w:val="000000"/>
                <w:sz w:val="22"/>
                <w:szCs w:val="22"/>
                <w:lang w:val="en-IN" w:eastAsia="en-IN" w:bidi="hi-IN"/>
              </w:rPr>
              <w:t xml:space="preserve">      55,200 </w:t>
            </w:r>
          </w:p>
        </w:tc>
      </w:tr>
      <w:tr w:rsidR="00D33F7C" w:rsidRPr="00D33F7C" w14:paraId="39A713DA" w14:textId="77777777" w:rsidTr="00E213CE">
        <w:trPr>
          <w:trHeight w:val="251"/>
        </w:trPr>
        <w:tc>
          <w:tcPr>
            <w:tcW w:w="5580" w:type="dxa"/>
            <w:tcBorders>
              <w:top w:val="nil"/>
              <w:left w:val="single" w:sz="4" w:space="0" w:color="000000"/>
              <w:bottom w:val="single" w:sz="4" w:space="0" w:color="000000"/>
              <w:right w:val="single" w:sz="4" w:space="0" w:color="000000"/>
            </w:tcBorders>
            <w:shd w:val="clear" w:color="auto" w:fill="auto"/>
            <w:noWrap/>
            <w:vAlign w:val="center"/>
            <w:hideMark/>
          </w:tcPr>
          <w:p w14:paraId="4EB9AAFF" w14:textId="77777777" w:rsidR="00D33F7C" w:rsidRPr="00D33F7C" w:rsidRDefault="00D33F7C" w:rsidP="00D33F7C">
            <w:pPr>
              <w:rPr>
                <w:rFonts w:ascii="Garamond" w:eastAsia="Times New Roman" w:hAnsi="Garamond"/>
                <w:b/>
                <w:bCs/>
                <w:color w:val="000000"/>
                <w:sz w:val="22"/>
                <w:szCs w:val="22"/>
                <w:lang w:val="en-IN" w:eastAsia="en-IN" w:bidi="hi-IN"/>
              </w:rPr>
            </w:pPr>
            <w:r w:rsidRPr="00D33F7C">
              <w:rPr>
                <w:rFonts w:ascii="Garamond" w:eastAsia="Times New Roman" w:hAnsi="Garamond"/>
                <w:b/>
                <w:bCs/>
                <w:color w:val="000000"/>
                <w:sz w:val="22"/>
                <w:szCs w:val="22"/>
                <w:lang w:val="en-IN" w:eastAsia="en-IN" w:bidi="hi-IN"/>
              </w:rPr>
              <w:t>Total Funds Mobilised (I+II)</w:t>
            </w:r>
          </w:p>
        </w:tc>
        <w:tc>
          <w:tcPr>
            <w:tcW w:w="1194" w:type="dxa"/>
            <w:tcBorders>
              <w:top w:val="nil"/>
              <w:left w:val="nil"/>
              <w:bottom w:val="single" w:sz="4" w:space="0" w:color="000000"/>
              <w:right w:val="single" w:sz="4" w:space="0" w:color="000000"/>
            </w:tcBorders>
            <w:shd w:val="clear" w:color="auto" w:fill="auto"/>
            <w:noWrap/>
            <w:vAlign w:val="center"/>
            <w:hideMark/>
          </w:tcPr>
          <w:p w14:paraId="43E1D5C6" w14:textId="77777777" w:rsidR="00D33F7C" w:rsidRPr="00D33F7C" w:rsidRDefault="00D33F7C" w:rsidP="00D33F7C">
            <w:pPr>
              <w:jc w:val="right"/>
              <w:rPr>
                <w:rFonts w:ascii="Garamond" w:eastAsia="Times New Roman" w:hAnsi="Garamond"/>
                <w:b/>
                <w:bCs/>
                <w:color w:val="000000"/>
                <w:sz w:val="22"/>
                <w:szCs w:val="22"/>
                <w:lang w:val="en-IN" w:eastAsia="en-IN" w:bidi="hi-IN"/>
              </w:rPr>
            </w:pPr>
            <w:r w:rsidRPr="00D33F7C">
              <w:rPr>
                <w:rFonts w:ascii="Garamond" w:eastAsia="Times New Roman" w:hAnsi="Garamond"/>
                <w:b/>
                <w:bCs/>
                <w:color w:val="000000"/>
                <w:sz w:val="22"/>
                <w:szCs w:val="22"/>
                <w:lang w:val="en-IN" w:eastAsia="en-IN" w:bidi="hi-IN"/>
              </w:rPr>
              <w:t>32,357</w:t>
            </w:r>
          </w:p>
        </w:tc>
        <w:tc>
          <w:tcPr>
            <w:tcW w:w="1194" w:type="dxa"/>
            <w:tcBorders>
              <w:top w:val="nil"/>
              <w:left w:val="nil"/>
              <w:bottom w:val="single" w:sz="4" w:space="0" w:color="000000"/>
              <w:right w:val="single" w:sz="4" w:space="0" w:color="000000"/>
            </w:tcBorders>
            <w:shd w:val="clear" w:color="auto" w:fill="auto"/>
            <w:noWrap/>
            <w:vAlign w:val="center"/>
            <w:hideMark/>
          </w:tcPr>
          <w:p w14:paraId="49D2DE4D" w14:textId="77777777" w:rsidR="00D33F7C" w:rsidRPr="00D33F7C" w:rsidRDefault="00D33F7C" w:rsidP="00D33F7C">
            <w:pPr>
              <w:jc w:val="right"/>
              <w:rPr>
                <w:rFonts w:ascii="Garamond" w:eastAsia="Times New Roman" w:hAnsi="Garamond"/>
                <w:b/>
                <w:bCs/>
                <w:color w:val="000000"/>
                <w:sz w:val="22"/>
                <w:szCs w:val="22"/>
                <w:lang w:val="en-IN" w:eastAsia="en-IN" w:bidi="hi-IN"/>
              </w:rPr>
            </w:pPr>
            <w:r w:rsidRPr="00D33F7C">
              <w:rPr>
                <w:rFonts w:ascii="Garamond" w:eastAsia="Times New Roman" w:hAnsi="Garamond"/>
                <w:b/>
                <w:bCs/>
                <w:color w:val="000000"/>
                <w:sz w:val="22"/>
                <w:szCs w:val="22"/>
                <w:lang w:val="en-IN" w:eastAsia="en-IN" w:bidi="hi-IN"/>
              </w:rPr>
              <w:t>79,852</w:t>
            </w:r>
          </w:p>
        </w:tc>
      </w:tr>
    </w:tbl>
    <w:p w14:paraId="59B170E7" w14:textId="77777777" w:rsidR="00D33F7C" w:rsidRPr="00D33F7C" w:rsidRDefault="00D33F7C" w:rsidP="00D33F7C">
      <w:pPr>
        <w:widowControl w:val="0"/>
        <w:tabs>
          <w:tab w:val="right" w:pos="9888"/>
        </w:tabs>
        <w:spacing w:line="276" w:lineRule="auto"/>
        <w:jc w:val="both"/>
        <w:rPr>
          <w:rFonts w:ascii="Palatino Linotype" w:eastAsia="Palatino Linotype" w:hAnsi="Palatino Linotype" w:cs="Palatino Linotype"/>
          <w:b/>
          <w:sz w:val="18"/>
          <w:szCs w:val="18"/>
        </w:rPr>
      </w:pPr>
      <w:r w:rsidRPr="00D33F7C">
        <w:rPr>
          <w:rFonts w:ascii="Palatino Linotype" w:eastAsia="Palatino Linotype" w:hAnsi="Palatino Linotype" w:cs="Palatino Linotype"/>
          <w:b/>
          <w:sz w:val="18"/>
          <w:szCs w:val="18"/>
        </w:rPr>
        <w:t xml:space="preserve">   Source: SEBI, NSE, BSE and MSEI</w:t>
      </w:r>
    </w:p>
    <w:p w14:paraId="07453E8A" w14:textId="77777777" w:rsidR="00D33F7C" w:rsidRPr="00D33F7C" w:rsidRDefault="00D33F7C" w:rsidP="00D33F7C">
      <w:pPr>
        <w:widowControl w:val="0"/>
        <w:tabs>
          <w:tab w:val="right" w:pos="9888"/>
        </w:tabs>
        <w:spacing w:line="276" w:lineRule="auto"/>
        <w:jc w:val="both"/>
        <w:rPr>
          <w:rFonts w:ascii="Palatino Linotype" w:eastAsia="Palatino Linotype" w:hAnsi="Palatino Linotype" w:cs="Palatino Linotype"/>
          <w:b/>
          <w:sz w:val="22"/>
          <w:szCs w:val="22"/>
          <w:highlight w:val="yellow"/>
        </w:rPr>
      </w:pPr>
    </w:p>
    <w:p w14:paraId="067CE7D6" w14:textId="6F720F70" w:rsidR="00D33F7C" w:rsidRPr="00D33F7C" w:rsidRDefault="00D33F7C" w:rsidP="00D33F7C">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D33F7C">
        <w:rPr>
          <w:rFonts w:ascii="Palatino Linotype" w:eastAsia="Palatino Linotype" w:hAnsi="Palatino Linotype" w:cs="Palatino Linotype"/>
          <w:sz w:val="22"/>
          <w:szCs w:val="22"/>
        </w:rPr>
        <w:t xml:space="preserve">During June 2021, </w:t>
      </w:r>
      <w:r w:rsidR="007912B4">
        <w:rPr>
          <w:rFonts w:ascii="Palatino Linotype" w:eastAsia="Palatino Linotype" w:hAnsi="Palatino Linotype" w:cs="Palatino Linotype"/>
          <w:sz w:val="22"/>
          <w:szCs w:val="22"/>
        </w:rPr>
        <w:t xml:space="preserve">resource </w:t>
      </w:r>
      <w:r w:rsidR="007C2E4F">
        <w:rPr>
          <w:rFonts w:ascii="Palatino Linotype" w:eastAsia="Palatino Linotype" w:hAnsi="Palatino Linotype" w:cs="Palatino Linotype"/>
          <w:sz w:val="22"/>
          <w:szCs w:val="22"/>
        </w:rPr>
        <w:t>mobilisation through</w:t>
      </w:r>
      <w:r w:rsidR="007912B4">
        <w:rPr>
          <w:rFonts w:ascii="Palatino Linotype" w:eastAsia="Palatino Linotype" w:hAnsi="Palatino Linotype" w:cs="Palatino Linotype"/>
          <w:sz w:val="22"/>
          <w:szCs w:val="22"/>
        </w:rPr>
        <w:t xml:space="preserve"> IPO issuances was </w:t>
      </w:r>
      <w:r w:rsidR="007912B4" w:rsidRPr="00D33F7C">
        <w:rPr>
          <w:rFonts w:ascii="Times New Roman" w:eastAsia="Palatino Linotype" w:hAnsi="Times New Roman"/>
          <w:sz w:val="22"/>
          <w:szCs w:val="22"/>
        </w:rPr>
        <w:t>₹</w:t>
      </w:r>
      <w:r w:rsidR="007912B4">
        <w:rPr>
          <w:rFonts w:ascii="Times New Roman" w:eastAsia="Palatino Linotype" w:hAnsi="Times New Roman"/>
          <w:sz w:val="22"/>
          <w:szCs w:val="22"/>
        </w:rPr>
        <w:t>9,146 crore</w:t>
      </w:r>
      <w:r w:rsidR="007912B4">
        <w:rPr>
          <w:rFonts w:ascii="Palatino Linotype" w:eastAsia="Palatino Linotype" w:hAnsi="Palatino Linotype" w:cs="Palatino Linotype"/>
          <w:sz w:val="22"/>
          <w:szCs w:val="22"/>
        </w:rPr>
        <w:t xml:space="preserve"> </w:t>
      </w:r>
      <w:r w:rsidR="007C2E4F">
        <w:rPr>
          <w:rFonts w:ascii="Palatino Linotype" w:eastAsia="Palatino Linotype" w:hAnsi="Palatino Linotype" w:cs="Palatino Linotype"/>
          <w:sz w:val="22"/>
          <w:szCs w:val="22"/>
        </w:rPr>
        <w:t xml:space="preserve">through </w:t>
      </w:r>
      <w:r w:rsidR="007912B4">
        <w:rPr>
          <w:rFonts w:ascii="Palatino Linotype" w:eastAsia="Palatino Linotype" w:hAnsi="Palatino Linotype" w:cs="Palatino Linotype"/>
          <w:sz w:val="22"/>
          <w:szCs w:val="22"/>
        </w:rPr>
        <w:t xml:space="preserve">four main board </w:t>
      </w:r>
      <w:r w:rsidRPr="00D33F7C">
        <w:rPr>
          <w:rFonts w:ascii="Palatino Linotype" w:eastAsia="Palatino Linotype" w:hAnsi="Palatino Linotype" w:cs="Palatino Linotype"/>
          <w:sz w:val="22"/>
          <w:szCs w:val="22"/>
        </w:rPr>
        <w:t xml:space="preserve">IPO issues </w:t>
      </w:r>
      <w:r w:rsidR="00F45282">
        <w:rPr>
          <w:rFonts w:ascii="Palatino Linotype" w:eastAsia="Palatino Linotype" w:hAnsi="Palatino Linotype" w:cs="Palatino Linotype"/>
          <w:sz w:val="22"/>
          <w:szCs w:val="22"/>
        </w:rPr>
        <w:t>(</w:t>
      </w:r>
      <w:r w:rsidRPr="00D33F7C">
        <w:rPr>
          <w:rFonts w:ascii="Tahoma" w:eastAsia="Palatino Linotype" w:hAnsi="Tahoma" w:cs="Tahoma"/>
          <w:sz w:val="22"/>
          <w:szCs w:val="22"/>
        </w:rPr>
        <w:t xml:space="preserve">₹ </w:t>
      </w:r>
      <w:r w:rsidRPr="00D33F7C">
        <w:rPr>
          <w:rFonts w:ascii="Palatino Linotype" w:eastAsia="Palatino Linotype" w:hAnsi="Palatino Linotype" w:cs="Palatino Linotype"/>
          <w:sz w:val="22"/>
          <w:szCs w:val="22"/>
        </w:rPr>
        <w:t>9</w:t>
      </w:r>
      <w:r w:rsidR="007C2E4F">
        <w:rPr>
          <w:rFonts w:ascii="Palatino Linotype" w:eastAsia="Palatino Linotype" w:hAnsi="Palatino Linotype" w:cs="Palatino Linotype"/>
          <w:sz w:val="22"/>
          <w:szCs w:val="22"/>
        </w:rPr>
        <w:t>,</w:t>
      </w:r>
      <w:r w:rsidRPr="00D33F7C">
        <w:rPr>
          <w:rFonts w:ascii="Palatino Linotype" w:eastAsia="Palatino Linotype" w:hAnsi="Palatino Linotype" w:cs="Palatino Linotype"/>
          <w:sz w:val="22"/>
          <w:szCs w:val="22"/>
        </w:rPr>
        <w:t>122 crore</w:t>
      </w:r>
      <w:r w:rsidR="00F45282">
        <w:rPr>
          <w:rFonts w:ascii="Palatino Linotype" w:eastAsia="Palatino Linotype" w:hAnsi="Palatino Linotype" w:cs="Palatino Linotype"/>
          <w:sz w:val="22"/>
          <w:szCs w:val="22"/>
        </w:rPr>
        <w:t>)</w:t>
      </w:r>
      <w:r w:rsidRPr="00D33F7C">
        <w:rPr>
          <w:rFonts w:ascii="Palatino Linotype" w:eastAsia="Palatino Linotype" w:hAnsi="Palatino Linotype" w:cs="Palatino Linotype"/>
          <w:sz w:val="22"/>
          <w:szCs w:val="22"/>
        </w:rPr>
        <w:t xml:space="preserve"> and four SME IPO issues </w:t>
      </w:r>
      <w:r w:rsidR="00F45282">
        <w:rPr>
          <w:rFonts w:ascii="Palatino Linotype" w:eastAsia="Palatino Linotype" w:hAnsi="Palatino Linotype" w:cs="Palatino Linotype"/>
          <w:sz w:val="22"/>
          <w:szCs w:val="22"/>
        </w:rPr>
        <w:t>(</w:t>
      </w:r>
      <w:r w:rsidR="00F45282" w:rsidRPr="00D33F7C">
        <w:rPr>
          <w:rFonts w:ascii="Palatino Linotype" w:eastAsia="Palatino Linotype" w:hAnsi="Palatino Linotype" w:cs="Palatino Linotype"/>
          <w:sz w:val="22"/>
          <w:szCs w:val="22"/>
        </w:rPr>
        <w:t xml:space="preserve"> </w:t>
      </w:r>
      <w:r w:rsidRPr="00D33F7C">
        <w:rPr>
          <w:rFonts w:ascii="Times New Roman" w:eastAsia="Palatino Linotype" w:hAnsi="Times New Roman"/>
          <w:sz w:val="22"/>
          <w:szCs w:val="22"/>
        </w:rPr>
        <w:t>₹</w:t>
      </w:r>
      <w:r w:rsidRPr="007C2E4F">
        <w:rPr>
          <w:rFonts w:ascii="Palatino Linotype" w:eastAsia="Palatino Linotype" w:hAnsi="Palatino Linotype" w:cs="Palatino Linotype"/>
          <w:sz w:val="22"/>
          <w:szCs w:val="22"/>
        </w:rPr>
        <w:t>23</w:t>
      </w:r>
      <w:r w:rsidRPr="00D33F7C">
        <w:rPr>
          <w:rFonts w:ascii="Garamond" w:hAnsi="Garamond"/>
          <w:color w:val="000000"/>
          <w:sz w:val="22"/>
          <w:szCs w:val="22"/>
        </w:rPr>
        <w:t xml:space="preserve"> </w:t>
      </w:r>
      <w:r w:rsidRPr="00D33F7C">
        <w:rPr>
          <w:rFonts w:ascii="Palatino Linotype" w:eastAsia="Palatino Linotype" w:hAnsi="Palatino Linotype" w:cs="Palatino Linotype"/>
          <w:sz w:val="22"/>
          <w:szCs w:val="22"/>
        </w:rPr>
        <w:t>crore</w:t>
      </w:r>
      <w:r w:rsidR="00F45282">
        <w:rPr>
          <w:rFonts w:ascii="Palatino Linotype" w:eastAsia="Palatino Linotype" w:hAnsi="Palatino Linotype" w:cs="Palatino Linotype"/>
          <w:sz w:val="22"/>
          <w:szCs w:val="22"/>
        </w:rPr>
        <w:t xml:space="preserve">) </w:t>
      </w:r>
      <w:r w:rsidRPr="00D33F7C">
        <w:rPr>
          <w:rFonts w:ascii="Palatino Linotype" w:eastAsia="Palatino Linotype" w:hAnsi="Palatino Linotype" w:cs="Palatino Linotype"/>
          <w:sz w:val="22"/>
          <w:szCs w:val="22"/>
        </w:rPr>
        <w:t xml:space="preserve">,compared </w:t>
      </w:r>
      <w:r w:rsidR="007C2E4F">
        <w:rPr>
          <w:rFonts w:ascii="Palatino Linotype" w:eastAsia="Palatino Linotype" w:hAnsi="Palatino Linotype" w:cs="Palatino Linotype"/>
          <w:sz w:val="22"/>
          <w:szCs w:val="22"/>
        </w:rPr>
        <w:t xml:space="preserve">to </w:t>
      </w:r>
      <w:r w:rsidR="00E213CE">
        <w:rPr>
          <w:rFonts w:ascii="Palatino Linotype" w:eastAsia="Palatino Linotype" w:hAnsi="Palatino Linotype" w:cs="Palatino Linotype"/>
          <w:sz w:val="22"/>
          <w:szCs w:val="22"/>
        </w:rPr>
        <w:t>a s</w:t>
      </w:r>
      <w:r w:rsidR="007C2E4F">
        <w:rPr>
          <w:rFonts w:ascii="Palatino Linotype" w:eastAsia="Palatino Linotype" w:hAnsi="Palatino Linotype" w:cs="Palatino Linotype"/>
          <w:sz w:val="22"/>
          <w:szCs w:val="22"/>
        </w:rPr>
        <w:t xml:space="preserve">ingle </w:t>
      </w:r>
      <w:r w:rsidRPr="00D33F7C">
        <w:rPr>
          <w:rFonts w:ascii="Palatino Linotype" w:eastAsia="Palatino Linotype" w:hAnsi="Palatino Linotype" w:cs="Palatino Linotype"/>
          <w:sz w:val="22"/>
          <w:szCs w:val="22"/>
        </w:rPr>
        <w:t xml:space="preserve">SME IPO issue </w:t>
      </w:r>
      <w:r w:rsidR="00F45282">
        <w:rPr>
          <w:rFonts w:ascii="Palatino Linotype" w:eastAsia="Palatino Linotype" w:hAnsi="Palatino Linotype" w:cs="Palatino Linotype"/>
          <w:sz w:val="22"/>
          <w:szCs w:val="22"/>
        </w:rPr>
        <w:t>which raised</w:t>
      </w:r>
      <w:r w:rsidR="00F45282" w:rsidRPr="00D33F7C">
        <w:rPr>
          <w:rFonts w:ascii="Palatino Linotype" w:eastAsia="Palatino Linotype" w:hAnsi="Palatino Linotype" w:cs="Palatino Linotype"/>
          <w:sz w:val="22"/>
          <w:szCs w:val="22"/>
        </w:rPr>
        <w:t xml:space="preserve"> </w:t>
      </w:r>
      <w:r w:rsidRPr="00D33F7C">
        <w:rPr>
          <w:rFonts w:ascii="Tahoma" w:eastAsia="Palatino Linotype" w:hAnsi="Tahoma" w:cs="Tahoma"/>
          <w:sz w:val="22"/>
          <w:szCs w:val="22"/>
        </w:rPr>
        <w:t>₹</w:t>
      </w:r>
      <w:r w:rsidR="00E213CE">
        <w:rPr>
          <w:rFonts w:ascii="Palatino Linotype" w:eastAsia="Palatino Linotype" w:hAnsi="Palatino Linotype" w:cs="Palatino Linotype"/>
          <w:sz w:val="22"/>
          <w:szCs w:val="22"/>
        </w:rPr>
        <w:t>one</w:t>
      </w:r>
      <w:r w:rsidRPr="007C2E4F">
        <w:rPr>
          <w:rFonts w:ascii="Palatino Linotype" w:eastAsia="Palatino Linotype" w:hAnsi="Palatino Linotype" w:cs="Palatino Linotype"/>
          <w:sz w:val="22"/>
          <w:szCs w:val="22"/>
        </w:rPr>
        <w:t xml:space="preserve"> </w:t>
      </w:r>
      <w:r w:rsidRPr="00D33F7C">
        <w:rPr>
          <w:rFonts w:ascii="Palatino Linotype" w:eastAsia="Palatino Linotype" w:hAnsi="Palatino Linotype" w:cs="Palatino Linotype"/>
          <w:sz w:val="22"/>
          <w:szCs w:val="22"/>
        </w:rPr>
        <w:t xml:space="preserve">crore in May 2021.  </w:t>
      </w:r>
    </w:p>
    <w:p w14:paraId="00D6BCF6" w14:textId="1B3A591D" w:rsidR="00D33F7C" w:rsidRPr="00D33F7C" w:rsidRDefault="00F45282" w:rsidP="00D33F7C">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T</w:t>
      </w:r>
      <w:r w:rsidR="00D33F7C" w:rsidRPr="00D33F7C">
        <w:rPr>
          <w:rFonts w:ascii="Palatino Linotype" w:eastAsia="Palatino Linotype" w:hAnsi="Palatino Linotype" w:cs="Palatino Linotype"/>
          <w:sz w:val="22"/>
          <w:szCs w:val="22"/>
        </w:rPr>
        <w:t xml:space="preserve">wo rights issues </w:t>
      </w:r>
      <w:r w:rsidR="0067060D">
        <w:rPr>
          <w:rFonts w:ascii="Palatino Linotype" w:eastAsia="Palatino Linotype" w:hAnsi="Palatino Linotype" w:cs="Palatino Linotype"/>
          <w:sz w:val="22"/>
          <w:szCs w:val="22"/>
        </w:rPr>
        <w:t xml:space="preserve">garnered </w:t>
      </w:r>
      <w:r w:rsidR="0067060D" w:rsidRPr="00D33F7C">
        <w:rPr>
          <w:rFonts w:ascii="Times New Roman" w:eastAsia="Palatino Linotype" w:hAnsi="Times New Roman"/>
          <w:sz w:val="22"/>
          <w:szCs w:val="22"/>
        </w:rPr>
        <w:t>₹</w:t>
      </w:r>
      <w:r w:rsidR="00D33F7C" w:rsidRPr="00D33F7C">
        <w:rPr>
          <w:rFonts w:ascii="Palatino Linotype" w:eastAsia="Palatino Linotype" w:hAnsi="Palatino Linotype" w:cs="Palatino Linotype"/>
          <w:sz w:val="22"/>
          <w:szCs w:val="22"/>
        </w:rPr>
        <w:t xml:space="preserve">404 crore </w:t>
      </w:r>
      <w:r>
        <w:rPr>
          <w:rFonts w:ascii="Palatino Linotype" w:eastAsia="Palatino Linotype" w:hAnsi="Palatino Linotype" w:cs="Palatino Linotype"/>
          <w:sz w:val="22"/>
          <w:szCs w:val="22"/>
        </w:rPr>
        <w:t xml:space="preserve">in June 2021 </w:t>
      </w:r>
      <w:r w:rsidR="00D33F7C" w:rsidRPr="00D33F7C">
        <w:rPr>
          <w:rFonts w:ascii="Palatino Linotype" w:eastAsia="Palatino Linotype" w:hAnsi="Palatino Linotype" w:cs="Palatino Linotype"/>
          <w:sz w:val="22"/>
          <w:szCs w:val="22"/>
        </w:rPr>
        <w:t xml:space="preserve">compared to one rights issue </w:t>
      </w:r>
      <w:r w:rsidR="0067060D">
        <w:rPr>
          <w:rFonts w:ascii="Palatino Linotype" w:eastAsia="Palatino Linotype" w:hAnsi="Palatino Linotype" w:cs="Palatino Linotype"/>
          <w:sz w:val="22"/>
          <w:szCs w:val="22"/>
        </w:rPr>
        <w:t xml:space="preserve">which mobilised </w:t>
      </w:r>
      <w:r w:rsidR="00D33F7C" w:rsidRPr="00D33F7C">
        <w:rPr>
          <w:rFonts w:ascii="Tahoma" w:eastAsia="Palatino Linotype" w:hAnsi="Tahoma" w:cs="Tahoma"/>
          <w:b/>
          <w:sz w:val="20"/>
          <w:szCs w:val="22"/>
        </w:rPr>
        <w:t>₹</w:t>
      </w:r>
      <w:r w:rsidR="00D33F7C" w:rsidRPr="00D33F7C">
        <w:rPr>
          <w:rFonts w:ascii="Palatino Linotype" w:eastAsia="Palatino Linotype" w:hAnsi="Palatino Linotype" w:cs="Palatino Linotype"/>
          <w:sz w:val="22"/>
          <w:szCs w:val="22"/>
        </w:rPr>
        <w:t>25 crore in May 2021.</w:t>
      </w:r>
    </w:p>
    <w:p w14:paraId="491BD008" w14:textId="416B7F5C" w:rsidR="00D33F7C" w:rsidRPr="00D33F7C" w:rsidRDefault="00E213CE" w:rsidP="00D33F7C">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w:t>
      </w:r>
      <w:r w:rsidR="00D33F7C" w:rsidRPr="00D33F7C">
        <w:rPr>
          <w:rFonts w:ascii="Palatino Linotype" w:eastAsia="Palatino Linotype" w:hAnsi="Palatino Linotype" w:cs="Palatino Linotype"/>
          <w:sz w:val="22"/>
          <w:szCs w:val="22"/>
        </w:rPr>
        <w:t xml:space="preserve">ublic issues of corporate bonds </w:t>
      </w:r>
      <w:r>
        <w:rPr>
          <w:rFonts w:ascii="Palatino Linotype" w:eastAsia="Palatino Linotype" w:hAnsi="Palatino Linotype" w:cs="Palatino Linotype"/>
          <w:sz w:val="22"/>
          <w:szCs w:val="22"/>
        </w:rPr>
        <w:t>were nil during the month.</w:t>
      </w:r>
    </w:p>
    <w:p w14:paraId="4B089242" w14:textId="2879679B" w:rsidR="00D33F7C" w:rsidRPr="00D33F7C" w:rsidRDefault="00D33F7C" w:rsidP="00D33F7C">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D33F7C">
        <w:rPr>
          <w:rFonts w:ascii="Palatino Linotype" w:eastAsia="Palatino Linotype" w:hAnsi="Palatino Linotype" w:cs="Palatino Linotype"/>
          <w:sz w:val="22"/>
          <w:szCs w:val="22"/>
        </w:rPr>
        <w:t xml:space="preserve">An amount of </w:t>
      </w:r>
      <w:r w:rsidRPr="00D33F7C">
        <w:rPr>
          <w:rFonts w:ascii="Times New Roman" w:eastAsia="Palatino Linotype" w:hAnsi="Times New Roman"/>
          <w:sz w:val="22"/>
          <w:szCs w:val="22"/>
        </w:rPr>
        <w:t>₹15</w:t>
      </w:r>
      <w:r w:rsidRPr="00D33F7C">
        <w:rPr>
          <w:rFonts w:ascii="Palatino Linotype" w:eastAsia="Palatino Linotype" w:hAnsi="Palatino Linotype" w:cs="Palatino Linotype"/>
          <w:sz w:val="22"/>
          <w:szCs w:val="22"/>
        </w:rPr>
        <w:t xml:space="preserve">,102 crore </w:t>
      </w:r>
      <w:r w:rsidR="0067060D">
        <w:rPr>
          <w:rFonts w:ascii="Palatino Linotype" w:eastAsia="Palatino Linotype" w:hAnsi="Palatino Linotype" w:cs="Palatino Linotype"/>
          <w:sz w:val="22"/>
          <w:szCs w:val="22"/>
        </w:rPr>
        <w:t>was</w:t>
      </w:r>
      <w:r w:rsidRPr="00D33F7C">
        <w:rPr>
          <w:rFonts w:ascii="Palatino Linotype" w:eastAsia="Palatino Linotype" w:hAnsi="Palatino Linotype" w:cs="Palatino Linotype"/>
          <w:sz w:val="22"/>
          <w:szCs w:val="22"/>
        </w:rPr>
        <w:t xml:space="preserve"> raised through private placement of equity (i.e., preferential allotment and QIPs)</w:t>
      </w:r>
      <w:r w:rsidR="0067060D">
        <w:rPr>
          <w:rFonts w:ascii="Palatino Linotype" w:eastAsia="Palatino Linotype" w:hAnsi="Palatino Linotype" w:cs="Palatino Linotype"/>
          <w:sz w:val="22"/>
          <w:szCs w:val="22"/>
        </w:rPr>
        <w:t xml:space="preserve"> in June 2021</w:t>
      </w:r>
      <w:r w:rsidRPr="00D33F7C">
        <w:rPr>
          <w:rFonts w:ascii="Palatino Linotype" w:eastAsia="Palatino Linotype" w:hAnsi="Palatino Linotype" w:cs="Palatino Linotype"/>
          <w:sz w:val="22"/>
          <w:szCs w:val="22"/>
        </w:rPr>
        <w:t xml:space="preserve">, </w:t>
      </w:r>
      <w:r w:rsidR="0067060D">
        <w:rPr>
          <w:rFonts w:ascii="Palatino Linotype" w:eastAsia="Palatino Linotype" w:hAnsi="Palatino Linotype" w:cs="Palatino Linotype"/>
          <w:sz w:val="22"/>
          <w:szCs w:val="22"/>
        </w:rPr>
        <w:t xml:space="preserve">as </w:t>
      </w:r>
      <w:r w:rsidRPr="00D33F7C">
        <w:rPr>
          <w:rFonts w:ascii="Palatino Linotype" w:eastAsia="Palatino Linotype" w:hAnsi="Palatino Linotype" w:cs="Palatino Linotype"/>
          <w:sz w:val="22"/>
          <w:szCs w:val="22"/>
        </w:rPr>
        <w:t xml:space="preserve">against </w:t>
      </w:r>
      <w:r w:rsidRPr="00D33F7C">
        <w:rPr>
          <w:rFonts w:ascii="Tahoma" w:eastAsia="Palatino Linotype" w:hAnsi="Tahoma" w:cs="Tahoma"/>
          <w:sz w:val="22"/>
          <w:szCs w:val="22"/>
        </w:rPr>
        <w:t>₹</w:t>
      </w:r>
      <w:r w:rsidRPr="00D33F7C">
        <w:rPr>
          <w:rFonts w:ascii="Palatino Linotype" w:eastAsia="Palatino Linotype" w:hAnsi="Palatino Linotype" w:cs="Palatino Linotype"/>
          <w:sz w:val="22"/>
          <w:szCs w:val="22"/>
        </w:rPr>
        <w:t xml:space="preserve">9,444 crore raised during May 2021. </w:t>
      </w:r>
    </w:p>
    <w:p w14:paraId="22DFBAA1" w14:textId="329EBF9F" w:rsidR="00D33F7C" w:rsidRPr="00D33F7C" w:rsidRDefault="00D33F7C" w:rsidP="00D33F7C">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D33F7C">
        <w:rPr>
          <w:rFonts w:ascii="Palatino Linotype" w:eastAsia="Palatino Linotype" w:hAnsi="Palatino Linotype" w:cs="Palatino Linotype"/>
          <w:sz w:val="22"/>
          <w:szCs w:val="22"/>
        </w:rPr>
        <w:t xml:space="preserve">Private placement of corporate debt reported on exchanges stood at </w:t>
      </w:r>
      <w:r w:rsidRPr="007912B4">
        <w:rPr>
          <w:rFonts w:ascii="Times New Roman" w:eastAsia="Palatino Linotype" w:hAnsi="Times New Roman"/>
          <w:sz w:val="22"/>
          <w:szCs w:val="22"/>
        </w:rPr>
        <w:t>₹</w:t>
      </w:r>
      <w:r w:rsidRPr="00D33F7C">
        <w:rPr>
          <w:rFonts w:ascii="Palatino Linotype" w:eastAsia="Palatino Linotype" w:hAnsi="Palatino Linotype" w:cs="Palatino Linotype"/>
          <w:sz w:val="22"/>
          <w:szCs w:val="22"/>
        </w:rPr>
        <w:t>55,200 crore</w:t>
      </w:r>
      <w:r w:rsidR="0067060D">
        <w:rPr>
          <w:rFonts w:ascii="Palatino Linotype" w:eastAsia="Palatino Linotype" w:hAnsi="Palatino Linotype" w:cs="Palatino Linotype"/>
          <w:sz w:val="22"/>
          <w:szCs w:val="22"/>
        </w:rPr>
        <w:t xml:space="preserve"> in June 2021</w:t>
      </w:r>
      <w:r w:rsidRPr="00D33F7C">
        <w:rPr>
          <w:rFonts w:ascii="Palatino Linotype" w:eastAsia="Palatino Linotype" w:hAnsi="Palatino Linotype" w:cs="Palatino Linotype"/>
          <w:sz w:val="22"/>
          <w:szCs w:val="22"/>
        </w:rPr>
        <w:t xml:space="preserve">, compared to </w:t>
      </w:r>
      <w:r w:rsidRPr="007C2E4F">
        <w:rPr>
          <w:rFonts w:ascii="Times New Roman" w:eastAsia="Palatino Linotype" w:hAnsi="Times New Roman"/>
          <w:sz w:val="22"/>
          <w:szCs w:val="22"/>
        </w:rPr>
        <w:t>₹</w:t>
      </w:r>
      <w:r w:rsidRPr="00D33F7C">
        <w:rPr>
          <w:rFonts w:ascii="Palatino Linotype" w:eastAsia="Palatino Linotype" w:hAnsi="Palatino Linotype" w:cs="Palatino Linotype"/>
          <w:sz w:val="22"/>
          <w:szCs w:val="22"/>
        </w:rPr>
        <w:t>21,622 crore during May 20</w:t>
      </w:r>
      <w:r w:rsidR="0067060D">
        <w:rPr>
          <w:rFonts w:ascii="Palatino Linotype" w:eastAsia="Palatino Linotype" w:hAnsi="Palatino Linotype" w:cs="Palatino Linotype"/>
          <w:sz w:val="22"/>
          <w:szCs w:val="22"/>
        </w:rPr>
        <w:t>21, an increase of 155 per cent.</w:t>
      </w:r>
    </w:p>
    <w:p w14:paraId="7C07855B" w14:textId="77777777" w:rsidR="00D33F7C" w:rsidRPr="00D33F7C" w:rsidRDefault="00D33F7C" w:rsidP="00D33F7C">
      <w:pPr>
        <w:pBdr>
          <w:top w:val="nil"/>
          <w:left w:val="nil"/>
          <w:bottom w:val="nil"/>
          <w:right w:val="nil"/>
          <w:between w:val="nil"/>
        </w:pBdr>
        <w:spacing w:line="276" w:lineRule="auto"/>
        <w:ind w:left="360"/>
        <w:jc w:val="both"/>
        <w:rPr>
          <w:rFonts w:ascii="Palatino Linotype" w:eastAsia="Palatino Linotype" w:hAnsi="Palatino Linotype" w:cs="Palatino Linotype"/>
          <w:sz w:val="22"/>
          <w:szCs w:val="22"/>
          <w:highlight w:val="yellow"/>
        </w:rPr>
      </w:pPr>
    </w:p>
    <w:p w14:paraId="4793F037" w14:textId="77777777" w:rsidR="00D33F7C" w:rsidRPr="00D33F7C" w:rsidRDefault="00D33F7C" w:rsidP="00D33F7C">
      <w:pPr>
        <w:widowControl w:val="0"/>
        <w:numPr>
          <w:ilvl w:val="0"/>
          <w:numId w:val="2"/>
        </w:numPr>
        <w:spacing w:line="276" w:lineRule="auto"/>
        <w:ind w:left="454" w:hanging="454"/>
        <w:rPr>
          <w:rFonts w:ascii="Palatino Linotype" w:eastAsia="Palatino Linotype" w:hAnsi="Palatino Linotype" w:cs="Palatino Linotype"/>
          <w:b/>
          <w:sz w:val="22"/>
          <w:szCs w:val="22"/>
        </w:rPr>
      </w:pPr>
      <w:r w:rsidRPr="00D33F7C">
        <w:rPr>
          <w:rFonts w:ascii="Palatino Linotype" w:eastAsia="Palatino Linotype" w:hAnsi="Palatino Linotype" w:cs="Palatino Linotype"/>
          <w:b/>
          <w:sz w:val="22"/>
          <w:szCs w:val="22"/>
        </w:rPr>
        <w:t>Trends in the Secondary Market</w:t>
      </w:r>
    </w:p>
    <w:p w14:paraId="11734713" w14:textId="77777777" w:rsidR="00D33F7C" w:rsidRPr="00D33F7C" w:rsidRDefault="00D33F7C" w:rsidP="00D33F7C">
      <w:pPr>
        <w:widowControl w:val="0"/>
        <w:tabs>
          <w:tab w:val="left" w:pos="3915"/>
        </w:tabs>
        <w:spacing w:line="276" w:lineRule="auto"/>
        <w:jc w:val="both"/>
        <w:rPr>
          <w:rFonts w:ascii="Palatino Linotype" w:eastAsia="Palatino Linotype" w:hAnsi="Palatino Linotype" w:cs="Palatino Linotype"/>
          <w:b/>
          <w:sz w:val="22"/>
          <w:szCs w:val="22"/>
        </w:rPr>
      </w:pPr>
    </w:p>
    <w:p w14:paraId="0E7A5642" w14:textId="77777777" w:rsidR="00D33F7C" w:rsidRPr="00D33F7C" w:rsidRDefault="00D33F7C" w:rsidP="00D33F7C">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D33F7C">
        <w:rPr>
          <w:rFonts w:ascii="Palatino Linotype" w:eastAsia="Palatino Linotype" w:hAnsi="Palatino Linotype" w:cs="Palatino Linotype"/>
          <w:sz w:val="22"/>
          <w:szCs w:val="22"/>
        </w:rPr>
        <w:t>At the end of June 2021, Nifty 50 closed at 15,722 registering an increase of 0.9 per cent as compared to the closing value of 15,583 at the end of May 2021.</w:t>
      </w:r>
    </w:p>
    <w:p w14:paraId="064BD7DB" w14:textId="77777777" w:rsidR="00D33F7C" w:rsidRPr="00D33F7C" w:rsidRDefault="00D33F7C" w:rsidP="00D33F7C">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D33F7C">
        <w:rPr>
          <w:rFonts w:ascii="Palatino Linotype" w:eastAsia="Palatino Linotype" w:hAnsi="Palatino Linotype" w:cs="Palatino Linotype"/>
          <w:sz w:val="22"/>
          <w:szCs w:val="22"/>
        </w:rPr>
        <w:t>S&amp;P BSE Sensex closed at 52,483 at the end of June 2021, indicating an increase of 1.0 per cent as compared to the closing value of 51,937 at the end of May 2021.</w:t>
      </w:r>
    </w:p>
    <w:p w14:paraId="26A490AD" w14:textId="77777777" w:rsidR="00D33F7C" w:rsidRPr="00D33F7C" w:rsidRDefault="00D33F7C" w:rsidP="00D33F7C">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D33F7C">
        <w:rPr>
          <w:rFonts w:ascii="Palatino Linotype" w:eastAsia="Palatino Linotype" w:hAnsi="Palatino Linotype" w:cs="Palatino Linotype"/>
          <w:sz w:val="22"/>
          <w:szCs w:val="22"/>
        </w:rPr>
        <w:t>Nifty 50 and S&amp;P BSE Sensex reached their intraday high for the month at 15,916 and 53,127 respectively, on June 28, 2021 and their intraday low for the month at 15,451 and 51,451 respectively, on June 02, 2021.</w:t>
      </w:r>
    </w:p>
    <w:p w14:paraId="124F0575" w14:textId="77777777" w:rsidR="00D33F7C" w:rsidRPr="00D33F7C" w:rsidRDefault="00D33F7C" w:rsidP="00D33F7C">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D33F7C">
        <w:rPr>
          <w:rFonts w:ascii="Palatino Linotype" w:eastAsia="Palatino Linotype" w:hAnsi="Palatino Linotype" w:cs="Palatino Linotype"/>
          <w:sz w:val="22"/>
          <w:szCs w:val="22"/>
        </w:rPr>
        <w:t xml:space="preserve">The P/E ratios of S&amp;P BSE Sensex and Nifty 50 were </w:t>
      </w:r>
      <w:r w:rsidRPr="00D33F7C">
        <w:rPr>
          <w:rFonts w:ascii="Palatino Linotype" w:eastAsia="Palatino Linotype" w:hAnsi="Palatino Linotype" w:cs="Palatino Linotype"/>
          <w:color w:val="000000" w:themeColor="text1"/>
          <w:sz w:val="22"/>
          <w:szCs w:val="22"/>
        </w:rPr>
        <w:t xml:space="preserve">32.0 and 28.3, </w:t>
      </w:r>
      <w:r w:rsidRPr="00D33F7C">
        <w:rPr>
          <w:rFonts w:ascii="Palatino Linotype" w:eastAsia="Palatino Linotype" w:hAnsi="Palatino Linotype" w:cs="Palatino Linotype"/>
          <w:sz w:val="22"/>
          <w:szCs w:val="22"/>
        </w:rPr>
        <w:t xml:space="preserve">respectively, at the end of June 2021 compared to </w:t>
      </w:r>
      <w:r w:rsidRPr="00D33F7C">
        <w:rPr>
          <w:rFonts w:ascii="Palatino Linotype" w:eastAsia="Palatino Linotype" w:hAnsi="Palatino Linotype" w:cs="Palatino Linotype"/>
          <w:color w:val="000000" w:themeColor="text1"/>
          <w:sz w:val="22"/>
          <w:szCs w:val="22"/>
        </w:rPr>
        <w:t>31.3 and 29.2</w:t>
      </w:r>
      <w:r w:rsidRPr="00D33F7C">
        <w:rPr>
          <w:rFonts w:ascii="Palatino Linotype" w:eastAsia="Palatino Linotype" w:hAnsi="Palatino Linotype" w:cs="Palatino Linotype"/>
          <w:sz w:val="22"/>
          <w:szCs w:val="22"/>
        </w:rPr>
        <w:t>, respectively, at the end of May 2021.</w:t>
      </w:r>
    </w:p>
    <w:p w14:paraId="7C910D5A" w14:textId="77777777" w:rsidR="00D33F7C" w:rsidRDefault="00D33F7C" w:rsidP="00D33F7C">
      <w:pPr>
        <w:pBdr>
          <w:top w:val="nil"/>
          <w:left w:val="nil"/>
          <w:bottom w:val="nil"/>
          <w:right w:val="nil"/>
          <w:between w:val="nil"/>
        </w:pBdr>
        <w:spacing w:line="276" w:lineRule="auto"/>
        <w:ind w:left="720"/>
        <w:jc w:val="both"/>
        <w:rPr>
          <w:rFonts w:ascii="Palatino Linotype" w:eastAsia="Palatino Linotype" w:hAnsi="Palatino Linotype" w:cs="Palatino Linotype"/>
          <w:sz w:val="22"/>
          <w:szCs w:val="22"/>
        </w:rPr>
      </w:pPr>
    </w:p>
    <w:p w14:paraId="05C721BE" w14:textId="77777777" w:rsidR="007C2E4F" w:rsidRPr="00D33F7C" w:rsidRDefault="007C2E4F" w:rsidP="00D33F7C">
      <w:pPr>
        <w:pBdr>
          <w:top w:val="nil"/>
          <w:left w:val="nil"/>
          <w:bottom w:val="nil"/>
          <w:right w:val="nil"/>
          <w:between w:val="nil"/>
        </w:pBdr>
        <w:spacing w:line="276" w:lineRule="auto"/>
        <w:ind w:left="720"/>
        <w:jc w:val="both"/>
        <w:rPr>
          <w:rFonts w:ascii="Palatino Linotype" w:eastAsia="Palatino Linotype" w:hAnsi="Palatino Linotype" w:cs="Palatino Linotype"/>
          <w:sz w:val="22"/>
          <w:szCs w:val="22"/>
        </w:rPr>
      </w:pPr>
    </w:p>
    <w:p w14:paraId="63BA2A35" w14:textId="77777777" w:rsidR="00D33F7C" w:rsidRPr="00D33F7C" w:rsidRDefault="00D33F7C" w:rsidP="00D33F7C">
      <w:pPr>
        <w:pBdr>
          <w:top w:val="nil"/>
          <w:left w:val="nil"/>
          <w:bottom w:val="nil"/>
          <w:right w:val="nil"/>
          <w:between w:val="nil"/>
        </w:pBdr>
        <w:spacing w:line="276" w:lineRule="auto"/>
        <w:ind w:left="720" w:hanging="720"/>
        <w:rPr>
          <w:rFonts w:ascii="Palatino Linotype" w:eastAsia="Palatino Linotype" w:hAnsi="Palatino Linotype" w:cs="Palatino Linotype"/>
          <w:b/>
          <w:sz w:val="22"/>
          <w:szCs w:val="22"/>
        </w:rPr>
      </w:pPr>
    </w:p>
    <w:p w14:paraId="77F21E79" w14:textId="77777777" w:rsidR="00D33F7C" w:rsidRPr="00D33F7C" w:rsidRDefault="00D33F7C" w:rsidP="00D33F7C">
      <w:pPr>
        <w:pBdr>
          <w:top w:val="nil"/>
          <w:left w:val="nil"/>
          <w:bottom w:val="nil"/>
          <w:right w:val="nil"/>
          <w:between w:val="nil"/>
        </w:pBdr>
        <w:spacing w:line="276" w:lineRule="auto"/>
        <w:ind w:left="720" w:hanging="720"/>
        <w:rPr>
          <w:rFonts w:ascii="Palatino Linotype" w:eastAsia="Palatino Linotype" w:hAnsi="Palatino Linotype" w:cs="Palatino Linotype"/>
          <w:b/>
          <w:sz w:val="22"/>
          <w:szCs w:val="22"/>
        </w:rPr>
      </w:pPr>
      <w:r w:rsidRPr="00D33F7C">
        <w:rPr>
          <w:rFonts w:ascii="Palatino Linotype" w:eastAsia="Palatino Linotype" w:hAnsi="Palatino Linotype" w:cs="Palatino Linotype"/>
          <w:b/>
          <w:sz w:val="22"/>
          <w:szCs w:val="22"/>
        </w:rPr>
        <w:lastRenderedPageBreak/>
        <w:t xml:space="preserve">Table 2: Snapshot of Indian Capital Market </w:t>
      </w:r>
    </w:p>
    <w:tbl>
      <w:tblPr>
        <w:tblW w:w="8208" w:type="dxa"/>
        <w:tblLook w:val="04A0" w:firstRow="1" w:lastRow="0" w:firstColumn="1" w:lastColumn="0" w:noHBand="0" w:noVBand="1"/>
      </w:tblPr>
      <w:tblGrid>
        <w:gridCol w:w="2987"/>
        <w:gridCol w:w="1687"/>
        <w:gridCol w:w="1688"/>
        <w:gridCol w:w="1846"/>
      </w:tblGrid>
      <w:tr w:rsidR="00D33F7C" w:rsidRPr="00D33F7C" w14:paraId="4BA4F6EC" w14:textId="77777777" w:rsidTr="00E213CE">
        <w:trPr>
          <w:trHeight w:val="687"/>
        </w:trPr>
        <w:tc>
          <w:tcPr>
            <w:tcW w:w="2987" w:type="dxa"/>
            <w:tcBorders>
              <w:top w:val="single" w:sz="4" w:space="0" w:color="000000"/>
              <w:left w:val="single" w:sz="4" w:space="0" w:color="000000"/>
              <w:bottom w:val="single" w:sz="4" w:space="0" w:color="000000"/>
              <w:right w:val="single" w:sz="4" w:space="0" w:color="000000"/>
            </w:tcBorders>
            <w:shd w:val="clear" w:color="92CDDC" w:fill="92CDDC"/>
            <w:noWrap/>
            <w:vAlign w:val="center"/>
            <w:hideMark/>
          </w:tcPr>
          <w:p w14:paraId="1E880564" w14:textId="77777777" w:rsidR="00D33F7C" w:rsidRPr="00D33F7C" w:rsidRDefault="00D33F7C" w:rsidP="00D33F7C">
            <w:pPr>
              <w:rPr>
                <w:rFonts w:ascii="Palatino Linotype" w:eastAsia="Times New Roman" w:hAnsi="Palatino Linotype"/>
                <w:b/>
                <w:bCs/>
                <w:sz w:val="20"/>
                <w:szCs w:val="20"/>
                <w:lang w:val="en-IN" w:eastAsia="en-IN" w:bidi="hi-IN"/>
              </w:rPr>
            </w:pPr>
            <w:r w:rsidRPr="00D33F7C">
              <w:rPr>
                <w:rFonts w:ascii="Palatino Linotype" w:eastAsia="Times New Roman" w:hAnsi="Palatino Linotype"/>
                <w:b/>
                <w:bCs/>
                <w:sz w:val="20"/>
                <w:szCs w:val="20"/>
                <w:lang w:val="en-IN" w:eastAsia="en-IN" w:bidi="hi-IN"/>
              </w:rPr>
              <w:t>Description</w:t>
            </w:r>
          </w:p>
        </w:tc>
        <w:tc>
          <w:tcPr>
            <w:tcW w:w="1687" w:type="dxa"/>
            <w:tcBorders>
              <w:top w:val="single" w:sz="4" w:space="0" w:color="000000"/>
              <w:left w:val="nil"/>
              <w:bottom w:val="single" w:sz="4" w:space="0" w:color="000000"/>
              <w:right w:val="single" w:sz="4" w:space="0" w:color="000000"/>
            </w:tcBorders>
            <w:shd w:val="clear" w:color="92CDDC" w:fill="92CDDC"/>
            <w:noWrap/>
            <w:vAlign w:val="center"/>
            <w:hideMark/>
          </w:tcPr>
          <w:p w14:paraId="63438380" w14:textId="77777777" w:rsidR="00D33F7C" w:rsidRPr="00D33F7C" w:rsidRDefault="00D33F7C" w:rsidP="00D33F7C">
            <w:pPr>
              <w:jc w:val="center"/>
              <w:rPr>
                <w:rFonts w:ascii="Palatino Linotype" w:eastAsia="Times New Roman" w:hAnsi="Palatino Linotype"/>
                <w:b/>
                <w:bCs/>
                <w:sz w:val="20"/>
                <w:szCs w:val="20"/>
                <w:lang w:val="en-IN" w:eastAsia="en-IN" w:bidi="hi-IN"/>
              </w:rPr>
            </w:pPr>
            <w:r w:rsidRPr="00D33F7C">
              <w:rPr>
                <w:rFonts w:ascii="Palatino Linotype" w:eastAsia="Times New Roman" w:hAnsi="Palatino Linotype"/>
                <w:b/>
                <w:bCs/>
                <w:sz w:val="20"/>
                <w:szCs w:val="20"/>
                <w:lang w:val="en-IN" w:eastAsia="en-IN" w:bidi="hi-IN"/>
              </w:rPr>
              <w:t>May-21</w:t>
            </w:r>
          </w:p>
        </w:tc>
        <w:tc>
          <w:tcPr>
            <w:tcW w:w="1687" w:type="dxa"/>
            <w:tcBorders>
              <w:top w:val="single" w:sz="4" w:space="0" w:color="000000"/>
              <w:left w:val="nil"/>
              <w:bottom w:val="single" w:sz="4" w:space="0" w:color="000000"/>
              <w:right w:val="single" w:sz="4" w:space="0" w:color="000000"/>
            </w:tcBorders>
            <w:shd w:val="clear" w:color="92CDDC" w:fill="92CDDC"/>
            <w:noWrap/>
            <w:vAlign w:val="center"/>
            <w:hideMark/>
          </w:tcPr>
          <w:p w14:paraId="3018ABDA" w14:textId="77777777" w:rsidR="00D33F7C" w:rsidRPr="00D33F7C" w:rsidRDefault="00D33F7C" w:rsidP="00D33F7C">
            <w:pPr>
              <w:jc w:val="center"/>
              <w:rPr>
                <w:rFonts w:ascii="Palatino Linotype" w:eastAsia="Times New Roman" w:hAnsi="Palatino Linotype"/>
                <w:b/>
                <w:bCs/>
                <w:sz w:val="20"/>
                <w:szCs w:val="20"/>
                <w:lang w:val="en-IN" w:eastAsia="en-IN" w:bidi="hi-IN"/>
              </w:rPr>
            </w:pPr>
            <w:r w:rsidRPr="00D33F7C">
              <w:rPr>
                <w:rFonts w:ascii="Palatino Linotype" w:eastAsia="Times New Roman" w:hAnsi="Palatino Linotype"/>
                <w:b/>
                <w:bCs/>
                <w:sz w:val="20"/>
                <w:szCs w:val="20"/>
                <w:lang w:val="en-IN" w:eastAsia="en-IN" w:bidi="hi-IN"/>
              </w:rPr>
              <w:t>Jun-21</w:t>
            </w:r>
          </w:p>
        </w:tc>
        <w:tc>
          <w:tcPr>
            <w:tcW w:w="1846" w:type="dxa"/>
            <w:tcBorders>
              <w:top w:val="single" w:sz="4" w:space="0" w:color="000000"/>
              <w:left w:val="nil"/>
              <w:bottom w:val="single" w:sz="4" w:space="0" w:color="000000"/>
              <w:right w:val="single" w:sz="4" w:space="0" w:color="000000"/>
            </w:tcBorders>
            <w:shd w:val="clear" w:color="92CDDC" w:fill="92CDDC"/>
            <w:vAlign w:val="center"/>
            <w:hideMark/>
          </w:tcPr>
          <w:p w14:paraId="3D85A8AE" w14:textId="77777777" w:rsidR="00D33F7C" w:rsidRPr="00D33F7C" w:rsidRDefault="00D33F7C" w:rsidP="00D33F7C">
            <w:pPr>
              <w:jc w:val="center"/>
              <w:rPr>
                <w:rFonts w:ascii="Palatino Linotype" w:eastAsia="Times New Roman" w:hAnsi="Palatino Linotype"/>
                <w:b/>
                <w:bCs/>
                <w:sz w:val="20"/>
                <w:szCs w:val="20"/>
                <w:lang w:val="en-IN" w:eastAsia="en-IN" w:bidi="hi-IN"/>
              </w:rPr>
            </w:pPr>
            <w:r w:rsidRPr="00D33F7C">
              <w:rPr>
                <w:rFonts w:ascii="Palatino Linotype" w:eastAsia="Times New Roman" w:hAnsi="Palatino Linotype"/>
                <w:b/>
                <w:bCs/>
                <w:sz w:val="20"/>
                <w:szCs w:val="20"/>
                <w:lang w:val="en-IN" w:eastAsia="en-IN" w:bidi="hi-IN"/>
              </w:rPr>
              <w:t>Change during the Month</w:t>
            </w:r>
          </w:p>
        </w:tc>
      </w:tr>
      <w:tr w:rsidR="00D33F7C" w:rsidRPr="00D33F7C" w14:paraId="76DAE6B3" w14:textId="77777777" w:rsidTr="00E213CE">
        <w:trPr>
          <w:trHeight w:val="277"/>
        </w:trPr>
        <w:tc>
          <w:tcPr>
            <w:tcW w:w="2987" w:type="dxa"/>
            <w:tcBorders>
              <w:top w:val="nil"/>
              <w:left w:val="single" w:sz="4" w:space="0" w:color="000000"/>
              <w:bottom w:val="single" w:sz="4" w:space="0" w:color="000000"/>
              <w:right w:val="nil"/>
            </w:tcBorders>
            <w:shd w:val="clear" w:color="C6E0B4" w:fill="C6E0B4"/>
            <w:noWrap/>
            <w:vAlign w:val="center"/>
            <w:hideMark/>
          </w:tcPr>
          <w:p w14:paraId="12A1A22A" w14:textId="77777777" w:rsidR="00D33F7C" w:rsidRPr="00D33F7C" w:rsidRDefault="00D33F7C" w:rsidP="00D33F7C">
            <w:pPr>
              <w:rPr>
                <w:rFonts w:ascii="Palatino Linotype" w:eastAsia="Times New Roman" w:hAnsi="Palatino Linotype"/>
                <w:b/>
                <w:bCs/>
                <w:sz w:val="20"/>
                <w:szCs w:val="20"/>
                <w:lang w:val="en-IN" w:eastAsia="en-IN" w:bidi="hi-IN"/>
              </w:rPr>
            </w:pPr>
            <w:r w:rsidRPr="00D33F7C">
              <w:rPr>
                <w:rFonts w:ascii="Palatino Linotype" w:eastAsia="Times New Roman" w:hAnsi="Palatino Linotype"/>
                <w:b/>
                <w:bCs/>
                <w:sz w:val="20"/>
                <w:szCs w:val="20"/>
                <w:lang w:val="en-IN" w:eastAsia="en-IN" w:bidi="hi-IN"/>
              </w:rPr>
              <w:t>Index in Equity Market</w:t>
            </w:r>
          </w:p>
        </w:tc>
        <w:tc>
          <w:tcPr>
            <w:tcW w:w="1687" w:type="dxa"/>
            <w:tcBorders>
              <w:top w:val="nil"/>
              <w:left w:val="nil"/>
              <w:bottom w:val="single" w:sz="4" w:space="0" w:color="000000"/>
              <w:right w:val="nil"/>
            </w:tcBorders>
            <w:shd w:val="clear" w:color="C6E0B4" w:fill="C6E0B4"/>
            <w:noWrap/>
            <w:vAlign w:val="center"/>
            <w:hideMark/>
          </w:tcPr>
          <w:p w14:paraId="5DD6E459" w14:textId="77777777" w:rsidR="00D33F7C" w:rsidRPr="00D33F7C" w:rsidRDefault="00D33F7C" w:rsidP="00D33F7C">
            <w:pPr>
              <w:rPr>
                <w:rFonts w:ascii="Palatino Linotype" w:eastAsia="Times New Roman" w:hAnsi="Palatino Linotype"/>
                <w:b/>
                <w:bCs/>
                <w:sz w:val="20"/>
                <w:szCs w:val="20"/>
                <w:lang w:val="en-IN" w:eastAsia="en-IN" w:bidi="hi-IN"/>
              </w:rPr>
            </w:pPr>
            <w:r w:rsidRPr="00D33F7C">
              <w:rPr>
                <w:rFonts w:ascii="Palatino Linotype" w:eastAsia="Times New Roman" w:hAnsi="Palatino Linotype"/>
                <w:b/>
                <w:bCs/>
                <w:sz w:val="20"/>
                <w:szCs w:val="20"/>
                <w:lang w:val="en-IN" w:eastAsia="en-IN" w:bidi="hi-IN"/>
              </w:rPr>
              <w:t> </w:t>
            </w:r>
          </w:p>
        </w:tc>
        <w:tc>
          <w:tcPr>
            <w:tcW w:w="1687" w:type="dxa"/>
            <w:tcBorders>
              <w:top w:val="nil"/>
              <w:left w:val="nil"/>
              <w:bottom w:val="single" w:sz="4" w:space="0" w:color="000000"/>
              <w:right w:val="nil"/>
            </w:tcBorders>
            <w:shd w:val="clear" w:color="C6E0B4" w:fill="C6E0B4"/>
            <w:noWrap/>
            <w:vAlign w:val="center"/>
            <w:hideMark/>
          </w:tcPr>
          <w:p w14:paraId="180301ED" w14:textId="77777777" w:rsidR="00D33F7C" w:rsidRPr="00D33F7C" w:rsidRDefault="00D33F7C" w:rsidP="00D33F7C">
            <w:pPr>
              <w:rPr>
                <w:rFonts w:ascii="Palatino Linotype" w:eastAsia="Times New Roman" w:hAnsi="Palatino Linotype"/>
                <w:b/>
                <w:bCs/>
                <w:sz w:val="20"/>
                <w:szCs w:val="20"/>
                <w:lang w:val="en-IN" w:eastAsia="en-IN" w:bidi="hi-IN"/>
              </w:rPr>
            </w:pPr>
            <w:r w:rsidRPr="00D33F7C">
              <w:rPr>
                <w:rFonts w:ascii="Palatino Linotype" w:eastAsia="Times New Roman" w:hAnsi="Palatino Linotype"/>
                <w:b/>
                <w:bCs/>
                <w:sz w:val="20"/>
                <w:szCs w:val="20"/>
                <w:lang w:val="en-IN" w:eastAsia="en-IN" w:bidi="hi-IN"/>
              </w:rPr>
              <w:t> </w:t>
            </w:r>
          </w:p>
        </w:tc>
        <w:tc>
          <w:tcPr>
            <w:tcW w:w="1846" w:type="dxa"/>
            <w:tcBorders>
              <w:top w:val="nil"/>
              <w:left w:val="nil"/>
              <w:bottom w:val="single" w:sz="4" w:space="0" w:color="000000"/>
              <w:right w:val="single" w:sz="4" w:space="0" w:color="000000"/>
            </w:tcBorders>
            <w:shd w:val="clear" w:color="C6E0B4" w:fill="C6E0B4"/>
            <w:noWrap/>
            <w:vAlign w:val="center"/>
            <w:hideMark/>
          </w:tcPr>
          <w:p w14:paraId="466DA189" w14:textId="77777777" w:rsidR="00D33F7C" w:rsidRPr="00D33F7C" w:rsidRDefault="00D33F7C" w:rsidP="00D33F7C">
            <w:pPr>
              <w:rPr>
                <w:rFonts w:ascii="Palatino Linotype" w:eastAsia="Times New Roman" w:hAnsi="Palatino Linotype"/>
                <w:b/>
                <w:bCs/>
                <w:sz w:val="20"/>
                <w:szCs w:val="20"/>
                <w:lang w:val="en-IN" w:eastAsia="en-IN" w:bidi="hi-IN"/>
              </w:rPr>
            </w:pPr>
            <w:r w:rsidRPr="00D33F7C">
              <w:rPr>
                <w:rFonts w:ascii="Palatino Linotype" w:eastAsia="Times New Roman" w:hAnsi="Palatino Linotype"/>
                <w:b/>
                <w:bCs/>
                <w:sz w:val="20"/>
                <w:szCs w:val="20"/>
                <w:lang w:val="en-IN" w:eastAsia="en-IN" w:bidi="hi-IN"/>
              </w:rPr>
              <w:t> </w:t>
            </w:r>
          </w:p>
        </w:tc>
      </w:tr>
      <w:tr w:rsidR="00D33F7C" w:rsidRPr="00D33F7C" w14:paraId="1D3B75BB" w14:textId="77777777" w:rsidTr="00E213CE">
        <w:trPr>
          <w:trHeight w:val="277"/>
        </w:trPr>
        <w:tc>
          <w:tcPr>
            <w:tcW w:w="2987" w:type="dxa"/>
            <w:tcBorders>
              <w:top w:val="nil"/>
              <w:left w:val="single" w:sz="4" w:space="0" w:color="000000"/>
              <w:bottom w:val="single" w:sz="4" w:space="0" w:color="000000"/>
              <w:right w:val="single" w:sz="4" w:space="0" w:color="000000"/>
            </w:tcBorders>
            <w:shd w:val="clear" w:color="auto" w:fill="auto"/>
            <w:noWrap/>
            <w:vAlign w:val="bottom"/>
            <w:hideMark/>
          </w:tcPr>
          <w:p w14:paraId="46D14A60" w14:textId="77777777" w:rsidR="00D33F7C" w:rsidRPr="00D33F7C" w:rsidRDefault="00D33F7C" w:rsidP="00D33F7C">
            <w:pPr>
              <w:rPr>
                <w:rFonts w:ascii="Palatino Linotype" w:eastAsia="Times New Roman" w:hAnsi="Palatino Linotype"/>
                <w:sz w:val="20"/>
                <w:szCs w:val="20"/>
                <w:lang w:val="en-IN" w:eastAsia="en-IN" w:bidi="hi-IN"/>
              </w:rPr>
            </w:pPr>
            <w:r w:rsidRPr="00D33F7C">
              <w:rPr>
                <w:rFonts w:ascii="Palatino Linotype" w:eastAsia="Times New Roman" w:hAnsi="Palatino Linotype"/>
                <w:sz w:val="20"/>
                <w:szCs w:val="20"/>
                <w:lang w:val="en-IN" w:eastAsia="en-IN" w:bidi="hi-IN"/>
              </w:rPr>
              <w:t>Nifty 50</w:t>
            </w:r>
          </w:p>
        </w:tc>
        <w:tc>
          <w:tcPr>
            <w:tcW w:w="1687" w:type="dxa"/>
            <w:tcBorders>
              <w:top w:val="nil"/>
              <w:left w:val="nil"/>
              <w:bottom w:val="single" w:sz="4" w:space="0" w:color="000000"/>
              <w:right w:val="single" w:sz="4" w:space="0" w:color="000000"/>
            </w:tcBorders>
            <w:shd w:val="clear" w:color="auto" w:fill="auto"/>
            <w:noWrap/>
            <w:vAlign w:val="bottom"/>
            <w:hideMark/>
          </w:tcPr>
          <w:p w14:paraId="661F2DB3" w14:textId="77777777" w:rsidR="00D33F7C" w:rsidRPr="00D33F7C" w:rsidRDefault="00D33F7C" w:rsidP="00D33F7C">
            <w:pPr>
              <w:rPr>
                <w:rFonts w:ascii="Palatino Linotype" w:eastAsia="Times New Roman" w:hAnsi="Palatino Linotype"/>
                <w:sz w:val="20"/>
                <w:szCs w:val="20"/>
                <w:lang w:val="en-IN" w:eastAsia="en-IN" w:bidi="hi-IN"/>
              </w:rPr>
            </w:pPr>
            <w:r w:rsidRPr="00D33F7C">
              <w:rPr>
                <w:rFonts w:ascii="Palatino Linotype" w:eastAsia="Times New Roman" w:hAnsi="Palatino Linotype"/>
                <w:sz w:val="20"/>
                <w:szCs w:val="20"/>
                <w:lang w:val="en-IN" w:eastAsia="en-IN" w:bidi="hi-IN"/>
              </w:rPr>
              <w:t xml:space="preserve">                 15,583 </w:t>
            </w:r>
          </w:p>
        </w:tc>
        <w:tc>
          <w:tcPr>
            <w:tcW w:w="1687" w:type="dxa"/>
            <w:tcBorders>
              <w:top w:val="nil"/>
              <w:left w:val="nil"/>
              <w:bottom w:val="single" w:sz="4" w:space="0" w:color="000000"/>
              <w:right w:val="single" w:sz="4" w:space="0" w:color="000000"/>
            </w:tcBorders>
            <w:shd w:val="clear" w:color="auto" w:fill="auto"/>
            <w:noWrap/>
            <w:vAlign w:val="bottom"/>
            <w:hideMark/>
          </w:tcPr>
          <w:p w14:paraId="55290A49" w14:textId="77777777" w:rsidR="00D33F7C" w:rsidRPr="00D33F7C" w:rsidRDefault="00D33F7C" w:rsidP="00D33F7C">
            <w:pPr>
              <w:rPr>
                <w:rFonts w:ascii="Palatino Linotype" w:eastAsia="Times New Roman" w:hAnsi="Palatino Linotype"/>
                <w:sz w:val="20"/>
                <w:szCs w:val="20"/>
                <w:lang w:val="en-IN" w:eastAsia="en-IN" w:bidi="hi-IN"/>
              </w:rPr>
            </w:pPr>
            <w:r w:rsidRPr="00D33F7C">
              <w:rPr>
                <w:rFonts w:ascii="Palatino Linotype" w:eastAsia="Times New Roman" w:hAnsi="Palatino Linotype"/>
                <w:sz w:val="20"/>
                <w:szCs w:val="20"/>
                <w:lang w:val="en-IN" w:eastAsia="en-IN" w:bidi="hi-IN"/>
              </w:rPr>
              <w:t xml:space="preserve">                 15,722 </w:t>
            </w:r>
          </w:p>
        </w:tc>
        <w:tc>
          <w:tcPr>
            <w:tcW w:w="1846" w:type="dxa"/>
            <w:tcBorders>
              <w:top w:val="nil"/>
              <w:left w:val="nil"/>
              <w:bottom w:val="single" w:sz="4" w:space="0" w:color="000000"/>
              <w:right w:val="single" w:sz="4" w:space="0" w:color="000000"/>
            </w:tcBorders>
            <w:shd w:val="clear" w:color="auto" w:fill="auto"/>
            <w:noWrap/>
            <w:vAlign w:val="bottom"/>
            <w:hideMark/>
          </w:tcPr>
          <w:p w14:paraId="227C7FB1" w14:textId="77777777" w:rsidR="00D33F7C" w:rsidRPr="00D33F7C" w:rsidRDefault="00D33F7C" w:rsidP="00D33F7C">
            <w:pPr>
              <w:jc w:val="right"/>
              <w:rPr>
                <w:rFonts w:ascii="Palatino Linotype" w:eastAsia="Times New Roman" w:hAnsi="Palatino Linotype"/>
                <w:sz w:val="20"/>
                <w:szCs w:val="20"/>
                <w:lang w:val="en-IN" w:eastAsia="en-IN" w:bidi="hi-IN"/>
              </w:rPr>
            </w:pPr>
            <w:r w:rsidRPr="00D33F7C">
              <w:rPr>
                <w:rFonts w:ascii="Palatino Linotype" w:eastAsia="Times New Roman" w:hAnsi="Palatino Linotype"/>
                <w:sz w:val="20"/>
                <w:szCs w:val="20"/>
                <w:lang w:val="en-IN" w:eastAsia="en-IN" w:bidi="hi-IN"/>
              </w:rPr>
              <w:t>0.9</w:t>
            </w:r>
          </w:p>
        </w:tc>
      </w:tr>
      <w:tr w:rsidR="00D33F7C" w:rsidRPr="00D33F7C" w14:paraId="48BA0514" w14:textId="77777777" w:rsidTr="00E213CE">
        <w:trPr>
          <w:trHeight w:val="277"/>
        </w:trPr>
        <w:tc>
          <w:tcPr>
            <w:tcW w:w="2987" w:type="dxa"/>
            <w:tcBorders>
              <w:top w:val="nil"/>
              <w:left w:val="single" w:sz="4" w:space="0" w:color="000000"/>
              <w:bottom w:val="single" w:sz="4" w:space="0" w:color="000000"/>
              <w:right w:val="single" w:sz="4" w:space="0" w:color="000000"/>
            </w:tcBorders>
            <w:shd w:val="clear" w:color="auto" w:fill="auto"/>
            <w:noWrap/>
            <w:vAlign w:val="bottom"/>
            <w:hideMark/>
          </w:tcPr>
          <w:p w14:paraId="0D2044E7" w14:textId="77777777" w:rsidR="00D33F7C" w:rsidRPr="00D33F7C" w:rsidRDefault="00D33F7C" w:rsidP="00D33F7C">
            <w:pPr>
              <w:rPr>
                <w:rFonts w:ascii="Palatino Linotype" w:eastAsia="Times New Roman" w:hAnsi="Palatino Linotype"/>
                <w:sz w:val="20"/>
                <w:szCs w:val="20"/>
                <w:lang w:val="en-IN" w:eastAsia="en-IN" w:bidi="hi-IN"/>
              </w:rPr>
            </w:pPr>
            <w:r w:rsidRPr="00D33F7C">
              <w:rPr>
                <w:rFonts w:ascii="Palatino Linotype" w:eastAsia="Times New Roman" w:hAnsi="Palatino Linotype"/>
                <w:sz w:val="20"/>
                <w:szCs w:val="20"/>
                <w:lang w:val="en-IN" w:eastAsia="en-IN" w:bidi="hi-IN"/>
              </w:rPr>
              <w:t>Sensex</w:t>
            </w:r>
          </w:p>
        </w:tc>
        <w:tc>
          <w:tcPr>
            <w:tcW w:w="1687" w:type="dxa"/>
            <w:tcBorders>
              <w:top w:val="nil"/>
              <w:left w:val="nil"/>
              <w:bottom w:val="single" w:sz="4" w:space="0" w:color="000000"/>
              <w:right w:val="single" w:sz="4" w:space="0" w:color="000000"/>
            </w:tcBorders>
            <w:shd w:val="clear" w:color="auto" w:fill="auto"/>
            <w:noWrap/>
            <w:vAlign w:val="bottom"/>
            <w:hideMark/>
          </w:tcPr>
          <w:p w14:paraId="2A000DB6" w14:textId="77777777" w:rsidR="00D33F7C" w:rsidRPr="00D33F7C" w:rsidRDefault="00D33F7C" w:rsidP="00D33F7C">
            <w:pPr>
              <w:rPr>
                <w:rFonts w:ascii="Palatino Linotype" w:eastAsia="Times New Roman" w:hAnsi="Palatino Linotype"/>
                <w:sz w:val="20"/>
                <w:szCs w:val="20"/>
                <w:lang w:val="en-IN" w:eastAsia="en-IN" w:bidi="hi-IN"/>
              </w:rPr>
            </w:pPr>
            <w:r w:rsidRPr="00D33F7C">
              <w:rPr>
                <w:rFonts w:ascii="Palatino Linotype" w:eastAsia="Times New Roman" w:hAnsi="Palatino Linotype"/>
                <w:sz w:val="20"/>
                <w:szCs w:val="20"/>
                <w:lang w:val="en-IN" w:eastAsia="en-IN" w:bidi="hi-IN"/>
              </w:rPr>
              <w:t xml:space="preserve">                 51,937 </w:t>
            </w:r>
          </w:p>
        </w:tc>
        <w:tc>
          <w:tcPr>
            <w:tcW w:w="1687" w:type="dxa"/>
            <w:tcBorders>
              <w:top w:val="nil"/>
              <w:left w:val="nil"/>
              <w:bottom w:val="single" w:sz="4" w:space="0" w:color="000000"/>
              <w:right w:val="single" w:sz="4" w:space="0" w:color="000000"/>
            </w:tcBorders>
            <w:shd w:val="clear" w:color="auto" w:fill="auto"/>
            <w:noWrap/>
            <w:vAlign w:val="bottom"/>
            <w:hideMark/>
          </w:tcPr>
          <w:p w14:paraId="5F1AD702" w14:textId="77777777" w:rsidR="00D33F7C" w:rsidRPr="00D33F7C" w:rsidRDefault="00D33F7C" w:rsidP="00D33F7C">
            <w:pPr>
              <w:rPr>
                <w:rFonts w:ascii="Palatino Linotype" w:eastAsia="Times New Roman" w:hAnsi="Palatino Linotype"/>
                <w:sz w:val="20"/>
                <w:szCs w:val="20"/>
                <w:lang w:val="en-IN" w:eastAsia="en-IN" w:bidi="hi-IN"/>
              </w:rPr>
            </w:pPr>
            <w:r w:rsidRPr="00D33F7C">
              <w:rPr>
                <w:rFonts w:ascii="Palatino Linotype" w:eastAsia="Times New Roman" w:hAnsi="Palatino Linotype"/>
                <w:sz w:val="20"/>
                <w:szCs w:val="20"/>
                <w:lang w:val="en-IN" w:eastAsia="en-IN" w:bidi="hi-IN"/>
              </w:rPr>
              <w:t xml:space="preserve">                 52,483 </w:t>
            </w:r>
          </w:p>
        </w:tc>
        <w:tc>
          <w:tcPr>
            <w:tcW w:w="1846" w:type="dxa"/>
            <w:tcBorders>
              <w:top w:val="nil"/>
              <w:left w:val="nil"/>
              <w:bottom w:val="single" w:sz="4" w:space="0" w:color="000000"/>
              <w:right w:val="single" w:sz="4" w:space="0" w:color="000000"/>
            </w:tcBorders>
            <w:shd w:val="clear" w:color="auto" w:fill="auto"/>
            <w:noWrap/>
            <w:vAlign w:val="bottom"/>
            <w:hideMark/>
          </w:tcPr>
          <w:p w14:paraId="23B7440A" w14:textId="77777777" w:rsidR="00D33F7C" w:rsidRPr="00D33F7C" w:rsidRDefault="00D33F7C" w:rsidP="00D33F7C">
            <w:pPr>
              <w:jc w:val="right"/>
              <w:rPr>
                <w:rFonts w:ascii="Palatino Linotype" w:eastAsia="Times New Roman" w:hAnsi="Palatino Linotype"/>
                <w:sz w:val="20"/>
                <w:szCs w:val="20"/>
                <w:lang w:val="en-IN" w:eastAsia="en-IN" w:bidi="hi-IN"/>
              </w:rPr>
            </w:pPr>
            <w:r w:rsidRPr="00D33F7C">
              <w:rPr>
                <w:rFonts w:ascii="Palatino Linotype" w:eastAsia="Times New Roman" w:hAnsi="Palatino Linotype"/>
                <w:sz w:val="20"/>
                <w:szCs w:val="20"/>
                <w:lang w:val="en-IN" w:eastAsia="en-IN" w:bidi="hi-IN"/>
              </w:rPr>
              <w:t>1.0</w:t>
            </w:r>
          </w:p>
        </w:tc>
      </w:tr>
      <w:tr w:rsidR="00D33F7C" w:rsidRPr="00D33F7C" w14:paraId="08000495" w14:textId="77777777" w:rsidTr="00E213CE">
        <w:trPr>
          <w:trHeight w:val="277"/>
        </w:trPr>
        <w:tc>
          <w:tcPr>
            <w:tcW w:w="2987" w:type="dxa"/>
            <w:tcBorders>
              <w:top w:val="nil"/>
              <w:left w:val="single" w:sz="4" w:space="0" w:color="000000"/>
              <w:bottom w:val="single" w:sz="4" w:space="0" w:color="000000"/>
              <w:right w:val="single" w:sz="4" w:space="0" w:color="000000"/>
            </w:tcBorders>
            <w:shd w:val="clear" w:color="auto" w:fill="auto"/>
            <w:noWrap/>
            <w:vAlign w:val="bottom"/>
            <w:hideMark/>
          </w:tcPr>
          <w:p w14:paraId="2361BB1E" w14:textId="77777777" w:rsidR="00D33F7C" w:rsidRPr="00D33F7C" w:rsidRDefault="00D33F7C" w:rsidP="00D33F7C">
            <w:pPr>
              <w:rPr>
                <w:rFonts w:ascii="Palatino Linotype" w:eastAsia="Times New Roman" w:hAnsi="Palatino Linotype"/>
                <w:sz w:val="20"/>
                <w:szCs w:val="20"/>
                <w:lang w:val="en-IN" w:eastAsia="en-IN" w:bidi="hi-IN"/>
              </w:rPr>
            </w:pPr>
            <w:r w:rsidRPr="00D33F7C">
              <w:rPr>
                <w:rFonts w:ascii="Palatino Linotype" w:eastAsia="Times New Roman" w:hAnsi="Palatino Linotype"/>
                <w:sz w:val="20"/>
                <w:szCs w:val="20"/>
                <w:lang w:val="en-IN" w:eastAsia="en-IN" w:bidi="hi-IN"/>
              </w:rPr>
              <w:t>Nifty Midcap 50</w:t>
            </w:r>
          </w:p>
        </w:tc>
        <w:tc>
          <w:tcPr>
            <w:tcW w:w="1687" w:type="dxa"/>
            <w:tcBorders>
              <w:top w:val="nil"/>
              <w:left w:val="nil"/>
              <w:bottom w:val="single" w:sz="4" w:space="0" w:color="000000"/>
              <w:right w:val="single" w:sz="4" w:space="0" w:color="000000"/>
            </w:tcBorders>
            <w:shd w:val="clear" w:color="auto" w:fill="auto"/>
            <w:noWrap/>
            <w:vAlign w:val="bottom"/>
            <w:hideMark/>
          </w:tcPr>
          <w:p w14:paraId="7754221F" w14:textId="77777777" w:rsidR="00D33F7C" w:rsidRPr="00D33F7C" w:rsidRDefault="00D33F7C" w:rsidP="00D33F7C">
            <w:pPr>
              <w:rPr>
                <w:rFonts w:ascii="Palatino Linotype" w:eastAsia="Times New Roman" w:hAnsi="Palatino Linotype"/>
                <w:sz w:val="20"/>
                <w:szCs w:val="20"/>
                <w:lang w:val="en-IN" w:eastAsia="en-IN" w:bidi="hi-IN"/>
              </w:rPr>
            </w:pPr>
            <w:r w:rsidRPr="00D33F7C">
              <w:rPr>
                <w:rFonts w:ascii="Palatino Linotype" w:eastAsia="Times New Roman" w:hAnsi="Palatino Linotype"/>
                <w:sz w:val="20"/>
                <w:szCs w:val="20"/>
                <w:lang w:val="en-IN" w:eastAsia="en-IN" w:bidi="hi-IN"/>
              </w:rPr>
              <w:t xml:space="preserve">                    7,206 </w:t>
            </w:r>
          </w:p>
        </w:tc>
        <w:tc>
          <w:tcPr>
            <w:tcW w:w="1687" w:type="dxa"/>
            <w:tcBorders>
              <w:top w:val="nil"/>
              <w:left w:val="nil"/>
              <w:bottom w:val="single" w:sz="4" w:space="0" w:color="000000"/>
              <w:right w:val="single" w:sz="4" w:space="0" w:color="000000"/>
            </w:tcBorders>
            <w:shd w:val="clear" w:color="auto" w:fill="auto"/>
            <w:noWrap/>
            <w:vAlign w:val="bottom"/>
            <w:hideMark/>
          </w:tcPr>
          <w:p w14:paraId="71ADF040" w14:textId="77777777" w:rsidR="00D33F7C" w:rsidRPr="00D33F7C" w:rsidRDefault="00D33F7C" w:rsidP="00D33F7C">
            <w:pPr>
              <w:rPr>
                <w:rFonts w:ascii="Palatino Linotype" w:eastAsia="Times New Roman" w:hAnsi="Palatino Linotype"/>
                <w:sz w:val="20"/>
                <w:szCs w:val="20"/>
                <w:lang w:val="en-IN" w:eastAsia="en-IN" w:bidi="hi-IN"/>
              </w:rPr>
            </w:pPr>
            <w:r w:rsidRPr="00D33F7C">
              <w:rPr>
                <w:rFonts w:ascii="Palatino Linotype" w:eastAsia="Times New Roman" w:hAnsi="Palatino Linotype"/>
                <w:sz w:val="20"/>
                <w:szCs w:val="20"/>
                <w:lang w:val="en-IN" w:eastAsia="en-IN" w:bidi="hi-IN"/>
              </w:rPr>
              <w:t xml:space="preserve">                    7,475 </w:t>
            </w:r>
          </w:p>
        </w:tc>
        <w:tc>
          <w:tcPr>
            <w:tcW w:w="1846" w:type="dxa"/>
            <w:tcBorders>
              <w:top w:val="nil"/>
              <w:left w:val="nil"/>
              <w:bottom w:val="single" w:sz="4" w:space="0" w:color="000000"/>
              <w:right w:val="single" w:sz="4" w:space="0" w:color="000000"/>
            </w:tcBorders>
            <w:shd w:val="clear" w:color="auto" w:fill="auto"/>
            <w:noWrap/>
            <w:vAlign w:val="bottom"/>
            <w:hideMark/>
          </w:tcPr>
          <w:p w14:paraId="38E6C428" w14:textId="77777777" w:rsidR="00D33F7C" w:rsidRPr="00D33F7C" w:rsidRDefault="00D33F7C" w:rsidP="00D33F7C">
            <w:pPr>
              <w:jc w:val="right"/>
              <w:rPr>
                <w:rFonts w:ascii="Palatino Linotype" w:eastAsia="Times New Roman" w:hAnsi="Palatino Linotype"/>
                <w:sz w:val="20"/>
                <w:szCs w:val="20"/>
                <w:lang w:val="en-IN" w:eastAsia="en-IN" w:bidi="hi-IN"/>
              </w:rPr>
            </w:pPr>
            <w:r w:rsidRPr="00D33F7C">
              <w:rPr>
                <w:rFonts w:ascii="Palatino Linotype" w:eastAsia="Times New Roman" w:hAnsi="Palatino Linotype"/>
                <w:sz w:val="20"/>
                <w:szCs w:val="20"/>
                <w:lang w:val="en-IN" w:eastAsia="en-IN" w:bidi="hi-IN"/>
              </w:rPr>
              <w:t>3.7</w:t>
            </w:r>
          </w:p>
        </w:tc>
      </w:tr>
      <w:tr w:rsidR="00D33F7C" w:rsidRPr="00D33F7C" w14:paraId="6C83FEAE" w14:textId="77777777" w:rsidTr="00E213CE">
        <w:trPr>
          <w:trHeight w:val="277"/>
        </w:trPr>
        <w:tc>
          <w:tcPr>
            <w:tcW w:w="2987" w:type="dxa"/>
            <w:tcBorders>
              <w:top w:val="nil"/>
              <w:left w:val="single" w:sz="4" w:space="0" w:color="000000"/>
              <w:bottom w:val="single" w:sz="4" w:space="0" w:color="000000"/>
              <w:right w:val="single" w:sz="4" w:space="0" w:color="000000"/>
            </w:tcBorders>
            <w:shd w:val="clear" w:color="auto" w:fill="auto"/>
            <w:noWrap/>
            <w:vAlign w:val="bottom"/>
            <w:hideMark/>
          </w:tcPr>
          <w:p w14:paraId="03BC77A3" w14:textId="77777777" w:rsidR="00D33F7C" w:rsidRPr="00D33F7C" w:rsidRDefault="00D33F7C" w:rsidP="00D33F7C">
            <w:pPr>
              <w:rPr>
                <w:rFonts w:ascii="Palatino Linotype" w:eastAsia="Times New Roman" w:hAnsi="Palatino Linotype"/>
                <w:sz w:val="20"/>
                <w:szCs w:val="20"/>
                <w:lang w:val="en-IN" w:eastAsia="en-IN" w:bidi="hi-IN"/>
              </w:rPr>
            </w:pPr>
            <w:r w:rsidRPr="00D33F7C">
              <w:rPr>
                <w:rFonts w:ascii="Palatino Linotype" w:eastAsia="Times New Roman" w:hAnsi="Palatino Linotype"/>
                <w:sz w:val="20"/>
                <w:szCs w:val="20"/>
                <w:lang w:val="en-IN" w:eastAsia="en-IN" w:bidi="hi-IN"/>
              </w:rPr>
              <w:t>Nifty Smallcap 100</w:t>
            </w:r>
          </w:p>
        </w:tc>
        <w:tc>
          <w:tcPr>
            <w:tcW w:w="1687" w:type="dxa"/>
            <w:tcBorders>
              <w:top w:val="nil"/>
              <w:left w:val="nil"/>
              <w:bottom w:val="single" w:sz="4" w:space="0" w:color="000000"/>
              <w:right w:val="single" w:sz="4" w:space="0" w:color="000000"/>
            </w:tcBorders>
            <w:shd w:val="clear" w:color="auto" w:fill="auto"/>
            <w:noWrap/>
            <w:vAlign w:val="bottom"/>
            <w:hideMark/>
          </w:tcPr>
          <w:p w14:paraId="704661D5" w14:textId="77777777" w:rsidR="00D33F7C" w:rsidRPr="00D33F7C" w:rsidRDefault="00D33F7C" w:rsidP="00D33F7C">
            <w:pPr>
              <w:rPr>
                <w:rFonts w:ascii="Palatino Linotype" w:eastAsia="Times New Roman" w:hAnsi="Palatino Linotype"/>
                <w:sz w:val="20"/>
                <w:szCs w:val="20"/>
                <w:lang w:val="en-IN" w:eastAsia="en-IN" w:bidi="hi-IN"/>
              </w:rPr>
            </w:pPr>
            <w:r w:rsidRPr="00D33F7C">
              <w:rPr>
                <w:rFonts w:ascii="Palatino Linotype" w:eastAsia="Times New Roman" w:hAnsi="Palatino Linotype"/>
                <w:sz w:val="20"/>
                <w:szCs w:val="20"/>
                <w:lang w:val="en-IN" w:eastAsia="en-IN" w:bidi="hi-IN"/>
              </w:rPr>
              <w:t xml:space="preserve">                    9,267 </w:t>
            </w:r>
          </w:p>
        </w:tc>
        <w:tc>
          <w:tcPr>
            <w:tcW w:w="1687" w:type="dxa"/>
            <w:tcBorders>
              <w:top w:val="nil"/>
              <w:left w:val="nil"/>
              <w:bottom w:val="single" w:sz="4" w:space="0" w:color="000000"/>
              <w:right w:val="single" w:sz="4" w:space="0" w:color="000000"/>
            </w:tcBorders>
            <w:shd w:val="clear" w:color="auto" w:fill="auto"/>
            <w:noWrap/>
            <w:vAlign w:val="bottom"/>
            <w:hideMark/>
          </w:tcPr>
          <w:p w14:paraId="57241C5E" w14:textId="77777777" w:rsidR="00D33F7C" w:rsidRPr="00D33F7C" w:rsidRDefault="00D33F7C" w:rsidP="00D33F7C">
            <w:pPr>
              <w:rPr>
                <w:rFonts w:ascii="Palatino Linotype" w:eastAsia="Times New Roman" w:hAnsi="Palatino Linotype"/>
                <w:sz w:val="20"/>
                <w:szCs w:val="20"/>
                <w:lang w:val="en-IN" w:eastAsia="en-IN" w:bidi="hi-IN"/>
              </w:rPr>
            </w:pPr>
            <w:r w:rsidRPr="00D33F7C">
              <w:rPr>
                <w:rFonts w:ascii="Palatino Linotype" w:eastAsia="Times New Roman" w:hAnsi="Palatino Linotype"/>
                <w:sz w:val="20"/>
                <w:szCs w:val="20"/>
                <w:lang w:val="en-IN" w:eastAsia="en-IN" w:bidi="hi-IN"/>
              </w:rPr>
              <w:t xml:space="preserve">                    9,734 </w:t>
            </w:r>
          </w:p>
        </w:tc>
        <w:tc>
          <w:tcPr>
            <w:tcW w:w="1846" w:type="dxa"/>
            <w:tcBorders>
              <w:top w:val="nil"/>
              <w:left w:val="nil"/>
              <w:bottom w:val="single" w:sz="4" w:space="0" w:color="000000"/>
              <w:right w:val="single" w:sz="4" w:space="0" w:color="000000"/>
            </w:tcBorders>
            <w:shd w:val="clear" w:color="auto" w:fill="auto"/>
            <w:noWrap/>
            <w:vAlign w:val="bottom"/>
            <w:hideMark/>
          </w:tcPr>
          <w:p w14:paraId="1F6122E2" w14:textId="77777777" w:rsidR="00D33F7C" w:rsidRPr="00D33F7C" w:rsidRDefault="00D33F7C" w:rsidP="00D33F7C">
            <w:pPr>
              <w:jc w:val="right"/>
              <w:rPr>
                <w:rFonts w:ascii="Palatino Linotype" w:eastAsia="Times New Roman" w:hAnsi="Palatino Linotype"/>
                <w:sz w:val="20"/>
                <w:szCs w:val="20"/>
                <w:lang w:val="en-IN" w:eastAsia="en-IN" w:bidi="hi-IN"/>
              </w:rPr>
            </w:pPr>
            <w:r w:rsidRPr="00D33F7C">
              <w:rPr>
                <w:rFonts w:ascii="Palatino Linotype" w:eastAsia="Times New Roman" w:hAnsi="Palatino Linotype"/>
                <w:sz w:val="20"/>
                <w:szCs w:val="20"/>
                <w:lang w:val="en-IN" w:eastAsia="en-IN" w:bidi="hi-IN"/>
              </w:rPr>
              <w:t>5.0</w:t>
            </w:r>
          </w:p>
        </w:tc>
      </w:tr>
      <w:tr w:rsidR="00D33F7C" w:rsidRPr="00D33F7C" w14:paraId="083EB25F" w14:textId="77777777" w:rsidTr="00E213CE">
        <w:trPr>
          <w:trHeight w:val="277"/>
        </w:trPr>
        <w:tc>
          <w:tcPr>
            <w:tcW w:w="2987" w:type="dxa"/>
            <w:tcBorders>
              <w:top w:val="nil"/>
              <w:left w:val="single" w:sz="4" w:space="0" w:color="000000"/>
              <w:bottom w:val="single" w:sz="4" w:space="0" w:color="000000"/>
              <w:right w:val="single" w:sz="4" w:space="0" w:color="000000"/>
            </w:tcBorders>
            <w:shd w:val="clear" w:color="auto" w:fill="auto"/>
            <w:noWrap/>
            <w:vAlign w:val="bottom"/>
            <w:hideMark/>
          </w:tcPr>
          <w:p w14:paraId="1ECE5D76" w14:textId="77777777" w:rsidR="00D33F7C" w:rsidRPr="00D33F7C" w:rsidRDefault="00D33F7C" w:rsidP="00D33F7C">
            <w:pPr>
              <w:rPr>
                <w:rFonts w:ascii="Palatino Linotype" w:eastAsia="Times New Roman" w:hAnsi="Palatino Linotype"/>
                <w:sz w:val="20"/>
                <w:szCs w:val="20"/>
                <w:lang w:val="en-IN" w:eastAsia="en-IN" w:bidi="hi-IN"/>
              </w:rPr>
            </w:pPr>
            <w:r w:rsidRPr="00D33F7C">
              <w:rPr>
                <w:rFonts w:ascii="Palatino Linotype" w:eastAsia="Times New Roman" w:hAnsi="Palatino Linotype"/>
                <w:sz w:val="20"/>
                <w:szCs w:val="20"/>
                <w:lang w:val="en-IN" w:eastAsia="en-IN" w:bidi="hi-IN"/>
              </w:rPr>
              <w:t>BSE Midcap</w:t>
            </w:r>
          </w:p>
        </w:tc>
        <w:tc>
          <w:tcPr>
            <w:tcW w:w="1687" w:type="dxa"/>
            <w:tcBorders>
              <w:top w:val="nil"/>
              <w:left w:val="nil"/>
              <w:bottom w:val="single" w:sz="4" w:space="0" w:color="000000"/>
              <w:right w:val="single" w:sz="4" w:space="0" w:color="000000"/>
            </w:tcBorders>
            <w:shd w:val="clear" w:color="auto" w:fill="auto"/>
            <w:noWrap/>
            <w:vAlign w:val="bottom"/>
            <w:hideMark/>
          </w:tcPr>
          <w:p w14:paraId="6DE44245" w14:textId="77777777" w:rsidR="00D33F7C" w:rsidRPr="00D33F7C" w:rsidRDefault="00D33F7C" w:rsidP="00D33F7C">
            <w:pPr>
              <w:rPr>
                <w:rFonts w:ascii="Palatino Linotype" w:eastAsia="Times New Roman" w:hAnsi="Palatino Linotype"/>
                <w:sz w:val="20"/>
                <w:szCs w:val="20"/>
                <w:lang w:val="en-IN" w:eastAsia="en-IN" w:bidi="hi-IN"/>
              </w:rPr>
            </w:pPr>
            <w:r w:rsidRPr="00D33F7C">
              <w:rPr>
                <w:rFonts w:ascii="Palatino Linotype" w:eastAsia="Times New Roman" w:hAnsi="Palatino Linotype"/>
                <w:sz w:val="20"/>
                <w:szCs w:val="20"/>
                <w:lang w:val="en-IN" w:eastAsia="en-IN" w:bidi="hi-IN"/>
              </w:rPr>
              <w:t xml:space="preserve">                 21,758 </w:t>
            </w:r>
          </w:p>
        </w:tc>
        <w:tc>
          <w:tcPr>
            <w:tcW w:w="1687" w:type="dxa"/>
            <w:tcBorders>
              <w:top w:val="nil"/>
              <w:left w:val="nil"/>
              <w:bottom w:val="single" w:sz="4" w:space="0" w:color="000000"/>
              <w:right w:val="single" w:sz="4" w:space="0" w:color="000000"/>
            </w:tcBorders>
            <w:shd w:val="clear" w:color="auto" w:fill="auto"/>
            <w:noWrap/>
            <w:vAlign w:val="bottom"/>
            <w:hideMark/>
          </w:tcPr>
          <w:p w14:paraId="68CF3911" w14:textId="77777777" w:rsidR="00D33F7C" w:rsidRPr="00D33F7C" w:rsidRDefault="00D33F7C" w:rsidP="00D33F7C">
            <w:pPr>
              <w:rPr>
                <w:rFonts w:ascii="Palatino Linotype" w:eastAsia="Times New Roman" w:hAnsi="Palatino Linotype"/>
                <w:sz w:val="20"/>
                <w:szCs w:val="20"/>
                <w:lang w:val="en-IN" w:eastAsia="en-IN" w:bidi="hi-IN"/>
              </w:rPr>
            </w:pPr>
            <w:r w:rsidRPr="00D33F7C">
              <w:rPr>
                <w:rFonts w:ascii="Palatino Linotype" w:eastAsia="Times New Roman" w:hAnsi="Palatino Linotype"/>
                <w:sz w:val="20"/>
                <w:szCs w:val="20"/>
                <w:lang w:val="en-IN" w:eastAsia="en-IN" w:bidi="hi-IN"/>
              </w:rPr>
              <w:t xml:space="preserve">                 22,536 </w:t>
            </w:r>
          </w:p>
        </w:tc>
        <w:tc>
          <w:tcPr>
            <w:tcW w:w="1846" w:type="dxa"/>
            <w:tcBorders>
              <w:top w:val="nil"/>
              <w:left w:val="nil"/>
              <w:bottom w:val="single" w:sz="4" w:space="0" w:color="000000"/>
              <w:right w:val="single" w:sz="4" w:space="0" w:color="000000"/>
            </w:tcBorders>
            <w:shd w:val="clear" w:color="auto" w:fill="auto"/>
            <w:noWrap/>
            <w:vAlign w:val="bottom"/>
            <w:hideMark/>
          </w:tcPr>
          <w:p w14:paraId="70CD1F82" w14:textId="77777777" w:rsidR="00D33F7C" w:rsidRPr="00D33F7C" w:rsidRDefault="00D33F7C" w:rsidP="00D33F7C">
            <w:pPr>
              <w:jc w:val="right"/>
              <w:rPr>
                <w:rFonts w:ascii="Palatino Linotype" w:eastAsia="Times New Roman" w:hAnsi="Palatino Linotype"/>
                <w:sz w:val="20"/>
                <w:szCs w:val="20"/>
                <w:lang w:val="en-IN" w:eastAsia="en-IN" w:bidi="hi-IN"/>
              </w:rPr>
            </w:pPr>
            <w:r w:rsidRPr="00D33F7C">
              <w:rPr>
                <w:rFonts w:ascii="Palatino Linotype" w:eastAsia="Times New Roman" w:hAnsi="Palatino Linotype"/>
                <w:sz w:val="20"/>
                <w:szCs w:val="20"/>
                <w:lang w:val="en-IN" w:eastAsia="en-IN" w:bidi="hi-IN"/>
              </w:rPr>
              <w:t>3.6</w:t>
            </w:r>
          </w:p>
        </w:tc>
      </w:tr>
      <w:tr w:rsidR="00D33F7C" w:rsidRPr="00D33F7C" w14:paraId="7500AF1A" w14:textId="77777777" w:rsidTr="00E213CE">
        <w:trPr>
          <w:trHeight w:val="277"/>
        </w:trPr>
        <w:tc>
          <w:tcPr>
            <w:tcW w:w="2987" w:type="dxa"/>
            <w:tcBorders>
              <w:top w:val="nil"/>
              <w:left w:val="single" w:sz="4" w:space="0" w:color="000000"/>
              <w:bottom w:val="single" w:sz="4" w:space="0" w:color="000000"/>
              <w:right w:val="single" w:sz="4" w:space="0" w:color="000000"/>
            </w:tcBorders>
            <w:shd w:val="clear" w:color="auto" w:fill="auto"/>
            <w:noWrap/>
            <w:vAlign w:val="bottom"/>
            <w:hideMark/>
          </w:tcPr>
          <w:p w14:paraId="684D889A" w14:textId="77777777" w:rsidR="00D33F7C" w:rsidRPr="00D33F7C" w:rsidRDefault="00D33F7C" w:rsidP="00D33F7C">
            <w:pPr>
              <w:rPr>
                <w:rFonts w:ascii="Palatino Linotype" w:eastAsia="Times New Roman" w:hAnsi="Palatino Linotype"/>
                <w:sz w:val="20"/>
                <w:szCs w:val="20"/>
                <w:lang w:val="en-IN" w:eastAsia="en-IN" w:bidi="hi-IN"/>
              </w:rPr>
            </w:pPr>
            <w:r w:rsidRPr="00D33F7C">
              <w:rPr>
                <w:rFonts w:ascii="Palatino Linotype" w:eastAsia="Times New Roman" w:hAnsi="Palatino Linotype"/>
                <w:sz w:val="20"/>
                <w:szCs w:val="20"/>
                <w:lang w:val="en-IN" w:eastAsia="en-IN" w:bidi="hi-IN"/>
              </w:rPr>
              <w:t>BSE Smallcap</w:t>
            </w:r>
          </w:p>
        </w:tc>
        <w:tc>
          <w:tcPr>
            <w:tcW w:w="1687" w:type="dxa"/>
            <w:tcBorders>
              <w:top w:val="nil"/>
              <w:left w:val="nil"/>
              <w:bottom w:val="single" w:sz="4" w:space="0" w:color="000000"/>
              <w:right w:val="single" w:sz="4" w:space="0" w:color="000000"/>
            </w:tcBorders>
            <w:shd w:val="clear" w:color="auto" w:fill="auto"/>
            <w:noWrap/>
            <w:vAlign w:val="bottom"/>
            <w:hideMark/>
          </w:tcPr>
          <w:p w14:paraId="017E6E97" w14:textId="77777777" w:rsidR="00D33F7C" w:rsidRPr="00D33F7C" w:rsidRDefault="00D33F7C" w:rsidP="00D33F7C">
            <w:pPr>
              <w:rPr>
                <w:rFonts w:ascii="Palatino Linotype" w:eastAsia="Times New Roman" w:hAnsi="Palatino Linotype"/>
                <w:sz w:val="20"/>
                <w:szCs w:val="20"/>
                <w:lang w:val="en-IN" w:eastAsia="en-IN" w:bidi="hi-IN"/>
              </w:rPr>
            </w:pPr>
            <w:r w:rsidRPr="00D33F7C">
              <w:rPr>
                <w:rFonts w:ascii="Palatino Linotype" w:eastAsia="Times New Roman" w:hAnsi="Palatino Linotype"/>
                <w:sz w:val="20"/>
                <w:szCs w:val="20"/>
                <w:lang w:val="en-IN" w:eastAsia="en-IN" w:bidi="hi-IN"/>
              </w:rPr>
              <w:t xml:space="preserve">                 23,596 </w:t>
            </w:r>
          </w:p>
        </w:tc>
        <w:tc>
          <w:tcPr>
            <w:tcW w:w="1687" w:type="dxa"/>
            <w:tcBorders>
              <w:top w:val="nil"/>
              <w:left w:val="nil"/>
              <w:bottom w:val="single" w:sz="4" w:space="0" w:color="000000"/>
              <w:right w:val="single" w:sz="4" w:space="0" w:color="000000"/>
            </w:tcBorders>
            <w:shd w:val="clear" w:color="auto" w:fill="auto"/>
            <w:noWrap/>
            <w:vAlign w:val="bottom"/>
            <w:hideMark/>
          </w:tcPr>
          <w:p w14:paraId="6A6546E2" w14:textId="77777777" w:rsidR="00D33F7C" w:rsidRPr="00D33F7C" w:rsidRDefault="00D33F7C" w:rsidP="00D33F7C">
            <w:pPr>
              <w:rPr>
                <w:rFonts w:ascii="Palatino Linotype" w:eastAsia="Times New Roman" w:hAnsi="Palatino Linotype"/>
                <w:sz w:val="20"/>
                <w:szCs w:val="20"/>
                <w:lang w:val="en-IN" w:eastAsia="en-IN" w:bidi="hi-IN"/>
              </w:rPr>
            </w:pPr>
            <w:r w:rsidRPr="00D33F7C">
              <w:rPr>
                <w:rFonts w:ascii="Palatino Linotype" w:eastAsia="Times New Roman" w:hAnsi="Palatino Linotype"/>
                <w:sz w:val="20"/>
                <w:szCs w:val="20"/>
                <w:lang w:val="en-IN" w:eastAsia="en-IN" w:bidi="hi-IN"/>
              </w:rPr>
              <w:t xml:space="preserve">                 25,232 </w:t>
            </w:r>
          </w:p>
        </w:tc>
        <w:tc>
          <w:tcPr>
            <w:tcW w:w="1846" w:type="dxa"/>
            <w:tcBorders>
              <w:top w:val="nil"/>
              <w:left w:val="nil"/>
              <w:bottom w:val="single" w:sz="4" w:space="0" w:color="000000"/>
              <w:right w:val="single" w:sz="4" w:space="0" w:color="000000"/>
            </w:tcBorders>
            <w:shd w:val="clear" w:color="auto" w:fill="auto"/>
            <w:noWrap/>
            <w:vAlign w:val="bottom"/>
            <w:hideMark/>
          </w:tcPr>
          <w:p w14:paraId="4A5D3680" w14:textId="77777777" w:rsidR="00D33F7C" w:rsidRPr="00D33F7C" w:rsidRDefault="00D33F7C" w:rsidP="00D33F7C">
            <w:pPr>
              <w:jc w:val="right"/>
              <w:rPr>
                <w:rFonts w:ascii="Palatino Linotype" w:eastAsia="Times New Roman" w:hAnsi="Palatino Linotype"/>
                <w:sz w:val="20"/>
                <w:szCs w:val="20"/>
                <w:lang w:val="en-IN" w:eastAsia="en-IN" w:bidi="hi-IN"/>
              </w:rPr>
            </w:pPr>
            <w:r w:rsidRPr="00D33F7C">
              <w:rPr>
                <w:rFonts w:ascii="Palatino Linotype" w:eastAsia="Times New Roman" w:hAnsi="Palatino Linotype"/>
                <w:sz w:val="20"/>
                <w:szCs w:val="20"/>
                <w:lang w:val="en-IN" w:eastAsia="en-IN" w:bidi="hi-IN"/>
              </w:rPr>
              <w:t>6.9</w:t>
            </w:r>
          </w:p>
        </w:tc>
      </w:tr>
      <w:tr w:rsidR="00D33F7C" w:rsidRPr="00D33F7C" w14:paraId="7CF1F4C9" w14:textId="77777777" w:rsidTr="00E213CE">
        <w:trPr>
          <w:trHeight w:val="277"/>
        </w:trPr>
        <w:tc>
          <w:tcPr>
            <w:tcW w:w="4674" w:type="dxa"/>
            <w:gridSpan w:val="2"/>
            <w:tcBorders>
              <w:top w:val="single" w:sz="4" w:space="0" w:color="000000"/>
              <w:left w:val="single" w:sz="4" w:space="0" w:color="000000"/>
              <w:bottom w:val="single" w:sz="4" w:space="0" w:color="000000"/>
              <w:right w:val="nil"/>
            </w:tcBorders>
            <w:shd w:val="clear" w:color="C6E0B4" w:fill="C6E0B4"/>
            <w:noWrap/>
            <w:vAlign w:val="center"/>
            <w:hideMark/>
          </w:tcPr>
          <w:p w14:paraId="364A7A26" w14:textId="77777777" w:rsidR="00D33F7C" w:rsidRPr="00D33F7C" w:rsidRDefault="00D33F7C" w:rsidP="00D33F7C">
            <w:pPr>
              <w:rPr>
                <w:rFonts w:ascii="Palatino Linotype" w:eastAsia="Times New Roman" w:hAnsi="Palatino Linotype"/>
                <w:b/>
                <w:bCs/>
                <w:sz w:val="20"/>
                <w:szCs w:val="20"/>
                <w:lang w:val="en-IN" w:eastAsia="en-IN" w:bidi="hi-IN"/>
              </w:rPr>
            </w:pPr>
            <w:r w:rsidRPr="00D33F7C">
              <w:rPr>
                <w:rFonts w:ascii="Palatino Linotype" w:eastAsia="Times New Roman" w:hAnsi="Palatino Linotype"/>
                <w:b/>
                <w:bCs/>
                <w:sz w:val="20"/>
                <w:szCs w:val="20"/>
                <w:lang w:val="en-IN" w:eastAsia="en-IN" w:bidi="hi-IN"/>
              </w:rPr>
              <w:t>Market Capitalisation (</w:t>
            </w:r>
            <w:r w:rsidRPr="00D33F7C">
              <w:rPr>
                <w:rFonts w:ascii="Tahoma" w:eastAsia="Times New Roman" w:hAnsi="Tahoma" w:cs="Tahoma"/>
                <w:b/>
                <w:bCs/>
                <w:sz w:val="20"/>
                <w:szCs w:val="20"/>
                <w:lang w:val="en-IN" w:eastAsia="en-IN" w:bidi="hi-IN"/>
              </w:rPr>
              <w:t>₹</w:t>
            </w:r>
            <w:r w:rsidRPr="00D33F7C">
              <w:rPr>
                <w:rFonts w:ascii="Palatino Linotype" w:eastAsia="Times New Roman" w:hAnsi="Palatino Linotype"/>
                <w:b/>
                <w:bCs/>
                <w:sz w:val="20"/>
                <w:szCs w:val="20"/>
                <w:lang w:val="en-IN" w:eastAsia="en-IN" w:bidi="hi-IN"/>
              </w:rPr>
              <w:t xml:space="preserve"> crore)</w:t>
            </w:r>
          </w:p>
        </w:tc>
        <w:tc>
          <w:tcPr>
            <w:tcW w:w="1687" w:type="dxa"/>
            <w:tcBorders>
              <w:top w:val="nil"/>
              <w:left w:val="nil"/>
              <w:bottom w:val="single" w:sz="4" w:space="0" w:color="000000"/>
              <w:right w:val="nil"/>
            </w:tcBorders>
            <w:shd w:val="clear" w:color="C6E0B4" w:fill="C6E0B4"/>
            <w:noWrap/>
            <w:vAlign w:val="center"/>
            <w:hideMark/>
          </w:tcPr>
          <w:p w14:paraId="623CC777" w14:textId="77777777" w:rsidR="00D33F7C" w:rsidRPr="00D33F7C" w:rsidRDefault="00D33F7C" w:rsidP="00D33F7C">
            <w:pPr>
              <w:rPr>
                <w:rFonts w:ascii="Palatino Linotype" w:eastAsia="Times New Roman" w:hAnsi="Palatino Linotype"/>
                <w:b/>
                <w:bCs/>
                <w:sz w:val="20"/>
                <w:szCs w:val="20"/>
                <w:lang w:val="en-IN" w:eastAsia="en-IN" w:bidi="hi-IN"/>
              </w:rPr>
            </w:pPr>
            <w:r w:rsidRPr="00D33F7C">
              <w:rPr>
                <w:rFonts w:ascii="Palatino Linotype" w:eastAsia="Times New Roman" w:hAnsi="Palatino Linotype"/>
                <w:b/>
                <w:bCs/>
                <w:sz w:val="20"/>
                <w:szCs w:val="20"/>
                <w:lang w:val="en-IN" w:eastAsia="en-IN" w:bidi="hi-IN"/>
              </w:rPr>
              <w:t> </w:t>
            </w:r>
          </w:p>
        </w:tc>
        <w:tc>
          <w:tcPr>
            <w:tcW w:w="1846" w:type="dxa"/>
            <w:tcBorders>
              <w:top w:val="nil"/>
              <w:left w:val="nil"/>
              <w:bottom w:val="single" w:sz="4" w:space="0" w:color="000000"/>
              <w:right w:val="single" w:sz="4" w:space="0" w:color="000000"/>
            </w:tcBorders>
            <w:shd w:val="clear" w:color="C6E0B4" w:fill="C6E0B4"/>
            <w:noWrap/>
            <w:vAlign w:val="center"/>
            <w:hideMark/>
          </w:tcPr>
          <w:p w14:paraId="50BCFAE5" w14:textId="77777777" w:rsidR="00D33F7C" w:rsidRPr="00D33F7C" w:rsidRDefault="00D33F7C" w:rsidP="00D33F7C">
            <w:pPr>
              <w:rPr>
                <w:rFonts w:ascii="Palatino Linotype" w:eastAsia="Times New Roman" w:hAnsi="Palatino Linotype"/>
                <w:b/>
                <w:bCs/>
                <w:sz w:val="20"/>
                <w:szCs w:val="20"/>
                <w:lang w:val="en-IN" w:eastAsia="en-IN" w:bidi="hi-IN"/>
              </w:rPr>
            </w:pPr>
            <w:r w:rsidRPr="00D33F7C">
              <w:rPr>
                <w:rFonts w:ascii="Palatino Linotype" w:eastAsia="Times New Roman" w:hAnsi="Palatino Linotype"/>
                <w:b/>
                <w:bCs/>
                <w:sz w:val="20"/>
                <w:szCs w:val="20"/>
                <w:lang w:val="en-IN" w:eastAsia="en-IN" w:bidi="hi-IN"/>
              </w:rPr>
              <w:t> </w:t>
            </w:r>
          </w:p>
        </w:tc>
      </w:tr>
      <w:tr w:rsidR="00D33F7C" w:rsidRPr="00D33F7C" w14:paraId="26B455B4" w14:textId="77777777" w:rsidTr="00E213CE">
        <w:trPr>
          <w:trHeight w:val="277"/>
        </w:trPr>
        <w:tc>
          <w:tcPr>
            <w:tcW w:w="2987" w:type="dxa"/>
            <w:tcBorders>
              <w:top w:val="nil"/>
              <w:left w:val="single" w:sz="4" w:space="0" w:color="000000"/>
              <w:bottom w:val="single" w:sz="4" w:space="0" w:color="000000"/>
              <w:right w:val="single" w:sz="4" w:space="0" w:color="000000"/>
            </w:tcBorders>
            <w:shd w:val="clear" w:color="auto" w:fill="auto"/>
            <w:noWrap/>
            <w:vAlign w:val="bottom"/>
            <w:hideMark/>
          </w:tcPr>
          <w:p w14:paraId="6948BBCD" w14:textId="77777777" w:rsidR="00D33F7C" w:rsidRPr="00D33F7C" w:rsidRDefault="00D33F7C" w:rsidP="00D33F7C">
            <w:pPr>
              <w:rPr>
                <w:rFonts w:ascii="Palatino Linotype" w:eastAsia="Times New Roman" w:hAnsi="Palatino Linotype"/>
                <w:sz w:val="20"/>
                <w:szCs w:val="20"/>
                <w:lang w:val="en-IN" w:eastAsia="en-IN" w:bidi="hi-IN"/>
              </w:rPr>
            </w:pPr>
            <w:r w:rsidRPr="00D33F7C">
              <w:rPr>
                <w:rFonts w:ascii="Palatino Linotype" w:eastAsia="Times New Roman" w:hAnsi="Palatino Linotype"/>
                <w:sz w:val="20"/>
                <w:szCs w:val="20"/>
                <w:lang w:val="en-IN" w:eastAsia="en-IN" w:bidi="hi-IN"/>
              </w:rPr>
              <w:t xml:space="preserve">BSE </w:t>
            </w:r>
          </w:p>
        </w:tc>
        <w:tc>
          <w:tcPr>
            <w:tcW w:w="1687" w:type="dxa"/>
            <w:tcBorders>
              <w:top w:val="nil"/>
              <w:left w:val="nil"/>
              <w:bottom w:val="single" w:sz="4" w:space="0" w:color="000000"/>
              <w:right w:val="single" w:sz="4" w:space="0" w:color="000000"/>
            </w:tcBorders>
            <w:shd w:val="clear" w:color="auto" w:fill="auto"/>
            <w:noWrap/>
            <w:vAlign w:val="bottom"/>
            <w:hideMark/>
          </w:tcPr>
          <w:p w14:paraId="2659A02F" w14:textId="77777777" w:rsidR="00D33F7C" w:rsidRPr="00D33F7C" w:rsidRDefault="00D33F7C" w:rsidP="00D33F7C">
            <w:pPr>
              <w:rPr>
                <w:rFonts w:ascii="Palatino Linotype" w:eastAsia="Times New Roman" w:hAnsi="Palatino Linotype"/>
                <w:sz w:val="20"/>
                <w:szCs w:val="20"/>
                <w:lang w:val="en-IN" w:eastAsia="en-IN" w:bidi="hi-IN"/>
              </w:rPr>
            </w:pPr>
            <w:r w:rsidRPr="00D33F7C">
              <w:rPr>
                <w:rFonts w:ascii="Palatino Linotype" w:eastAsia="Times New Roman" w:hAnsi="Palatino Linotype"/>
                <w:sz w:val="20"/>
                <w:szCs w:val="20"/>
                <w:lang w:val="en-IN" w:eastAsia="en-IN" w:bidi="hi-IN"/>
              </w:rPr>
              <w:t xml:space="preserve">        2,22,99,810 </w:t>
            </w:r>
          </w:p>
        </w:tc>
        <w:tc>
          <w:tcPr>
            <w:tcW w:w="1687" w:type="dxa"/>
            <w:tcBorders>
              <w:top w:val="nil"/>
              <w:left w:val="nil"/>
              <w:bottom w:val="single" w:sz="4" w:space="0" w:color="000000"/>
              <w:right w:val="single" w:sz="4" w:space="0" w:color="000000"/>
            </w:tcBorders>
            <w:shd w:val="clear" w:color="auto" w:fill="auto"/>
            <w:noWrap/>
            <w:vAlign w:val="bottom"/>
            <w:hideMark/>
          </w:tcPr>
          <w:p w14:paraId="5762F673" w14:textId="77777777" w:rsidR="00D33F7C" w:rsidRPr="00D33F7C" w:rsidRDefault="00D33F7C" w:rsidP="00D33F7C">
            <w:pPr>
              <w:rPr>
                <w:rFonts w:ascii="Palatino Linotype" w:eastAsia="Times New Roman" w:hAnsi="Palatino Linotype"/>
                <w:sz w:val="20"/>
                <w:szCs w:val="20"/>
                <w:lang w:val="en-IN" w:eastAsia="en-IN" w:bidi="hi-IN"/>
              </w:rPr>
            </w:pPr>
            <w:r w:rsidRPr="00D33F7C">
              <w:rPr>
                <w:rFonts w:ascii="Palatino Linotype" w:eastAsia="Times New Roman" w:hAnsi="Palatino Linotype"/>
                <w:sz w:val="20"/>
                <w:szCs w:val="20"/>
                <w:lang w:val="en-IN" w:eastAsia="en-IN" w:bidi="hi-IN"/>
              </w:rPr>
              <w:t xml:space="preserve">        2,29,77,769 </w:t>
            </w:r>
          </w:p>
        </w:tc>
        <w:tc>
          <w:tcPr>
            <w:tcW w:w="1846" w:type="dxa"/>
            <w:tcBorders>
              <w:top w:val="nil"/>
              <w:left w:val="nil"/>
              <w:bottom w:val="single" w:sz="4" w:space="0" w:color="000000"/>
              <w:right w:val="single" w:sz="4" w:space="0" w:color="000000"/>
            </w:tcBorders>
            <w:shd w:val="clear" w:color="auto" w:fill="auto"/>
            <w:noWrap/>
            <w:vAlign w:val="bottom"/>
            <w:hideMark/>
          </w:tcPr>
          <w:p w14:paraId="0A958FA5" w14:textId="77777777" w:rsidR="00D33F7C" w:rsidRPr="00D33F7C" w:rsidRDefault="00D33F7C" w:rsidP="00D33F7C">
            <w:pPr>
              <w:jc w:val="right"/>
              <w:rPr>
                <w:rFonts w:ascii="Palatino Linotype" w:eastAsia="Times New Roman" w:hAnsi="Palatino Linotype"/>
                <w:sz w:val="20"/>
                <w:szCs w:val="20"/>
                <w:lang w:val="en-IN" w:eastAsia="en-IN" w:bidi="hi-IN"/>
              </w:rPr>
            </w:pPr>
            <w:r w:rsidRPr="00D33F7C">
              <w:rPr>
                <w:rFonts w:ascii="Palatino Linotype" w:eastAsia="Times New Roman" w:hAnsi="Palatino Linotype"/>
                <w:sz w:val="20"/>
                <w:szCs w:val="20"/>
                <w:lang w:val="en-IN" w:eastAsia="en-IN" w:bidi="hi-IN"/>
              </w:rPr>
              <w:t>3.0</w:t>
            </w:r>
          </w:p>
        </w:tc>
      </w:tr>
      <w:tr w:rsidR="00D33F7C" w:rsidRPr="00D33F7C" w14:paraId="484F4039" w14:textId="77777777" w:rsidTr="00E213CE">
        <w:trPr>
          <w:trHeight w:val="277"/>
        </w:trPr>
        <w:tc>
          <w:tcPr>
            <w:tcW w:w="2987" w:type="dxa"/>
            <w:tcBorders>
              <w:top w:val="nil"/>
              <w:left w:val="single" w:sz="4" w:space="0" w:color="000000"/>
              <w:bottom w:val="single" w:sz="4" w:space="0" w:color="000000"/>
              <w:right w:val="single" w:sz="4" w:space="0" w:color="000000"/>
            </w:tcBorders>
            <w:shd w:val="clear" w:color="auto" w:fill="auto"/>
            <w:noWrap/>
            <w:vAlign w:val="bottom"/>
            <w:hideMark/>
          </w:tcPr>
          <w:p w14:paraId="6F48AD09" w14:textId="77777777" w:rsidR="00D33F7C" w:rsidRPr="00D33F7C" w:rsidRDefault="00D33F7C" w:rsidP="00D33F7C">
            <w:pPr>
              <w:rPr>
                <w:rFonts w:ascii="Palatino Linotype" w:eastAsia="Times New Roman" w:hAnsi="Palatino Linotype"/>
                <w:sz w:val="20"/>
                <w:szCs w:val="20"/>
                <w:lang w:val="en-IN" w:eastAsia="en-IN" w:bidi="hi-IN"/>
              </w:rPr>
            </w:pPr>
            <w:r w:rsidRPr="00D33F7C">
              <w:rPr>
                <w:rFonts w:ascii="Palatino Linotype" w:eastAsia="Times New Roman" w:hAnsi="Palatino Linotype"/>
                <w:sz w:val="20"/>
                <w:szCs w:val="20"/>
                <w:lang w:val="en-IN" w:eastAsia="en-IN" w:bidi="hi-IN"/>
              </w:rPr>
              <w:t>NSE</w:t>
            </w:r>
          </w:p>
        </w:tc>
        <w:tc>
          <w:tcPr>
            <w:tcW w:w="1687" w:type="dxa"/>
            <w:tcBorders>
              <w:top w:val="nil"/>
              <w:left w:val="nil"/>
              <w:bottom w:val="single" w:sz="4" w:space="0" w:color="000000"/>
              <w:right w:val="single" w:sz="4" w:space="0" w:color="000000"/>
            </w:tcBorders>
            <w:shd w:val="clear" w:color="auto" w:fill="auto"/>
            <w:noWrap/>
            <w:vAlign w:val="bottom"/>
            <w:hideMark/>
          </w:tcPr>
          <w:p w14:paraId="52231985" w14:textId="77777777" w:rsidR="00D33F7C" w:rsidRPr="00D33F7C" w:rsidRDefault="00D33F7C" w:rsidP="00D33F7C">
            <w:pPr>
              <w:rPr>
                <w:rFonts w:ascii="Palatino Linotype" w:eastAsia="Times New Roman" w:hAnsi="Palatino Linotype"/>
                <w:sz w:val="20"/>
                <w:szCs w:val="20"/>
                <w:lang w:val="en-IN" w:eastAsia="en-IN" w:bidi="hi-IN"/>
              </w:rPr>
            </w:pPr>
            <w:r w:rsidRPr="00D33F7C">
              <w:rPr>
                <w:rFonts w:ascii="Palatino Linotype" w:eastAsia="Times New Roman" w:hAnsi="Palatino Linotype"/>
                <w:sz w:val="20"/>
                <w:szCs w:val="20"/>
                <w:lang w:val="en-IN" w:eastAsia="en-IN" w:bidi="hi-IN"/>
              </w:rPr>
              <w:t xml:space="preserve">        2,21,51,945 </w:t>
            </w:r>
          </w:p>
        </w:tc>
        <w:tc>
          <w:tcPr>
            <w:tcW w:w="1687" w:type="dxa"/>
            <w:tcBorders>
              <w:top w:val="nil"/>
              <w:left w:val="nil"/>
              <w:bottom w:val="single" w:sz="4" w:space="0" w:color="000000"/>
              <w:right w:val="single" w:sz="4" w:space="0" w:color="000000"/>
            </w:tcBorders>
            <w:shd w:val="clear" w:color="auto" w:fill="auto"/>
            <w:noWrap/>
            <w:vAlign w:val="bottom"/>
            <w:hideMark/>
          </w:tcPr>
          <w:p w14:paraId="2796E8D9" w14:textId="77777777" w:rsidR="00D33F7C" w:rsidRPr="00D33F7C" w:rsidRDefault="00D33F7C" w:rsidP="00D33F7C">
            <w:pPr>
              <w:rPr>
                <w:rFonts w:ascii="Palatino Linotype" w:eastAsia="Times New Roman" w:hAnsi="Palatino Linotype"/>
                <w:sz w:val="20"/>
                <w:szCs w:val="20"/>
                <w:lang w:val="en-IN" w:eastAsia="en-IN" w:bidi="hi-IN"/>
              </w:rPr>
            </w:pPr>
            <w:r w:rsidRPr="00D33F7C">
              <w:rPr>
                <w:rFonts w:ascii="Palatino Linotype" w:eastAsia="Times New Roman" w:hAnsi="Palatino Linotype"/>
                <w:sz w:val="20"/>
                <w:szCs w:val="20"/>
                <w:lang w:val="en-IN" w:eastAsia="en-IN" w:bidi="hi-IN"/>
              </w:rPr>
              <w:t xml:space="preserve">        2,28,14,761 </w:t>
            </w:r>
          </w:p>
        </w:tc>
        <w:tc>
          <w:tcPr>
            <w:tcW w:w="1846" w:type="dxa"/>
            <w:tcBorders>
              <w:top w:val="nil"/>
              <w:left w:val="nil"/>
              <w:bottom w:val="single" w:sz="4" w:space="0" w:color="000000"/>
              <w:right w:val="single" w:sz="4" w:space="0" w:color="000000"/>
            </w:tcBorders>
            <w:shd w:val="clear" w:color="auto" w:fill="auto"/>
            <w:noWrap/>
            <w:vAlign w:val="bottom"/>
            <w:hideMark/>
          </w:tcPr>
          <w:p w14:paraId="636F8507" w14:textId="77777777" w:rsidR="00D33F7C" w:rsidRPr="00D33F7C" w:rsidRDefault="00D33F7C" w:rsidP="00D33F7C">
            <w:pPr>
              <w:jc w:val="right"/>
              <w:rPr>
                <w:rFonts w:ascii="Palatino Linotype" w:eastAsia="Times New Roman" w:hAnsi="Palatino Linotype"/>
                <w:sz w:val="20"/>
                <w:szCs w:val="20"/>
                <w:lang w:val="en-IN" w:eastAsia="en-IN" w:bidi="hi-IN"/>
              </w:rPr>
            </w:pPr>
            <w:r w:rsidRPr="00D33F7C">
              <w:rPr>
                <w:rFonts w:ascii="Palatino Linotype" w:eastAsia="Times New Roman" w:hAnsi="Palatino Linotype"/>
                <w:sz w:val="20"/>
                <w:szCs w:val="20"/>
                <w:lang w:val="en-IN" w:eastAsia="en-IN" w:bidi="hi-IN"/>
              </w:rPr>
              <w:t>3.0</w:t>
            </w:r>
          </w:p>
        </w:tc>
      </w:tr>
      <w:tr w:rsidR="00D33F7C" w:rsidRPr="00D33F7C" w14:paraId="611D09B1" w14:textId="77777777" w:rsidTr="00E213CE">
        <w:trPr>
          <w:trHeight w:val="277"/>
        </w:trPr>
        <w:tc>
          <w:tcPr>
            <w:tcW w:w="2987" w:type="dxa"/>
            <w:tcBorders>
              <w:top w:val="nil"/>
              <w:left w:val="single" w:sz="4" w:space="0" w:color="000000"/>
              <w:bottom w:val="single" w:sz="4" w:space="0" w:color="000000"/>
              <w:right w:val="nil"/>
            </w:tcBorders>
            <w:shd w:val="clear" w:color="C6E0B4" w:fill="C6E0B4"/>
            <w:noWrap/>
            <w:vAlign w:val="center"/>
            <w:hideMark/>
          </w:tcPr>
          <w:p w14:paraId="235FAD04" w14:textId="77777777" w:rsidR="00D33F7C" w:rsidRPr="00D33F7C" w:rsidRDefault="00D33F7C" w:rsidP="00D33F7C">
            <w:pPr>
              <w:rPr>
                <w:rFonts w:ascii="Palatino Linotype" w:eastAsia="Times New Roman" w:hAnsi="Palatino Linotype"/>
                <w:b/>
                <w:bCs/>
                <w:sz w:val="20"/>
                <w:szCs w:val="20"/>
                <w:lang w:val="en-IN" w:eastAsia="en-IN" w:bidi="hi-IN"/>
              </w:rPr>
            </w:pPr>
            <w:r w:rsidRPr="00D33F7C">
              <w:rPr>
                <w:rFonts w:ascii="Palatino Linotype" w:eastAsia="Times New Roman" w:hAnsi="Palatino Linotype"/>
                <w:b/>
                <w:bCs/>
                <w:sz w:val="20"/>
                <w:szCs w:val="20"/>
                <w:lang w:val="en-IN" w:eastAsia="en-IN" w:bidi="hi-IN"/>
              </w:rPr>
              <w:t>P/E Ratio</w:t>
            </w:r>
          </w:p>
        </w:tc>
        <w:tc>
          <w:tcPr>
            <w:tcW w:w="1687" w:type="dxa"/>
            <w:tcBorders>
              <w:top w:val="nil"/>
              <w:left w:val="nil"/>
              <w:bottom w:val="single" w:sz="4" w:space="0" w:color="000000"/>
              <w:right w:val="nil"/>
            </w:tcBorders>
            <w:shd w:val="clear" w:color="C6E0B4" w:fill="C6E0B4"/>
            <w:noWrap/>
            <w:vAlign w:val="center"/>
            <w:hideMark/>
          </w:tcPr>
          <w:p w14:paraId="287D31EB" w14:textId="77777777" w:rsidR="00D33F7C" w:rsidRPr="00D33F7C" w:rsidRDefault="00D33F7C" w:rsidP="00D33F7C">
            <w:pPr>
              <w:rPr>
                <w:rFonts w:ascii="Palatino Linotype" w:eastAsia="Times New Roman" w:hAnsi="Palatino Linotype"/>
                <w:b/>
                <w:bCs/>
                <w:sz w:val="20"/>
                <w:szCs w:val="20"/>
                <w:lang w:val="en-IN" w:eastAsia="en-IN" w:bidi="hi-IN"/>
              </w:rPr>
            </w:pPr>
            <w:r w:rsidRPr="00D33F7C">
              <w:rPr>
                <w:rFonts w:ascii="Palatino Linotype" w:eastAsia="Times New Roman" w:hAnsi="Palatino Linotype"/>
                <w:b/>
                <w:bCs/>
                <w:sz w:val="20"/>
                <w:szCs w:val="20"/>
                <w:lang w:val="en-IN" w:eastAsia="en-IN" w:bidi="hi-IN"/>
              </w:rPr>
              <w:t> </w:t>
            </w:r>
          </w:p>
        </w:tc>
        <w:tc>
          <w:tcPr>
            <w:tcW w:w="1687" w:type="dxa"/>
            <w:tcBorders>
              <w:top w:val="nil"/>
              <w:left w:val="nil"/>
              <w:bottom w:val="single" w:sz="4" w:space="0" w:color="000000"/>
              <w:right w:val="nil"/>
            </w:tcBorders>
            <w:shd w:val="clear" w:color="C6E0B4" w:fill="C6E0B4"/>
            <w:noWrap/>
            <w:vAlign w:val="center"/>
            <w:hideMark/>
          </w:tcPr>
          <w:p w14:paraId="65F0D870" w14:textId="77777777" w:rsidR="00D33F7C" w:rsidRPr="00D33F7C" w:rsidRDefault="00D33F7C" w:rsidP="00D33F7C">
            <w:pPr>
              <w:rPr>
                <w:rFonts w:ascii="Palatino Linotype" w:eastAsia="Times New Roman" w:hAnsi="Palatino Linotype"/>
                <w:b/>
                <w:bCs/>
                <w:sz w:val="20"/>
                <w:szCs w:val="20"/>
                <w:lang w:val="en-IN" w:eastAsia="en-IN" w:bidi="hi-IN"/>
              </w:rPr>
            </w:pPr>
            <w:r w:rsidRPr="00D33F7C">
              <w:rPr>
                <w:rFonts w:ascii="Palatino Linotype" w:eastAsia="Times New Roman" w:hAnsi="Palatino Linotype"/>
                <w:b/>
                <w:bCs/>
                <w:sz w:val="20"/>
                <w:szCs w:val="20"/>
                <w:lang w:val="en-IN" w:eastAsia="en-IN" w:bidi="hi-IN"/>
              </w:rPr>
              <w:t> </w:t>
            </w:r>
          </w:p>
        </w:tc>
        <w:tc>
          <w:tcPr>
            <w:tcW w:w="1846" w:type="dxa"/>
            <w:tcBorders>
              <w:top w:val="nil"/>
              <w:left w:val="nil"/>
              <w:bottom w:val="single" w:sz="4" w:space="0" w:color="000000"/>
              <w:right w:val="single" w:sz="4" w:space="0" w:color="000000"/>
            </w:tcBorders>
            <w:shd w:val="clear" w:color="C6E0B4" w:fill="C6E0B4"/>
            <w:noWrap/>
            <w:vAlign w:val="center"/>
            <w:hideMark/>
          </w:tcPr>
          <w:p w14:paraId="63AC393F" w14:textId="77777777" w:rsidR="00D33F7C" w:rsidRPr="00D33F7C" w:rsidRDefault="00D33F7C" w:rsidP="00D33F7C">
            <w:pPr>
              <w:rPr>
                <w:rFonts w:ascii="Palatino Linotype" w:eastAsia="Times New Roman" w:hAnsi="Palatino Linotype"/>
                <w:b/>
                <w:bCs/>
                <w:sz w:val="20"/>
                <w:szCs w:val="20"/>
                <w:lang w:val="en-IN" w:eastAsia="en-IN" w:bidi="hi-IN"/>
              </w:rPr>
            </w:pPr>
            <w:r w:rsidRPr="00D33F7C">
              <w:rPr>
                <w:rFonts w:ascii="Palatino Linotype" w:eastAsia="Times New Roman" w:hAnsi="Palatino Linotype"/>
                <w:b/>
                <w:bCs/>
                <w:sz w:val="20"/>
                <w:szCs w:val="20"/>
                <w:lang w:val="en-IN" w:eastAsia="en-IN" w:bidi="hi-IN"/>
              </w:rPr>
              <w:t> </w:t>
            </w:r>
          </w:p>
        </w:tc>
      </w:tr>
      <w:tr w:rsidR="00D33F7C" w:rsidRPr="00D33F7C" w14:paraId="388E0EC2" w14:textId="77777777" w:rsidTr="00E213CE">
        <w:trPr>
          <w:trHeight w:val="277"/>
        </w:trPr>
        <w:tc>
          <w:tcPr>
            <w:tcW w:w="2987" w:type="dxa"/>
            <w:tcBorders>
              <w:top w:val="nil"/>
              <w:left w:val="single" w:sz="4" w:space="0" w:color="000000"/>
              <w:bottom w:val="single" w:sz="4" w:space="0" w:color="000000"/>
              <w:right w:val="single" w:sz="4" w:space="0" w:color="000000"/>
            </w:tcBorders>
            <w:shd w:val="clear" w:color="auto" w:fill="auto"/>
            <w:noWrap/>
            <w:vAlign w:val="bottom"/>
            <w:hideMark/>
          </w:tcPr>
          <w:p w14:paraId="3209A30B" w14:textId="77777777" w:rsidR="00D33F7C" w:rsidRPr="00D33F7C" w:rsidRDefault="00D33F7C" w:rsidP="00D33F7C">
            <w:pPr>
              <w:rPr>
                <w:rFonts w:ascii="Palatino Linotype" w:eastAsia="Times New Roman" w:hAnsi="Palatino Linotype"/>
                <w:sz w:val="20"/>
                <w:szCs w:val="20"/>
                <w:lang w:val="en-IN" w:eastAsia="en-IN" w:bidi="hi-IN"/>
              </w:rPr>
            </w:pPr>
            <w:r w:rsidRPr="00D33F7C">
              <w:rPr>
                <w:rFonts w:ascii="Palatino Linotype" w:eastAsia="Times New Roman" w:hAnsi="Palatino Linotype"/>
                <w:sz w:val="20"/>
                <w:szCs w:val="20"/>
                <w:lang w:val="en-IN" w:eastAsia="en-IN" w:bidi="hi-IN"/>
              </w:rPr>
              <w:t>Sensex</w:t>
            </w:r>
          </w:p>
        </w:tc>
        <w:tc>
          <w:tcPr>
            <w:tcW w:w="1687" w:type="dxa"/>
            <w:tcBorders>
              <w:top w:val="nil"/>
              <w:left w:val="nil"/>
              <w:bottom w:val="single" w:sz="4" w:space="0" w:color="000000"/>
              <w:right w:val="single" w:sz="4" w:space="0" w:color="000000"/>
            </w:tcBorders>
            <w:shd w:val="clear" w:color="auto" w:fill="auto"/>
            <w:noWrap/>
            <w:vAlign w:val="bottom"/>
            <w:hideMark/>
          </w:tcPr>
          <w:p w14:paraId="36C0AB5F" w14:textId="77777777" w:rsidR="00D33F7C" w:rsidRPr="00D33F7C" w:rsidRDefault="00D33F7C" w:rsidP="00D33F7C">
            <w:pPr>
              <w:jc w:val="right"/>
              <w:rPr>
                <w:rFonts w:ascii="Palatino Linotype" w:eastAsia="Times New Roman" w:hAnsi="Palatino Linotype"/>
                <w:sz w:val="20"/>
                <w:szCs w:val="20"/>
                <w:lang w:val="en-IN" w:eastAsia="en-IN" w:bidi="hi-IN"/>
              </w:rPr>
            </w:pPr>
            <w:r w:rsidRPr="00D33F7C">
              <w:rPr>
                <w:rFonts w:ascii="Palatino Linotype" w:eastAsia="Times New Roman" w:hAnsi="Palatino Linotype"/>
                <w:sz w:val="20"/>
                <w:szCs w:val="20"/>
                <w:lang w:val="en-IN" w:eastAsia="en-IN" w:bidi="hi-IN"/>
              </w:rPr>
              <w:t>31.3</w:t>
            </w:r>
          </w:p>
        </w:tc>
        <w:tc>
          <w:tcPr>
            <w:tcW w:w="1687" w:type="dxa"/>
            <w:tcBorders>
              <w:top w:val="nil"/>
              <w:left w:val="nil"/>
              <w:bottom w:val="single" w:sz="4" w:space="0" w:color="000000"/>
              <w:right w:val="single" w:sz="4" w:space="0" w:color="000000"/>
            </w:tcBorders>
            <w:shd w:val="clear" w:color="auto" w:fill="auto"/>
            <w:noWrap/>
            <w:vAlign w:val="bottom"/>
            <w:hideMark/>
          </w:tcPr>
          <w:p w14:paraId="187B3534" w14:textId="77777777" w:rsidR="00D33F7C" w:rsidRPr="00D33F7C" w:rsidRDefault="00D33F7C" w:rsidP="00D33F7C">
            <w:pPr>
              <w:jc w:val="right"/>
              <w:rPr>
                <w:rFonts w:ascii="Palatino Linotype" w:eastAsia="Times New Roman" w:hAnsi="Palatino Linotype"/>
                <w:sz w:val="20"/>
                <w:szCs w:val="20"/>
                <w:lang w:val="en-IN" w:eastAsia="en-IN" w:bidi="hi-IN"/>
              </w:rPr>
            </w:pPr>
            <w:r w:rsidRPr="00D33F7C">
              <w:rPr>
                <w:rFonts w:ascii="Palatino Linotype" w:eastAsia="Times New Roman" w:hAnsi="Palatino Linotype"/>
                <w:sz w:val="20"/>
                <w:szCs w:val="20"/>
                <w:lang w:val="en-IN" w:eastAsia="en-IN" w:bidi="hi-IN"/>
              </w:rPr>
              <w:t>32.0</w:t>
            </w:r>
          </w:p>
        </w:tc>
        <w:tc>
          <w:tcPr>
            <w:tcW w:w="1846" w:type="dxa"/>
            <w:tcBorders>
              <w:top w:val="nil"/>
              <w:left w:val="nil"/>
              <w:bottom w:val="single" w:sz="4" w:space="0" w:color="000000"/>
              <w:right w:val="single" w:sz="4" w:space="0" w:color="000000"/>
            </w:tcBorders>
            <w:shd w:val="clear" w:color="auto" w:fill="auto"/>
            <w:noWrap/>
            <w:vAlign w:val="bottom"/>
            <w:hideMark/>
          </w:tcPr>
          <w:p w14:paraId="49B4CFA0" w14:textId="77777777" w:rsidR="00D33F7C" w:rsidRPr="00D33F7C" w:rsidRDefault="00D33F7C" w:rsidP="00D33F7C">
            <w:pPr>
              <w:jc w:val="right"/>
              <w:rPr>
                <w:rFonts w:ascii="Palatino Linotype" w:eastAsia="Times New Roman" w:hAnsi="Palatino Linotype"/>
                <w:sz w:val="20"/>
                <w:szCs w:val="20"/>
                <w:lang w:val="en-IN" w:eastAsia="en-IN" w:bidi="hi-IN"/>
              </w:rPr>
            </w:pPr>
            <w:r w:rsidRPr="00D33F7C">
              <w:rPr>
                <w:rFonts w:ascii="Palatino Linotype" w:eastAsia="Times New Roman" w:hAnsi="Palatino Linotype"/>
                <w:sz w:val="20"/>
                <w:szCs w:val="20"/>
                <w:lang w:val="en-IN" w:eastAsia="en-IN" w:bidi="hi-IN"/>
              </w:rPr>
              <w:t>2.0</w:t>
            </w:r>
          </w:p>
        </w:tc>
      </w:tr>
      <w:tr w:rsidR="00D33F7C" w:rsidRPr="00D33F7C" w14:paraId="6262F9F1" w14:textId="77777777" w:rsidTr="00E213CE">
        <w:trPr>
          <w:trHeight w:val="277"/>
        </w:trPr>
        <w:tc>
          <w:tcPr>
            <w:tcW w:w="2987" w:type="dxa"/>
            <w:tcBorders>
              <w:top w:val="nil"/>
              <w:left w:val="single" w:sz="4" w:space="0" w:color="000000"/>
              <w:bottom w:val="single" w:sz="4" w:space="0" w:color="000000"/>
              <w:right w:val="single" w:sz="4" w:space="0" w:color="000000"/>
            </w:tcBorders>
            <w:shd w:val="clear" w:color="auto" w:fill="auto"/>
            <w:noWrap/>
            <w:vAlign w:val="bottom"/>
            <w:hideMark/>
          </w:tcPr>
          <w:p w14:paraId="3CD8F5F4" w14:textId="77777777" w:rsidR="00D33F7C" w:rsidRPr="00D33F7C" w:rsidRDefault="00D33F7C" w:rsidP="00D33F7C">
            <w:pPr>
              <w:rPr>
                <w:rFonts w:ascii="Palatino Linotype" w:eastAsia="Times New Roman" w:hAnsi="Palatino Linotype"/>
                <w:sz w:val="20"/>
                <w:szCs w:val="20"/>
                <w:lang w:val="en-IN" w:eastAsia="en-IN" w:bidi="hi-IN"/>
              </w:rPr>
            </w:pPr>
            <w:r w:rsidRPr="00D33F7C">
              <w:rPr>
                <w:rFonts w:ascii="Palatino Linotype" w:eastAsia="Times New Roman" w:hAnsi="Palatino Linotype"/>
                <w:sz w:val="20"/>
                <w:szCs w:val="20"/>
                <w:lang w:val="en-IN" w:eastAsia="en-IN" w:bidi="hi-IN"/>
              </w:rPr>
              <w:t>Nifty 50</w:t>
            </w:r>
          </w:p>
        </w:tc>
        <w:tc>
          <w:tcPr>
            <w:tcW w:w="1687" w:type="dxa"/>
            <w:tcBorders>
              <w:top w:val="nil"/>
              <w:left w:val="nil"/>
              <w:bottom w:val="single" w:sz="4" w:space="0" w:color="000000"/>
              <w:right w:val="single" w:sz="4" w:space="0" w:color="000000"/>
            </w:tcBorders>
            <w:shd w:val="clear" w:color="auto" w:fill="auto"/>
            <w:noWrap/>
            <w:vAlign w:val="bottom"/>
            <w:hideMark/>
          </w:tcPr>
          <w:p w14:paraId="6A60646F" w14:textId="77777777" w:rsidR="00D33F7C" w:rsidRPr="00D33F7C" w:rsidRDefault="00D33F7C" w:rsidP="00D33F7C">
            <w:pPr>
              <w:jc w:val="right"/>
              <w:rPr>
                <w:rFonts w:ascii="Palatino Linotype" w:eastAsia="Times New Roman" w:hAnsi="Palatino Linotype"/>
                <w:sz w:val="20"/>
                <w:szCs w:val="20"/>
                <w:lang w:val="en-IN" w:eastAsia="en-IN" w:bidi="hi-IN"/>
              </w:rPr>
            </w:pPr>
            <w:r w:rsidRPr="00D33F7C">
              <w:rPr>
                <w:rFonts w:ascii="Palatino Linotype" w:eastAsia="Times New Roman" w:hAnsi="Palatino Linotype"/>
                <w:sz w:val="20"/>
                <w:szCs w:val="20"/>
                <w:lang w:val="en-IN" w:eastAsia="en-IN" w:bidi="hi-IN"/>
              </w:rPr>
              <w:t>29.2</w:t>
            </w:r>
          </w:p>
        </w:tc>
        <w:tc>
          <w:tcPr>
            <w:tcW w:w="1687" w:type="dxa"/>
            <w:tcBorders>
              <w:top w:val="nil"/>
              <w:left w:val="nil"/>
              <w:bottom w:val="single" w:sz="4" w:space="0" w:color="000000"/>
              <w:right w:val="single" w:sz="4" w:space="0" w:color="000000"/>
            </w:tcBorders>
            <w:shd w:val="clear" w:color="auto" w:fill="auto"/>
            <w:noWrap/>
            <w:vAlign w:val="bottom"/>
            <w:hideMark/>
          </w:tcPr>
          <w:p w14:paraId="0EF9EB84" w14:textId="77777777" w:rsidR="00D33F7C" w:rsidRPr="00D33F7C" w:rsidRDefault="00D33F7C" w:rsidP="00D33F7C">
            <w:pPr>
              <w:jc w:val="right"/>
              <w:rPr>
                <w:rFonts w:ascii="Palatino Linotype" w:eastAsia="Times New Roman" w:hAnsi="Palatino Linotype"/>
                <w:sz w:val="20"/>
                <w:szCs w:val="20"/>
                <w:lang w:val="en-IN" w:eastAsia="en-IN" w:bidi="hi-IN"/>
              </w:rPr>
            </w:pPr>
            <w:r w:rsidRPr="00D33F7C">
              <w:rPr>
                <w:rFonts w:ascii="Palatino Linotype" w:eastAsia="Times New Roman" w:hAnsi="Palatino Linotype"/>
                <w:sz w:val="20"/>
                <w:szCs w:val="20"/>
                <w:lang w:val="en-IN" w:eastAsia="en-IN" w:bidi="hi-IN"/>
              </w:rPr>
              <w:t>28.3</w:t>
            </w:r>
          </w:p>
        </w:tc>
        <w:tc>
          <w:tcPr>
            <w:tcW w:w="1846" w:type="dxa"/>
            <w:tcBorders>
              <w:top w:val="nil"/>
              <w:left w:val="nil"/>
              <w:bottom w:val="single" w:sz="4" w:space="0" w:color="000000"/>
              <w:right w:val="single" w:sz="4" w:space="0" w:color="000000"/>
            </w:tcBorders>
            <w:shd w:val="clear" w:color="auto" w:fill="auto"/>
            <w:noWrap/>
            <w:vAlign w:val="bottom"/>
            <w:hideMark/>
          </w:tcPr>
          <w:p w14:paraId="24CCDDBA" w14:textId="77777777" w:rsidR="00D33F7C" w:rsidRPr="00D33F7C" w:rsidRDefault="00D33F7C" w:rsidP="00D33F7C">
            <w:pPr>
              <w:jc w:val="right"/>
              <w:rPr>
                <w:rFonts w:ascii="Palatino Linotype" w:eastAsia="Times New Roman" w:hAnsi="Palatino Linotype"/>
                <w:sz w:val="20"/>
                <w:szCs w:val="20"/>
                <w:lang w:val="en-IN" w:eastAsia="en-IN" w:bidi="hi-IN"/>
              </w:rPr>
            </w:pPr>
            <w:r w:rsidRPr="00D33F7C">
              <w:rPr>
                <w:rFonts w:ascii="Palatino Linotype" w:eastAsia="Times New Roman" w:hAnsi="Palatino Linotype"/>
                <w:sz w:val="20"/>
                <w:szCs w:val="20"/>
                <w:lang w:val="en-IN" w:eastAsia="en-IN" w:bidi="hi-IN"/>
              </w:rPr>
              <w:t>-3.0</w:t>
            </w:r>
          </w:p>
        </w:tc>
      </w:tr>
      <w:tr w:rsidR="00D33F7C" w:rsidRPr="00D33F7C" w14:paraId="0004C3CA" w14:textId="77777777" w:rsidTr="00E213CE">
        <w:trPr>
          <w:trHeight w:val="277"/>
        </w:trPr>
        <w:tc>
          <w:tcPr>
            <w:tcW w:w="2987" w:type="dxa"/>
            <w:tcBorders>
              <w:top w:val="nil"/>
              <w:left w:val="single" w:sz="4" w:space="0" w:color="000000"/>
              <w:bottom w:val="single" w:sz="4" w:space="0" w:color="000000"/>
              <w:right w:val="nil"/>
            </w:tcBorders>
            <w:shd w:val="clear" w:color="C6E0B4" w:fill="C6E0B4"/>
            <w:noWrap/>
            <w:vAlign w:val="center"/>
            <w:hideMark/>
          </w:tcPr>
          <w:p w14:paraId="0A1B766F" w14:textId="77777777" w:rsidR="00D33F7C" w:rsidRPr="00D33F7C" w:rsidRDefault="00D33F7C" w:rsidP="00D33F7C">
            <w:pPr>
              <w:rPr>
                <w:rFonts w:ascii="Palatino Linotype" w:eastAsia="Times New Roman" w:hAnsi="Palatino Linotype"/>
                <w:b/>
                <w:bCs/>
                <w:sz w:val="20"/>
                <w:szCs w:val="20"/>
                <w:lang w:val="en-IN" w:eastAsia="en-IN" w:bidi="hi-IN"/>
              </w:rPr>
            </w:pPr>
            <w:r w:rsidRPr="00D33F7C">
              <w:rPr>
                <w:rFonts w:ascii="Palatino Linotype" w:eastAsia="Times New Roman" w:hAnsi="Palatino Linotype"/>
                <w:b/>
                <w:bCs/>
                <w:sz w:val="20"/>
                <w:szCs w:val="20"/>
                <w:lang w:val="en-IN" w:eastAsia="en-IN" w:bidi="hi-IN"/>
              </w:rPr>
              <w:t>No of Listed Companies</w:t>
            </w:r>
          </w:p>
        </w:tc>
        <w:tc>
          <w:tcPr>
            <w:tcW w:w="1687" w:type="dxa"/>
            <w:tcBorders>
              <w:top w:val="nil"/>
              <w:left w:val="nil"/>
              <w:bottom w:val="single" w:sz="4" w:space="0" w:color="000000"/>
              <w:right w:val="nil"/>
            </w:tcBorders>
            <w:shd w:val="clear" w:color="C6E0B4" w:fill="C6E0B4"/>
            <w:noWrap/>
            <w:vAlign w:val="center"/>
            <w:hideMark/>
          </w:tcPr>
          <w:p w14:paraId="5A9B38AB" w14:textId="77777777" w:rsidR="00D33F7C" w:rsidRPr="00D33F7C" w:rsidRDefault="00D33F7C" w:rsidP="00D33F7C">
            <w:pPr>
              <w:rPr>
                <w:rFonts w:ascii="Palatino Linotype" w:eastAsia="Times New Roman" w:hAnsi="Palatino Linotype"/>
                <w:b/>
                <w:bCs/>
                <w:sz w:val="20"/>
                <w:szCs w:val="20"/>
                <w:lang w:val="en-IN" w:eastAsia="en-IN" w:bidi="hi-IN"/>
              </w:rPr>
            </w:pPr>
            <w:r w:rsidRPr="00D33F7C">
              <w:rPr>
                <w:rFonts w:ascii="Palatino Linotype" w:eastAsia="Times New Roman" w:hAnsi="Palatino Linotype"/>
                <w:b/>
                <w:bCs/>
                <w:sz w:val="20"/>
                <w:szCs w:val="20"/>
                <w:lang w:val="en-IN" w:eastAsia="en-IN" w:bidi="hi-IN"/>
              </w:rPr>
              <w:t> </w:t>
            </w:r>
          </w:p>
        </w:tc>
        <w:tc>
          <w:tcPr>
            <w:tcW w:w="1687" w:type="dxa"/>
            <w:tcBorders>
              <w:top w:val="nil"/>
              <w:left w:val="nil"/>
              <w:bottom w:val="single" w:sz="4" w:space="0" w:color="000000"/>
              <w:right w:val="nil"/>
            </w:tcBorders>
            <w:shd w:val="clear" w:color="C6E0B4" w:fill="C6E0B4"/>
            <w:noWrap/>
            <w:vAlign w:val="center"/>
            <w:hideMark/>
          </w:tcPr>
          <w:p w14:paraId="0FD9E8BE" w14:textId="77777777" w:rsidR="00D33F7C" w:rsidRPr="00D33F7C" w:rsidRDefault="00D33F7C" w:rsidP="00D33F7C">
            <w:pPr>
              <w:rPr>
                <w:rFonts w:ascii="Palatino Linotype" w:eastAsia="Times New Roman" w:hAnsi="Palatino Linotype"/>
                <w:b/>
                <w:bCs/>
                <w:sz w:val="20"/>
                <w:szCs w:val="20"/>
                <w:lang w:val="en-IN" w:eastAsia="en-IN" w:bidi="hi-IN"/>
              </w:rPr>
            </w:pPr>
            <w:r w:rsidRPr="00D33F7C">
              <w:rPr>
                <w:rFonts w:ascii="Palatino Linotype" w:eastAsia="Times New Roman" w:hAnsi="Palatino Linotype"/>
                <w:b/>
                <w:bCs/>
                <w:sz w:val="20"/>
                <w:szCs w:val="20"/>
                <w:lang w:val="en-IN" w:eastAsia="en-IN" w:bidi="hi-IN"/>
              </w:rPr>
              <w:t> </w:t>
            </w:r>
          </w:p>
        </w:tc>
        <w:tc>
          <w:tcPr>
            <w:tcW w:w="1846" w:type="dxa"/>
            <w:tcBorders>
              <w:top w:val="nil"/>
              <w:left w:val="nil"/>
              <w:bottom w:val="single" w:sz="4" w:space="0" w:color="000000"/>
              <w:right w:val="single" w:sz="4" w:space="0" w:color="000000"/>
            </w:tcBorders>
            <w:shd w:val="clear" w:color="C6E0B4" w:fill="C6E0B4"/>
            <w:noWrap/>
            <w:vAlign w:val="center"/>
            <w:hideMark/>
          </w:tcPr>
          <w:p w14:paraId="35C274BA" w14:textId="77777777" w:rsidR="00D33F7C" w:rsidRPr="00D33F7C" w:rsidRDefault="00D33F7C" w:rsidP="00D33F7C">
            <w:pPr>
              <w:rPr>
                <w:rFonts w:ascii="Palatino Linotype" w:eastAsia="Times New Roman" w:hAnsi="Palatino Linotype"/>
                <w:b/>
                <w:bCs/>
                <w:sz w:val="20"/>
                <w:szCs w:val="20"/>
                <w:lang w:val="en-IN" w:eastAsia="en-IN" w:bidi="hi-IN"/>
              </w:rPr>
            </w:pPr>
            <w:r w:rsidRPr="00D33F7C">
              <w:rPr>
                <w:rFonts w:ascii="Palatino Linotype" w:eastAsia="Times New Roman" w:hAnsi="Palatino Linotype"/>
                <w:b/>
                <w:bCs/>
                <w:sz w:val="20"/>
                <w:szCs w:val="20"/>
                <w:lang w:val="en-IN" w:eastAsia="en-IN" w:bidi="hi-IN"/>
              </w:rPr>
              <w:t> </w:t>
            </w:r>
          </w:p>
        </w:tc>
      </w:tr>
      <w:tr w:rsidR="00D33F7C" w:rsidRPr="00D33F7C" w14:paraId="13192EFC" w14:textId="77777777" w:rsidTr="00E213CE">
        <w:trPr>
          <w:trHeight w:val="277"/>
        </w:trPr>
        <w:tc>
          <w:tcPr>
            <w:tcW w:w="2987" w:type="dxa"/>
            <w:tcBorders>
              <w:top w:val="nil"/>
              <w:left w:val="single" w:sz="4" w:space="0" w:color="000000"/>
              <w:bottom w:val="single" w:sz="4" w:space="0" w:color="000000"/>
              <w:right w:val="single" w:sz="4" w:space="0" w:color="000000"/>
            </w:tcBorders>
            <w:shd w:val="clear" w:color="auto" w:fill="auto"/>
            <w:noWrap/>
            <w:vAlign w:val="bottom"/>
            <w:hideMark/>
          </w:tcPr>
          <w:p w14:paraId="51D7C30C" w14:textId="77777777" w:rsidR="00D33F7C" w:rsidRPr="00D33F7C" w:rsidRDefault="00D33F7C" w:rsidP="00D33F7C">
            <w:pPr>
              <w:rPr>
                <w:rFonts w:ascii="Palatino Linotype" w:eastAsia="Times New Roman" w:hAnsi="Palatino Linotype"/>
                <w:sz w:val="20"/>
                <w:szCs w:val="20"/>
                <w:lang w:val="en-IN" w:eastAsia="en-IN" w:bidi="hi-IN"/>
              </w:rPr>
            </w:pPr>
            <w:r w:rsidRPr="00D33F7C">
              <w:rPr>
                <w:rFonts w:ascii="Palatino Linotype" w:eastAsia="Times New Roman" w:hAnsi="Palatino Linotype"/>
                <w:sz w:val="20"/>
                <w:szCs w:val="20"/>
                <w:lang w:val="en-IN" w:eastAsia="en-IN" w:bidi="hi-IN"/>
              </w:rPr>
              <w:t xml:space="preserve">BSE </w:t>
            </w:r>
          </w:p>
        </w:tc>
        <w:tc>
          <w:tcPr>
            <w:tcW w:w="1687" w:type="dxa"/>
            <w:tcBorders>
              <w:top w:val="nil"/>
              <w:left w:val="nil"/>
              <w:bottom w:val="single" w:sz="4" w:space="0" w:color="000000"/>
              <w:right w:val="single" w:sz="4" w:space="0" w:color="000000"/>
            </w:tcBorders>
            <w:shd w:val="clear" w:color="auto" w:fill="auto"/>
            <w:noWrap/>
            <w:vAlign w:val="bottom"/>
            <w:hideMark/>
          </w:tcPr>
          <w:p w14:paraId="5D6272B5" w14:textId="77777777" w:rsidR="00D33F7C" w:rsidRPr="00D33F7C" w:rsidRDefault="00D33F7C" w:rsidP="00D33F7C">
            <w:pPr>
              <w:rPr>
                <w:rFonts w:ascii="Palatino Linotype" w:eastAsia="Times New Roman" w:hAnsi="Palatino Linotype"/>
                <w:sz w:val="20"/>
                <w:szCs w:val="20"/>
                <w:lang w:val="en-IN" w:eastAsia="en-IN" w:bidi="hi-IN"/>
              </w:rPr>
            </w:pPr>
            <w:r w:rsidRPr="00D33F7C">
              <w:rPr>
                <w:rFonts w:ascii="Palatino Linotype" w:eastAsia="Times New Roman" w:hAnsi="Palatino Linotype"/>
                <w:sz w:val="20"/>
                <w:szCs w:val="20"/>
                <w:lang w:val="en-IN" w:eastAsia="en-IN" w:bidi="hi-IN"/>
              </w:rPr>
              <w:t xml:space="preserve">                    5,489 </w:t>
            </w:r>
          </w:p>
        </w:tc>
        <w:tc>
          <w:tcPr>
            <w:tcW w:w="1687" w:type="dxa"/>
            <w:tcBorders>
              <w:top w:val="nil"/>
              <w:left w:val="nil"/>
              <w:bottom w:val="single" w:sz="4" w:space="0" w:color="000000"/>
              <w:right w:val="single" w:sz="4" w:space="0" w:color="000000"/>
            </w:tcBorders>
            <w:shd w:val="clear" w:color="auto" w:fill="auto"/>
            <w:noWrap/>
            <w:vAlign w:val="bottom"/>
            <w:hideMark/>
          </w:tcPr>
          <w:p w14:paraId="24D77F2B" w14:textId="77777777" w:rsidR="00D33F7C" w:rsidRPr="00D33F7C" w:rsidRDefault="00D33F7C" w:rsidP="00D33F7C">
            <w:pPr>
              <w:rPr>
                <w:rFonts w:ascii="Palatino Linotype" w:eastAsia="Times New Roman" w:hAnsi="Palatino Linotype"/>
                <w:sz w:val="20"/>
                <w:szCs w:val="20"/>
                <w:lang w:val="en-IN" w:eastAsia="en-IN" w:bidi="hi-IN"/>
              </w:rPr>
            </w:pPr>
            <w:r w:rsidRPr="00D33F7C">
              <w:rPr>
                <w:rFonts w:ascii="Palatino Linotype" w:eastAsia="Times New Roman" w:hAnsi="Palatino Linotype"/>
                <w:sz w:val="20"/>
                <w:szCs w:val="20"/>
                <w:lang w:val="en-IN" w:eastAsia="en-IN" w:bidi="hi-IN"/>
              </w:rPr>
              <w:t xml:space="preserve">                    5,494 </w:t>
            </w:r>
          </w:p>
        </w:tc>
        <w:tc>
          <w:tcPr>
            <w:tcW w:w="1846" w:type="dxa"/>
            <w:tcBorders>
              <w:top w:val="nil"/>
              <w:left w:val="nil"/>
              <w:bottom w:val="single" w:sz="4" w:space="0" w:color="000000"/>
              <w:right w:val="single" w:sz="4" w:space="0" w:color="000000"/>
            </w:tcBorders>
            <w:shd w:val="clear" w:color="auto" w:fill="auto"/>
            <w:noWrap/>
            <w:vAlign w:val="bottom"/>
            <w:hideMark/>
          </w:tcPr>
          <w:p w14:paraId="7A36604C" w14:textId="77777777" w:rsidR="00D33F7C" w:rsidRPr="00D33F7C" w:rsidRDefault="00D33F7C" w:rsidP="00D33F7C">
            <w:pPr>
              <w:jc w:val="right"/>
              <w:rPr>
                <w:rFonts w:ascii="Palatino Linotype" w:eastAsia="Times New Roman" w:hAnsi="Palatino Linotype"/>
                <w:sz w:val="20"/>
                <w:szCs w:val="20"/>
                <w:lang w:val="en-IN" w:eastAsia="en-IN" w:bidi="hi-IN"/>
              </w:rPr>
            </w:pPr>
            <w:r w:rsidRPr="00D33F7C">
              <w:rPr>
                <w:rFonts w:ascii="Palatino Linotype" w:eastAsia="Times New Roman" w:hAnsi="Palatino Linotype"/>
                <w:sz w:val="20"/>
                <w:szCs w:val="20"/>
                <w:lang w:val="en-IN" w:eastAsia="en-IN" w:bidi="hi-IN"/>
              </w:rPr>
              <w:t>0.1</w:t>
            </w:r>
          </w:p>
        </w:tc>
      </w:tr>
      <w:tr w:rsidR="00D33F7C" w:rsidRPr="00D33F7C" w14:paraId="6880AC18" w14:textId="77777777" w:rsidTr="00E213CE">
        <w:trPr>
          <w:trHeight w:val="277"/>
        </w:trPr>
        <w:tc>
          <w:tcPr>
            <w:tcW w:w="2987" w:type="dxa"/>
            <w:tcBorders>
              <w:top w:val="nil"/>
              <w:left w:val="single" w:sz="4" w:space="0" w:color="000000"/>
              <w:bottom w:val="single" w:sz="4" w:space="0" w:color="000000"/>
              <w:right w:val="single" w:sz="4" w:space="0" w:color="000000"/>
            </w:tcBorders>
            <w:shd w:val="clear" w:color="auto" w:fill="auto"/>
            <w:noWrap/>
            <w:vAlign w:val="bottom"/>
            <w:hideMark/>
          </w:tcPr>
          <w:p w14:paraId="482C3843" w14:textId="77777777" w:rsidR="00D33F7C" w:rsidRPr="00D33F7C" w:rsidRDefault="00D33F7C" w:rsidP="00D33F7C">
            <w:pPr>
              <w:rPr>
                <w:rFonts w:ascii="Palatino Linotype" w:eastAsia="Times New Roman" w:hAnsi="Palatino Linotype"/>
                <w:sz w:val="20"/>
                <w:szCs w:val="20"/>
                <w:lang w:val="en-IN" w:eastAsia="en-IN" w:bidi="hi-IN"/>
              </w:rPr>
            </w:pPr>
            <w:r w:rsidRPr="00D33F7C">
              <w:rPr>
                <w:rFonts w:ascii="Palatino Linotype" w:eastAsia="Times New Roman" w:hAnsi="Palatino Linotype"/>
                <w:sz w:val="20"/>
                <w:szCs w:val="20"/>
                <w:lang w:val="en-IN" w:eastAsia="en-IN" w:bidi="hi-IN"/>
              </w:rPr>
              <w:t>NSE</w:t>
            </w:r>
          </w:p>
        </w:tc>
        <w:tc>
          <w:tcPr>
            <w:tcW w:w="1687" w:type="dxa"/>
            <w:tcBorders>
              <w:top w:val="nil"/>
              <w:left w:val="nil"/>
              <w:bottom w:val="single" w:sz="4" w:space="0" w:color="000000"/>
              <w:right w:val="single" w:sz="4" w:space="0" w:color="000000"/>
            </w:tcBorders>
            <w:shd w:val="clear" w:color="auto" w:fill="auto"/>
            <w:noWrap/>
            <w:vAlign w:val="bottom"/>
            <w:hideMark/>
          </w:tcPr>
          <w:p w14:paraId="63773D73" w14:textId="77777777" w:rsidR="00D33F7C" w:rsidRPr="00D33F7C" w:rsidRDefault="00D33F7C" w:rsidP="00D33F7C">
            <w:pPr>
              <w:rPr>
                <w:rFonts w:ascii="Palatino Linotype" w:eastAsia="Times New Roman" w:hAnsi="Palatino Linotype"/>
                <w:sz w:val="20"/>
                <w:szCs w:val="20"/>
                <w:lang w:val="en-IN" w:eastAsia="en-IN" w:bidi="hi-IN"/>
              </w:rPr>
            </w:pPr>
            <w:r w:rsidRPr="00D33F7C">
              <w:rPr>
                <w:rFonts w:ascii="Palatino Linotype" w:eastAsia="Times New Roman" w:hAnsi="Palatino Linotype"/>
                <w:sz w:val="20"/>
                <w:szCs w:val="20"/>
                <w:lang w:val="en-IN" w:eastAsia="en-IN" w:bidi="hi-IN"/>
              </w:rPr>
              <w:t xml:space="preserve">                    1,973 </w:t>
            </w:r>
          </w:p>
        </w:tc>
        <w:tc>
          <w:tcPr>
            <w:tcW w:w="1687" w:type="dxa"/>
            <w:tcBorders>
              <w:top w:val="nil"/>
              <w:left w:val="nil"/>
              <w:bottom w:val="single" w:sz="4" w:space="0" w:color="000000"/>
              <w:right w:val="single" w:sz="4" w:space="0" w:color="000000"/>
            </w:tcBorders>
            <w:shd w:val="clear" w:color="auto" w:fill="auto"/>
            <w:noWrap/>
            <w:vAlign w:val="bottom"/>
            <w:hideMark/>
          </w:tcPr>
          <w:p w14:paraId="707D602E" w14:textId="77777777" w:rsidR="00D33F7C" w:rsidRPr="00D33F7C" w:rsidRDefault="00D33F7C" w:rsidP="00D33F7C">
            <w:pPr>
              <w:rPr>
                <w:rFonts w:ascii="Palatino Linotype" w:eastAsia="Times New Roman" w:hAnsi="Palatino Linotype"/>
                <w:sz w:val="20"/>
                <w:szCs w:val="20"/>
                <w:lang w:val="en-IN" w:eastAsia="en-IN" w:bidi="hi-IN"/>
              </w:rPr>
            </w:pPr>
            <w:r w:rsidRPr="00D33F7C">
              <w:rPr>
                <w:rFonts w:ascii="Palatino Linotype" w:eastAsia="Times New Roman" w:hAnsi="Palatino Linotype"/>
                <w:sz w:val="20"/>
                <w:szCs w:val="20"/>
                <w:lang w:val="en-IN" w:eastAsia="en-IN" w:bidi="hi-IN"/>
              </w:rPr>
              <w:t xml:space="preserve">                    1,981 </w:t>
            </w:r>
          </w:p>
        </w:tc>
        <w:tc>
          <w:tcPr>
            <w:tcW w:w="1846" w:type="dxa"/>
            <w:tcBorders>
              <w:top w:val="nil"/>
              <w:left w:val="nil"/>
              <w:bottom w:val="single" w:sz="4" w:space="0" w:color="000000"/>
              <w:right w:val="single" w:sz="4" w:space="0" w:color="000000"/>
            </w:tcBorders>
            <w:shd w:val="clear" w:color="auto" w:fill="auto"/>
            <w:noWrap/>
            <w:vAlign w:val="bottom"/>
            <w:hideMark/>
          </w:tcPr>
          <w:p w14:paraId="14DFCB23" w14:textId="77777777" w:rsidR="00D33F7C" w:rsidRPr="00D33F7C" w:rsidRDefault="00D33F7C" w:rsidP="00D33F7C">
            <w:pPr>
              <w:jc w:val="right"/>
              <w:rPr>
                <w:rFonts w:ascii="Palatino Linotype" w:eastAsia="Times New Roman" w:hAnsi="Palatino Linotype"/>
                <w:sz w:val="20"/>
                <w:szCs w:val="20"/>
                <w:lang w:val="en-IN" w:eastAsia="en-IN" w:bidi="hi-IN"/>
              </w:rPr>
            </w:pPr>
            <w:r w:rsidRPr="00D33F7C">
              <w:rPr>
                <w:rFonts w:ascii="Palatino Linotype" w:eastAsia="Times New Roman" w:hAnsi="Palatino Linotype"/>
                <w:sz w:val="20"/>
                <w:szCs w:val="20"/>
                <w:lang w:val="en-IN" w:eastAsia="en-IN" w:bidi="hi-IN"/>
              </w:rPr>
              <w:t>0.4</w:t>
            </w:r>
          </w:p>
        </w:tc>
      </w:tr>
      <w:tr w:rsidR="00D33F7C" w:rsidRPr="00D33F7C" w14:paraId="4C96799C" w14:textId="77777777" w:rsidTr="00E213CE">
        <w:trPr>
          <w:trHeight w:val="277"/>
        </w:trPr>
        <w:tc>
          <w:tcPr>
            <w:tcW w:w="4674" w:type="dxa"/>
            <w:gridSpan w:val="2"/>
            <w:tcBorders>
              <w:top w:val="single" w:sz="4" w:space="0" w:color="000000"/>
              <w:left w:val="single" w:sz="4" w:space="0" w:color="000000"/>
              <w:bottom w:val="single" w:sz="4" w:space="0" w:color="000000"/>
              <w:right w:val="nil"/>
            </w:tcBorders>
            <w:shd w:val="clear" w:color="C6E0B4" w:fill="C6E0B4"/>
            <w:noWrap/>
            <w:vAlign w:val="center"/>
            <w:hideMark/>
          </w:tcPr>
          <w:p w14:paraId="2B56FF45" w14:textId="77777777" w:rsidR="00D33F7C" w:rsidRPr="00D33F7C" w:rsidRDefault="00D33F7C" w:rsidP="00D33F7C">
            <w:pPr>
              <w:rPr>
                <w:rFonts w:ascii="Palatino Linotype" w:eastAsia="Times New Roman" w:hAnsi="Palatino Linotype"/>
                <w:b/>
                <w:bCs/>
                <w:sz w:val="20"/>
                <w:szCs w:val="20"/>
                <w:lang w:val="en-IN" w:eastAsia="en-IN" w:bidi="hi-IN"/>
              </w:rPr>
            </w:pPr>
            <w:r w:rsidRPr="00D33F7C">
              <w:rPr>
                <w:rFonts w:ascii="Palatino Linotype" w:eastAsia="Times New Roman" w:hAnsi="Palatino Linotype"/>
                <w:b/>
                <w:bCs/>
                <w:sz w:val="20"/>
                <w:szCs w:val="20"/>
                <w:lang w:val="en-IN" w:eastAsia="en-IN" w:bidi="hi-IN"/>
              </w:rPr>
              <w:t>Gross Turnover in Equity Segment (</w:t>
            </w:r>
            <w:r w:rsidRPr="00D33F7C">
              <w:rPr>
                <w:rFonts w:ascii="Tahoma" w:eastAsia="Times New Roman" w:hAnsi="Tahoma" w:cs="Tahoma"/>
                <w:b/>
                <w:bCs/>
                <w:sz w:val="20"/>
                <w:szCs w:val="20"/>
                <w:lang w:val="en-IN" w:eastAsia="en-IN" w:bidi="hi-IN"/>
              </w:rPr>
              <w:t>₹</w:t>
            </w:r>
            <w:r w:rsidRPr="00D33F7C">
              <w:rPr>
                <w:rFonts w:ascii="Palatino Linotype" w:eastAsia="Times New Roman" w:hAnsi="Palatino Linotype"/>
                <w:b/>
                <w:bCs/>
                <w:sz w:val="20"/>
                <w:szCs w:val="20"/>
                <w:lang w:val="en-IN" w:eastAsia="en-IN" w:bidi="hi-IN"/>
              </w:rPr>
              <w:t xml:space="preserve"> crore)</w:t>
            </w:r>
          </w:p>
        </w:tc>
        <w:tc>
          <w:tcPr>
            <w:tcW w:w="1687" w:type="dxa"/>
            <w:tcBorders>
              <w:top w:val="nil"/>
              <w:left w:val="nil"/>
              <w:bottom w:val="single" w:sz="4" w:space="0" w:color="000000"/>
              <w:right w:val="nil"/>
            </w:tcBorders>
            <w:shd w:val="clear" w:color="C6E0B4" w:fill="C6E0B4"/>
            <w:noWrap/>
            <w:vAlign w:val="center"/>
            <w:hideMark/>
          </w:tcPr>
          <w:p w14:paraId="438BB8C8" w14:textId="77777777" w:rsidR="00D33F7C" w:rsidRPr="00D33F7C" w:rsidRDefault="00D33F7C" w:rsidP="00D33F7C">
            <w:pPr>
              <w:rPr>
                <w:rFonts w:ascii="Palatino Linotype" w:eastAsia="Times New Roman" w:hAnsi="Palatino Linotype"/>
                <w:b/>
                <w:bCs/>
                <w:sz w:val="20"/>
                <w:szCs w:val="20"/>
                <w:lang w:val="en-IN" w:eastAsia="en-IN" w:bidi="hi-IN"/>
              </w:rPr>
            </w:pPr>
            <w:r w:rsidRPr="00D33F7C">
              <w:rPr>
                <w:rFonts w:ascii="Palatino Linotype" w:eastAsia="Times New Roman" w:hAnsi="Palatino Linotype"/>
                <w:b/>
                <w:bCs/>
                <w:sz w:val="20"/>
                <w:szCs w:val="20"/>
                <w:lang w:val="en-IN" w:eastAsia="en-IN" w:bidi="hi-IN"/>
              </w:rPr>
              <w:t> </w:t>
            </w:r>
          </w:p>
        </w:tc>
        <w:tc>
          <w:tcPr>
            <w:tcW w:w="1846" w:type="dxa"/>
            <w:tcBorders>
              <w:top w:val="nil"/>
              <w:left w:val="nil"/>
              <w:bottom w:val="single" w:sz="4" w:space="0" w:color="000000"/>
              <w:right w:val="single" w:sz="4" w:space="0" w:color="000000"/>
            </w:tcBorders>
            <w:shd w:val="clear" w:color="C6E0B4" w:fill="C6E0B4"/>
            <w:noWrap/>
            <w:vAlign w:val="center"/>
            <w:hideMark/>
          </w:tcPr>
          <w:p w14:paraId="623CABC4" w14:textId="77777777" w:rsidR="00D33F7C" w:rsidRPr="00D33F7C" w:rsidRDefault="00D33F7C" w:rsidP="00D33F7C">
            <w:pPr>
              <w:rPr>
                <w:rFonts w:ascii="Palatino Linotype" w:eastAsia="Times New Roman" w:hAnsi="Palatino Linotype"/>
                <w:b/>
                <w:bCs/>
                <w:sz w:val="20"/>
                <w:szCs w:val="20"/>
                <w:lang w:val="en-IN" w:eastAsia="en-IN" w:bidi="hi-IN"/>
              </w:rPr>
            </w:pPr>
            <w:r w:rsidRPr="00D33F7C">
              <w:rPr>
                <w:rFonts w:ascii="Palatino Linotype" w:eastAsia="Times New Roman" w:hAnsi="Palatino Linotype"/>
                <w:b/>
                <w:bCs/>
                <w:sz w:val="20"/>
                <w:szCs w:val="20"/>
                <w:lang w:val="en-IN" w:eastAsia="en-IN" w:bidi="hi-IN"/>
              </w:rPr>
              <w:t> </w:t>
            </w:r>
          </w:p>
        </w:tc>
      </w:tr>
      <w:tr w:rsidR="00D33F7C" w:rsidRPr="00D33F7C" w14:paraId="02A2A147" w14:textId="77777777" w:rsidTr="00E213CE">
        <w:trPr>
          <w:trHeight w:val="277"/>
        </w:trPr>
        <w:tc>
          <w:tcPr>
            <w:tcW w:w="2987" w:type="dxa"/>
            <w:tcBorders>
              <w:top w:val="nil"/>
              <w:left w:val="single" w:sz="4" w:space="0" w:color="000000"/>
              <w:bottom w:val="single" w:sz="4" w:space="0" w:color="000000"/>
              <w:right w:val="single" w:sz="4" w:space="0" w:color="000000"/>
            </w:tcBorders>
            <w:shd w:val="clear" w:color="auto" w:fill="auto"/>
            <w:noWrap/>
            <w:vAlign w:val="bottom"/>
            <w:hideMark/>
          </w:tcPr>
          <w:p w14:paraId="43C435BB" w14:textId="77777777" w:rsidR="00D33F7C" w:rsidRPr="00D33F7C" w:rsidRDefault="00D33F7C" w:rsidP="00D33F7C">
            <w:pPr>
              <w:rPr>
                <w:rFonts w:ascii="Palatino Linotype" w:eastAsia="Times New Roman" w:hAnsi="Palatino Linotype"/>
                <w:sz w:val="20"/>
                <w:szCs w:val="20"/>
                <w:lang w:val="en-IN" w:eastAsia="en-IN" w:bidi="hi-IN"/>
              </w:rPr>
            </w:pPr>
            <w:r w:rsidRPr="00D33F7C">
              <w:rPr>
                <w:rFonts w:ascii="Palatino Linotype" w:eastAsia="Times New Roman" w:hAnsi="Palatino Linotype"/>
                <w:sz w:val="20"/>
                <w:szCs w:val="20"/>
                <w:lang w:val="en-IN" w:eastAsia="en-IN" w:bidi="hi-IN"/>
              </w:rPr>
              <w:t xml:space="preserve">BSE </w:t>
            </w:r>
          </w:p>
        </w:tc>
        <w:tc>
          <w:tcPr>
            <w:tcW w:w="1687" w:type="dxa"/>
            <w:tcBorders>
              <w:top w:val="nil"/>
              <w:left w:val="nil"/>
              <w:bottom w:val="single" w:sz="4" w:space="0" w:color="000000"/>
              <w:right w:val="single" w:sz="4" w:space="0" w:color="000000"/>
            </w:tcBorders>
            <w:shd w:val="clear" w:color="auto" w:fill="auto"/>
            <w:noWrap/>
            <w:vAlign w:val="bottom"/>
            <w:hideMark/>
          </w:tcPr>
          <w:p w14:paraId="594E1B87" w14:textId="77777777" w:rsidR="00D33F7C" w:rsidRPr="00D33F7C" w:rsidRDefault="00D33F7C" w:rsidP="00D33F7C">
            <w:pPr>
              <w:rPr>
                <w:rFonts w:ascii="Palatino Linotype" w:eastAsia="Times New Roman" w:hAnsi="Palatino Linotype"/>
                <w:sz w:val="20"/>
                <w:szCs w:val="20"/>
                <w:lang w:val="en-IN" w:eastAsia="en-IN" w:bidi="hi-IN"/>
              </w:rPr>
            </w:pPr>
            <w:r w:rsidRPr="00D33F7C">
              <w:rPr>
                <w:rFonts w:ascii="Palatino Linotype" w:eastAsia="Times New Roman" w:hAnsi="Palatino Linotype"/>
                <w:sz w:val="20"/>
                <w:szCs w:val="20"/>
                <w:lang w:val="en-IN" w:eastAsia="en-IN" w:bidi="hi-IN"/>
              </w:rPr>
              <w:t xml:space="preserve">              1,12,501 </w:t>
            </w:r>
          </w:p>
        </w:tc>
        <w:tc>
          <w:tcPr>
            <w:tcW w:w="1687" w:type="dxa"/>
            <w:tcBorders>
              <w:top w:val="nil"/>
              <w:left w:val="nil"/>
              <w:bottom w:val="single" w:sz="4" w:space="0" w:color="000000"/>
              <w:right w:val="single" w:sz="4" w:space="0" w:color="000000"/>
            </w:tcBorders>
            <w:shd w:val="clear" w:color="auto" w:fill="auto"/>
            <w:noWrap/>
            <w:vAlign w:val="bottom"/>
            <w:hideMark/>
          </w:tcPr>
          <w:p w14:paraId="2482E6A8" w14:textId="77777777" w:rsidR="00D33F7C" w:rsidRPr="00D33F7C" w:rsidRDefault="00D33F7C" w:rsidP="00D33F7C">
            <w:pPr>
              <w:rPr>
                <w:rFonts w:ascii="Palatino Linotype" w:eastAsia="Times New Roman" w:hAnsi="Palatino Linotype"/>
                <w:sz w:val="20"/>
                <w:szCs w:val="20"/>
                <w:lang w:val="en-IN" w:eastAsia="en-IN" w:bidi="hi-IN"/>
              </w:rPr>
            </w:pPr>
            <w:r w:rsidRPr="00D33F7C">
              <w:rPr>
                <w:rFonts w:ascii="Palatino Linotype" w:eastAsia="Times New Roman" w:hAnsi="Palatino Linotype"/>
                <w:sz w:val="20"/>
                <w:szCs w:val="20"/>
                <w:lang w:val="en-IN" w:eastAsia="en-IN" w:bidi="hi-IN"/>
              </w:rPr>
              <w:t xml:space="preserve">              1,49,946 </w:t>
            </w:r>
          </w:p>
        </w:tc>
        <w:tc>
          <w:tcPr>
            <w:tcW w:w="1846" w:type="dxa"/>
            <w:tcBorders>
              <w:top w:val="nil"/>
              <w:left w:val="nil"/>
              <w:bottom w:val="single" w:sz="4" w:space="0" w:color="000000"/>
              <w:right w:val="single" w:sz="4" w:space="0" w:color="000000"/>
            </w:tcBorders>
            <w:shd w:val="clear" w:color="auto" w:fill="auto"/>
            <w:noWrap/>
            <w:vAlign w:val="bottom"/>
            <w:hideMark/>
          </w:tcPr>
          <w:p w14:paraId="4CD781FD" w14:textId="77777777" w:rsidR="00D33F7C" w:rsidRPr="00D33F7C" w:rsidRDefault="00D33F7C" w:rsidP="00D33F7C">
            <w:pPr>
              <w:jc w:val="right"/>
              <w:rPr>
                <w:rFonts w:ascii="Palatino Linotype" w:eastAsia="Times New Roman" w:hAnsi="Palatino Linotype"/>
                <w:sz w:val="20"/>
                <w:szCs w:val="20"/>
                <w:lang w:val="en-IN" w:eastAsia="en-IN" w:bidi="hi-IN"/>
              </w:rPr>
            </w:pPr>
            <w:r w:rsidRPr="00D33F7C">
              <w:rPr>
                <w:rFonts w:ascii="Palatino Linotype" w:eastAsia="Times New Roman" w:hAnsi="Palatino Linotype"/>
                <w:sz w:val="20"/>
                <w:szCs w:val="20"/>
                <w:lang w:val="en-IN" w:eastAsia="en-IN" w:bidi="hi-IN"/>
              </w:rPr>
              <w:t>33.3</w:t>
            </w:r>
          </w:p>
        </w:tc>
      </w:tr>
      <w:tr w:rsidR="00D33F7C" w:rsidRPr="00D33F7C" w14:paraId="77B49788" w14:textId="77777777" w:rsidTr="00E213CE">
        <w:trPr>
          <w:trHeight w:val="277"/>
        </w:trPr>
        <w:tc>
          <w:tcPr>
            <w:tcW w:w="2987" w:type="dxa"/>
            <w:tcBorders>
              <w:top w:val="nil"/>
              <w:left w:val="single" w:sz="4" w:space="0" w:color="000000"/>
              <w:bottom w:val="single" w:sz="4" w:space="0" w:color="000000"/>
              <w:right w:val="single" w:sz="4" w:space="0" w:color="000000"/>
            </w:tcBorders>
            <w:shd w:val="clear" w:color="auto" w:fill="auto"/>
            <w:noWrap/>
            <w:vAlign w:val="bottom"/>
            <w:hideMark/>
          </w:tcPr>
          <w:p w14:paraId="3411D685" w14:textId="77777777" w:rsidR="00D33F7C" w:rsidRPr="00D33F7C" w:rsidRDefault="00D33F7C" w:rsidP="00D33F7C">
            <w:pPr>
              <w:rPr>
                <w:rFonts w:ascii="Palatino Linotype" w:eastAsia="Times New Roman" w:hAnsi="Palatino Linotype"/>
                <w:sz w:val="20"/>
                <w:szCs w:val="20"/>
                <w:lang w:val="en-IN" w:eastAsia="en-IN" w:bidi="hi-IN"/>
              </w:rPr>
            </w:pPr>
            <w:r w:rsidRPr="00D33F7C">
              <w:rPr>
                <w:rFonts w:ascii="Palatino Linotype" w:eastAsia="Times New Roman" w:hAnsi="Palatino Linotype"/>
                <w:sz w:val="20"/>
                <w:szCs w:val="20"/>
                <w:lang w:val="en-IN" w:eastAsia="en-IN" w:bidi="hi-IN"/>
              </w:rPr>
              <w:t>NSE</w:t>
            </w:r>
          </w:p>
        </w:tc>
        <w:tc>
          <w:tcPr>
            <w:tcW w:w="1687" w:type="dxa"/>
            <w:tcBorders>
              <w:top w:val="nil"/>
              <w:left w:val="nil"/>
              <w:bottom w:val="single" w:sz="4" w:space="0" w:color="000000"/>
              <w:right w:val="single" w:sz="4" w:space="0" w:color="000000"/>
            </w:tcBorders>
            <w:shd w:val="clear" w:color="auto" w:fill="auto"/>
            <w:noWrap/>
            <w:vAlign w:val="bottom"/>
            <w:hideMark/>
          </w:tcPr>
          <w:p w14:paraId="2B5F68DD" w14:textId="77777777" w:rsidR="00D33F7C" w:rsidRPr="00D33F7C" w:rsidRDefault="00D33F7C" w:rsidP="00D33F7C">
            <w:pPr>
              <w:rPr>
                <w:rFonts w:ascii="Palatino Linotype" w:eastAsia="Times New Roman" w:hAnsi="Palatino Linotype"/>
                <w:sz w:val="20"/>
                <w:szCs w:val="20"/>
                <w:lang w:val="en-IN" w:eastAsia="en-IN" w:bidi="hi-IN"/>
              </w:rPr>
            </w:pPr>
            <w:r w:rsidRPr="00D33F7C">
              <w:rPr>
                <w:rFonts w:ascii="Palatino Linotype" w:eastAsia="Times New Roman" w:hAnsi="Palatino Linotype"/>
                <w:sz w:val="20"/>
                <w:szCs w:val="20"/>
                <w:lang w:val="en-IN" w:eastAsia="en-IN" w:bidi="hi-IN"/>
              </w:rPr>
              <w:t xml:space="preserve">            15,67,915 </w:t>
            </w:r>
          </w:p>
        </w:tc>
        <w:tc>
          <w:tcPr>
            <w:tcW w:w="1687" w:type="dxa"/>
            <w:tcBorders>
              <w:top w:val="nil"/>
              <w:left w:val="nil"/>
              <w:bottom w:val="single" w:sz="4" w:space="0" w:color="000000"/>
              <w:right w:val="single" w:sz="4" w:space="0" w:color="000000"/>
            </w:tcBorders>
            <w:shd w:val="clear" w:color="auto" w:fill="auto"/>
            <w:noWrap/>
            <w:vAlign w:val="bottom"/>
            <w:hideMark/>
          </w:tcPr>
          <w:p w14:paraId="0646A7C7" w14:textId="77777777" w:rsidR="00D33F7C" w:rsidRPr="00D33F7C" w:rsidRDefault="00D33F7C" w:rsidP="00D33F7C">
            <w:pPr>
              <w:rPr>
                <w:rFonts w:ascii="Palatino Linotype" w:eastAsia="Times New Roman" w:hAnsi="Palatino Linotype"/>
                <w:sz w:val="20"/>
                <w:szCs w:val="20"/>
                <w:lang w:val="en-IN" w:eastAsia="en-IN" w:bidi="hi-IN"/>
              </w:rPr>
            </w:pPr>
            <w:r w:rsidRPr="00D33F7C">
              <w:rPr>
                <w:rFonts w:ascii="Palatino Linotype" w:eastAsia="Times New Roman" w:hAnsi="Palatino Linotype"/>
                <w:sz w:val="20"/>
                <w:szCs w:val="20"/>
                <w:lang w:val="en-IN" w:eastAsia="en-IN" w:bidi="hi-IN"/>
              </w:rPr>
              <w:t xml:space="preserve">            15,54,694 </w:t>
            </w:r>
          </w:p>
        </w:tc>
        <w:tc>
          <w:tcPr>
            <w:tcW w:w="1846" w:type="dxa"/>
            <w:tcBorders>
              <w:top w:val="nil"/>
              <w:left w:val="nil"/>
              <w:bottom w:val="single" w:sz="4" w:space="0" w:color="000000"/>
              <w:right w:val="single" w:sz="4" w:space="0" w:color="000000"/>
            </w:tcBorders>
            <w:shd w:val="clear" w:color="auto" w:fill="auto"/>
            <w:noWrap/>
            <w:vAlign w:val="bottom"/>
            <w:hideMark/>
          </w:tcPr>
          <w:p w14:paraId="5F9F2753" w14:textId="77777777" w:rsidR="00D33F7C" w:rsidRPr="00D33F7C" w:rsidRDefault="00D33F7C" w:rsidP="00D33F7C">
            <w:pPr>
              <w:jc w:val="right"/>
              <w:rPr>
                <w:rFonts w:ascii="Palatino Linotype" w:eastAsia="Times New Roman" w:hAnsi="Palatino Linotype"/>
                <w:sz w:val="20"/>
                <w:szCs w:val="20"/>
                <w:lang w:val="en-IN" w:eastAsia="en-IN" w:bidi="hi-IN"/>
              </w:rPr>
            </w:pPr>
            <w:r w:rsidRPr="00D33F7C">
              <w:rPr>
                <w:rFonts w:ascii="Palatino Linotype" w:eastAsia="Times New Roman" w:hAnsi="Palatino Linotype"/>
                <w:sz w:val="20"/>
                <w:szCs w:val="20"/>
                <w:lang w:val="en-IN" w:eastAsia="en-IN" w:bidi="hi-IN"/>
              </w:rPr>
              <w:t>-0.8</w:t>
            </w:r>
          </w:p>
        </w:tc>
      </w:tr>
      <w:tr w:rsidR="00D33F7C" w:rsidRPr="00D33F7C" w14:paraId="6DE341E8" w14:textId="77777777" w:rsidTr="00E213CE">
        <w:trPr>
          <w:trHeight w:val="277"/>
        </w:trPr>
        <w:tc>
          <w:tcPr>
            <w:tcW w:w="6362" w:type="dxa"/>
            <w:gridSpan w:val="3"/>
            <w:tcBorders>
              <w:top w:val="single" w:sz="4" w:space="0" w:color="000000"/>
              <w:left w:val="single" w:sz="4" w:space="0" w:color="000000"/>
              <w:bottom w:val="single" w:sz="4" w:space="0" w:color="000000"/>
              <w:right w:val="nil"/>
            </w:tcBorders>
            <w:shd w:val="clear" w:color="C6E0B4" w:fill="C6E0B4"/>
            <w:noWrap/>
            <w:vAlign w:val="center"/>
            <w:hideMark/>
          </w:tcPr>
          <w:p w14:paraId="66262A53" w14:textId="77777777" w:rsidR="00D33F7C" w:rsidRPr="00D33F7C" w:rsidRDefault="00D33F7C" w:rsidP="00D33F7C">
            <w:pPr>
              <w:rPr>
                <w:rFonts w:ascii="Palatino Linotype" w:eastAsia="Times New Roman" w:hAnsi="Palatino Linotype"/>
                <w:b/>
                <w:bCs/>
                <w:sz w:val="20"/>
                <w:szCs w:val="20"/>
                <w:lang w:val="en-IN" w:eastAsia="en-IN" w:bidi="hi-IN"/>
              </w:rPr>
            </w:pPr>
            <w:r w:rsidRPr="00D33F7C">
              <w:rPr>
                <w:rFonts w:ascii="Palatino Linotype" w:eastAsia="Times New Roman" w:hAnsi="Palatino Linotype"/>
                <w:b/>
                <w:bCs/>
                <w:sz w:val="20"/>
                <w:szCs w:val="20"/>
                <w:lang w:val="en-IN" w:eastAsia="en-IN" w:bidi="hi-IN"/>
              </w:rPr>
              <w:t>Gross Turnover in Equity Derivatives Segment (</w:t>
            </w:r>
            <w:r w:rsidRPr="00D33F7C">
              <w:rPr>
                <w:rFonts w:ascii="Tahoma" w:eastAsia="Times New Roman" w:hAnsi="Tahoma" w:cs="Tahoma"/>
                <w:b/>
                <w:bCs/>
                <w:sz w:val="20"/>
                <w:szCs w:val="20"/>
                <w:lang w:val="en-IN" w:eastAsia="en-IN" w:bidi="hi-IN"/>
              </w:rPr>
              <w:t>₹</w:t>
            </w:r>
            <w:r w:rsidRPr="00D33F7C">
              <w:rPr>
                <w:rFonts w:ascii="Palatino Linotype" w:eastAsia="Times New Roman" w:hAnsi="Palatino Linotype"/>
                <w:b/>
                <w:bCs/>
                <w:sz w:val="20"/>
                <w:szCs w:val="20"/>
                <w:lang w:val="en-IN" w:eastAsia="en-IN" w:bidi="hi-IN"/>
              </w:rPr>
              <w:t xml:space="preserve"> crore)</w:t>
            </w:r>
          </w:p>
        </w:tc>
        <w:tc>
          <w:tcPr>
            <w:tcW w:w="1846" w:type="dxa"/>
            <w:tcBorders>
              <w:top w:val="nil"/>
              <w:left w:val="nil"/>
              <w:bottom w:val="single" w:sz="4" w:space="0" w:color="000000"/>
              <w:right w:val="single" w:sz="4" w:space="0" w:color="000000"/>
            </w:tcBorders>
            <w:shd w:val="clear" w:color="C6E0B4" w:fill="C6E0B4"/>
            <w:noWrap/>
            <w:vAlign w:val="center"/>
            <w:hideMark/>
          </w:tcPr>
          <w:p w14:paraId="61329DF9" w14:textId="77777777" w:rsidR="00D33F7C" w:rsidRPr="00D33F7C" w:rsidRDefault="00D33F7C" w:rsidP="00D33F7C">
            <w:pPr>
              <w:rPr>
                <w:rFonts w:ascii="Palatino Linotype" w:eastAsia="Times New Roman" w:hAnsi="Palatino Linotype"/>
                <w:b/>
                <w:bCs/>
                <w:sz w:val="20"/>
                <w:szCs w:val="20"/>
                <w:lang w:val="en-IN" w:eastAsia="en-IN" w:bidi="hi-IN"/>
              </w:rPr>
            </w:pPr>
            <w:r w:rsidRPr="00D33F7C">
              <w:rPr>
                <w:rFonts w:ascii="Palatino Linotype" w:eastAsia="Times New Roman" w:hAnsi="Palatino Linotype"/>
                <w:b/>
                <w:bCs/>
                <w:sz w:val="20"/>
                <w:szCs w:val="20"/>
                <w:lang w:val="en-IN" w:eastAsia="en-IN" w:bidi="hi-IN"/>
              </w:rPr>
              <w:t> </w:t>
            </w:r>
          </w:p>
        </w:tc>
      </w:tr>
      <w:tr w:rsidR="00D33F7C" w:rsidRPr="00D33F7C" w14:paraId="45378953" w14:textId="77777777" w:rsidTr="00E213CE">
        <w:trPr>
          <w:trHeight w:val="277"/>
        </w:trPr>
        <w:tc>
          <w:tcPr>
            <w:tcW w:w="2987" w:type="dxa"/>
            <w:tcBorders>
              <w:top w:val="nil"/>
              <w:left w:val="single" w:sz="4" w:space="0" w:color="000000"/>
              <w:bottom w:val="single" w:sz="4" w:space="0" w:color="000000"/>
              <w:right w:val="single" w:sz="4" w:space="0" w:color="000000"/>
            </w:tcBorders>
            <w:shd w:val="clear" w:color="auto" w:fill="auto"/>
            <w:noWrap/>
            <w:vAlign w:val="bottom"/>
            <w:hideMark/>
          </w:tcPr>
          <w:p w14:paraId="42644310" w14:textId="77777777" w:rsidR="00D33F7C" w:rsidRPr="00D33F7C" w:rsidRDefault="00D33F7C" w:rsidP="00D33F7C">
            <w:pPr>
              <w:rPr>
                <w:rFonts w:ascii="Palatino Linotype" w:eastAsia="Times New Roman" w:hAnsi="Palatino Linotype"/>
                <w:sz w:val="20"/>
                <w:szCs w:val="20"/>
                <w:lang w:val="en-IN" w:eastAsia="en-IN" w:bidi="hi-IN"/>
              </w:rPr>
            </w:pPr>
            <w:r w:rsidRPr="00D33F7C">
              <w:rPr>
                <w:rFonts w:ascii="Palatino Linotype" w:eastAsia="Times New Roman" w:hAnsi="Palatino Linotype"/>
                <w:sz w:val="20"/>
                <w:szCs w:val="20"/>
                <w:lang w:val="en-IN" w:eastAsia="en-IN" w:bidi="hi-IN"/>
              </w:rPr>
              <w:t xml:space="preserve">BSE </w:t>
            </w:r>
          </w:p>
        </w:tc>
        <w:tc>
          <w:tcPr>
            <w:tcW w:w="1687" w:type="dxa"/>
            <w:tcBorders>
              <w:top w:val="nil"/>
              <w:left w:val="nil"/>
              <w:bottom w:val="single" w:sz="4" w:space="0" w:color="000000"/>
              <w:right w:val="single" w:sz="4" w:space="0" w:color="000000"/>
            </w:tcBorders>
            <w:shd w:val="clear" w:color="auto" w:fill="auto"/>
            <w:noWrap/>
            <w:vAlign w:val="bottom"/>
            <w:hideMark/>
          </w:tcPr>
          <w:p w14:paraId="1B6D984D" w14:textId="77777777" w:rsidR="00D33F7C" w:rsidRPr="00D33F7C" w:rsidRDefault="00D33F7C" w:rsidP="00D33F7C">
            <w:pPr>
              <w:rPr>
                <w:rFonts w:ascii="Palatino Linotype" w:eastAsia="Times New Roman" w:hAnsi="Palatino Linotype"/>
                <w:sz w:val="20"/>
                <w:szCs w:val="20"/>
                <w:lang w:val="en-IN" w:eastAsia="en-IN" w:bidi="hi-IN"/>
              </w:rPr>
            </w:pPr>
            <w:r w:rsidRPr="00D33F7C">
              <w:rPr>
                <w:rFonts w:ascii="Palatino Linotype" w:eastAsia="Times New Roman" w:hAnsi="Palatino Linotype"/>
                <w:sz w:val="20"/>
                <w:szCs w:val="20"/>
                <w:lang w:val="en-IN" w:eastAsia="en-IN" w:bidi="hi-IN"/>
              </w:rPr>
              <w:t xml:space="preserve">            64,79,644 </w:t>
            </w:r>
          </w:p>
        </w:tc>
        <w:tc>
          <w:tcPr>
            <w:tcW w:w="1687" w:type="dxa"/>
            <w:tcBorders>
              <w:top w:val="nil"/>
              <w:left w:val="nil"/>
              <w:bottom w:val="single" w:sz="4" w:space="0" w:color="000000"/>
              <w:right w:val="single" w:sz="4" w:space="0" w:color="000000"/>
            </w:tcBorders>
            <w:shd w:val="clear" w:color="auto" w:fill="auto"/>
            <w:noWrap/>
            <w:vAlign w:val="bottom"/>
            <w:hideMark/>
          </w:tcPr>
          <w:p w14:paraId="5678937E" w14:textId="77777777" w:rsidR="00D33F7C" w:rsidRPr="00D33F7C" w:rsidRDefault="00D33F7C" w:rsidP="00D33F7C">
            <w:pPr>
              <w:rPr>
                <w:rFonts w:ascii="Palatino Linotype" w:eastAsia="Times New Roman" w:hAnsi="Palatino Linotype"/>
                <w:sz w:val="20"/>
                <w:szCs w:val="20"/>
                <w:lang w:val="en-IN" w:eastAsia="en-IN" w:bidi="hi-IN"/>
              </w:rPr>
            </w:pPr>
            <w:r w:rsidRPr="00D33F7C">
              <w:rPr>
                <w:rFonts w:ascii="Palatino Linotype" w:eastAsia="Times New Roman" w:hAnsi="Palatino Linotype"/>
                <w:sz w:val="20"/>
                <w:szCs w:val="20"/>
                <w:lang w:val="en-IN" w:eastAsia="en-IN" w:bidi="hi-IN"/>
              </w:rPr>
              <w:t xml:space="preserve">            66,71,387 </w:t>
            </w:r>
          </w:p>
        </w:tc>
        <w:tc>
          <w:tcPr>
            <w:tcW w:w="1846" w:type="dxa"/>
            <w:tcBorders>
              <w:top w:val="nil"/>
              <w:left w:val="nil"/>
              <w:bottom w:val="single" w:sz="4" w:space="0" w:color="000000"/>
              <w:right w:val="single" w:sz="4" w:space="0" w:color="000000"/>
            </w:tcBorders>
            <w:shd w:val="clear" w:color="auto" w:fill="auto"/>
            <w:noWrap/>
            <w:vAlign w:val="bottom"/>
            <w:hideMark/>
          </w:tcPr>
          <w:p w14:paraId="6ABF3A96" w14:textId="77777777" w:rsidR="00D33F7C" w:rsidRPr="00D33F7C" w:rsidRDefault="00D33F7C" w:rsidP="00D33F7C">
            <w:pPr>
              <w:jc w:val="right"/>
              <w:rPr>
                <w:rFonts w:ascii="Palatino Linotype" w:eastAsia="Times New Roman" w:hAnsi="Palatino Linotype"/>
                <w:sz w:val="20"/>
                <w:szCs w:val="20"/>
                <w:lang w:val="en-IN" w:eastAsia="en-IN" w:bidi="hi-IN"/>
              </w:rPr>
            </w:pPr>
            <w:r w:rsidRPr="00D33F7C">
              <w:rPr>
                <w:rFonts w:ascii="Palatino Linotype" w:eastAsia="Times New Roman" w:hAnsi="Palatino Linotype"/>
                <w:sz w:val="20"/>
                <w:szCs w:val="20"/>
                <w:lang w:val="en-IN" w:eastAsia="en-IN" w:bidi="hi-IN"/>
              </w:rPr>
              <w:t>3.0</w:t>
            </w:r>
          </w:p>
        </w:tc>
      </w:tr>
      <w:tr w:rsidR="00D33F7C" w:rsidRPr="00D33F7C" w14:paraId="561E2B01" w14:textId="77777777" w:rsidTr="00E213CE">
        <w:trPr>
          <w:trHeight w:val="277"/>
        </w:trPr>
        <w:tc>
          <w:tcPr>
            <w:tcW w:w="2987" w:type="dxa"/>
            <w:tcBorders>
              <w:top w:val="nil"/>
              <w:left w:val="single" w:sz="4" w:space="0" w:color="000000"/>
              <w:bottom w:val="single" w:sz="4" w:space="0" w:color="000000"/>
              <w:right w:val="single" w:sz="4" w:space="0" w:color="000000"/>
            </w:tcBorders>
            <w:shd w:val="clear" w:color="auto" w:fill="auto"/>
            <w:noWrap/>
            <w:vAlign w:val="bottom"/>
            <w:hideMark/>
          </w:tcPr>
          <w:p w14:paraId="7E9C0027" w14:textId="77777777" w:rsidR="00D33F7C" w:rsidRPr="00D33F7C" w:rsidRDefault="00D33F7C" w:rsidP="00D33F7C">
            <w:pPr>
              <w:rPr>
                <w:rFonts w:ascii="Palatino Linotype" w:eastAsia="Times New Roman" w:hAnsi="Palatino Linotype"/>
                <w:sz w:val="20"/>
                <w:szCs w:val="20"/>
                <w:lang w:val="en-IN" w:eastAsia="en-IN" w:bidi="hi-IN"/>
              </w:rPr>
            </w:pPr>
            <w:r w:rsidRPr="00D33F7C">
              <w:rPr>
                <w:rFonts w:ascii="Palatino Linotype" w:eastAsia="Times New Roman" w:hAnsi="Palatino Linotype"/>
                <w:sz w:val="20"/>
                <w:szCs w:val="20"/>
                <w:lang w:val="en-IN" w:eastAsia="en-IN" w:bidi="hi-IN"/>
              </w:rPr>
              <w:t>NSE</w:t>
            </w:r>
          </w:p>
        </w:tc>
        <w:tc>
          <w:tcPr>
            <w:tcW w:w="1687" w:type="dxa"/>
            <w:tcBorders>
              <w:top w:val="nil"/>
              <w:left w:val="nil"/>
              <w:bottom w:val="single" w:sz="4" w:space="0" w:color="000000"/>
              <w:right w:val="single" w:sz="4" w:space="0" w:color="000000"/>
            </w:tcBorders>
            <w:shd w:val="clear" w:color="auto" w:fill="auto"/>
            <w:noWrap/>
            <w:vAlign w:val="bottom"/>
            <w:hideMark/>
          </w:tcPr>
          <w:p w14:paraId="41BED18D" w14:textId="77777777" w:rsidR="00D33F7C" w:rsidRPr="00D33F7C" w:rsidRDefault="00D33F7C" w:rsidP="00D33F7C">
            <w:pPr>
              <w:rPr>
                <w:rFonts w:ascii="Palatino Linotype" w:eastAsia="Times New Roman" w:hAnsi="Palatino Linotype"/>
                <w:sz w:val="20"/>
                <w:szCs w:val="20"/>
                <w:lang w:val="en-IN" w:eastAsia="en-IN" w:bidi="hi-IN"/>
              </w:rPr>
            </w:pPr>
            <w:r w:rsidRPr="00D33F7C">
              <w:rPr>
                <w:rFonts w:ascii="Palatino Linotype" w:eastAsia="Times New Roman" w:hAnsi="Palatino Linotype"/>
                <w:sz w:val="20"/>
                <w:szCs w:val="20"/>
                <w:lang w:val="en-IN" w:eastAsia="en-IN" w:bidi="hi-IN"/>
              </w:rPr>
              <w:t xml:space="preserve">        8,66,52,832 </w:t>
            </w:r>
          </w:p>
        </w:tc>
        <w:tc>
          <w:tcPr>
            <w:tcW w:w="1687" w:type="dxa"/>
            <w:tcBorders>
              <w:top w:val="nil"/>
              <w:left w:val="nil"/>
              <w:bottom w:val="single" w:sz="4" w:space="0" w:color="000000"/>
              <w:right w:val="single" w:sz="4" w:space="0" w:color="000000"/>
            </w:tcBorders>
            <w:shd w:val="clear" w:color="auto" w:fill="auto"/>
            <w:noWrap/>
            <w:vAlign w:val="bottom"/>
            <w:hideMark/>
          </w:tcPr>
          <w:p w14:paraId="5079F1F4" w14:textId="77777777" w:rsidR="00D33F7C" w:rsidRPr="00D33F7C" w:rsidRDefault="00D33F7C" w:rsidP="00D33F7C">
            <w:pPr>
              <w:rPr>
                <w:rFonts w:ascii="Palatino Linotype" w:eastAsia="Times New Roman" w:hAnsi="Palatino Linotype"/>
                <w:sz w:val="20"/>
                <w:szCs w:val="20"/>
                <w:lang w:val="en-IN" w:eastAsia="en-IN" w:bidi="hi-IN"/>
              </w:rPr>
            </w:pPr>
            <w:r w:rsidRPr="00D33F7C">
              <w:rPr>
                <w:rFonts w:ascii="Palatino Linotype" w:eastAsia="Times New Roman" w:hAnsi="Palatino Linotype"/>
                <w:sz w:val="20"/>
                <w:szCs w:val="20"/>
                <w:lang w:val="en-IN" w:eastAsia="en-IN" w:bidi="hi-IN"/>
              </w:rPr>
              <w:t xml:space="preserve">      10,13,91,908 </w:t>
            </w:r>
          </w:p>
        </w:tc>
        <w:tc>
          <w:tcPr>
            <w:tcW w:w="1846" w:type="dxa"/>
            <w:tcBorders>
              <w:top w:val="nil"/>
              <w:left w:val="nil"/>
              <w:bottom w:val="single" w:sz="4" w:space="0" w:color="000000"/>
              <w:right w:val="single" w:sz="4" w:space="0" w:color="000000"/>
            </w:tcBorders>
            <w:shd w:val="clear" w:color="auto" w:fill="auto"/>
            <w:noWrap/>
            <w:vAlign w:val="bottom"/>
            <w:hideMark/>
          </w:tcPr>
          <w:p w14:paraId="7143EE69" w14:textId="77777777" w:rsidR="00D33F7C" w:rsidRPr="00D33F7C" w:rsidRDefault="00D33F7C" w:rsidP="00D33F7C">
            <w:pPr>
              <w:jc w:val="right"/>
              <w:rPr>
                <w:rFonts w:ascii="Palatino Linotype" w:eastAsia="Times New Roman" w:hAnsi="Palatino Linotype"/>
                <w:sz w:val="20"/>
                <w:szCs w:val="20"/>
                <w:lang w:val="en-IN" w:eastAsia="en-IN" w:bidi="hi-IN"/>
              </w:rPr>
            </w:pPr>
            <w:r w:rsidRPr="00D33F7C">
              <w:rPr>
                <w:rFonts w:ascii="Palatino Linotype" w:eastAsia="Times New Roman" w:hAnsi="Palatino Linotype"/>
                <w:sz w:val="20"/>
                <w:szCs w:val="20"/>
                <w:lang w:val="en-IN" w:eastAsia="en-IN" w:bidi="hi-IN"/>
              </w:rPr>
              <w:t>17.0</w:t>
            </w:r>
          </w:p>
        </w:tc>
      </w:tr>
      <w:tr w:rsidR="00D33F7C" w:rsidRPr="00D33F7C" w14:paraId="7284755B" w14:textId="77777777" w:rsidTr="00E213CE">
        <w:trPr>
          <w:trHeight w:val="277"/>
        </w:trPr>
        <w:tc>
          <w:tcPr>
            <w:tcW w:w="6362" w:type="dxa"/>
            <w:gridSpan w:val="3"/>
            <w:tcBorders>
              <w:top w:val="single" w:sz="4" w:space="0" w:color="000000"/>
              <w:left w:val="single" w:sz="4" w:space="0" w:color="000000"/>
              <w:bottom w:val="single" w:sz="4" w:space="0" w:color="000000"/>
              <w:right w:val="nil"/>
            </w:tcBorders>
            <w:shd w:val="clear" w:color="C6E0B4" w:fill="C6E0B4"/>
            <w:noWrap/>
            <w:vAlign w:val="center"/>
            <w:hideMark/>
          </w:tcPr>
          <w:p w14:paraId="5E649EC0" w14:textId="77777777" w:rsidR="00D33F7C" w:rsidRPr="00D33F7C" w:rsidRDefault="00D33F7C" w:rsidP="00D33F7C">
            <w:pPr>
              <w:rPr>
                <w:rFonts w:ascii="Palatino Linotype" w:eastAsia="Times New Roman" w:hAnsi="Palatino Linotype"/>
                <w:b/>
                <w:bCs/>
                <w:sz w:val="20"/>
                <w:szCs w:val="20"/>
                <w:lang w:val="en-IN" w:eastAsia="en-IN" w:bidi="hi-IN"/>
              </w:rPr>
            </w:pPr>
            <w:r w:rsidRPr="00D33F7C">
              <w:rPr>
                <w:rFonts w:ascii="Palatino Linotype" w:eastAsia="Times New Roman" w:hAnsi="Palatino Linotype"/>
                <w:b/>
                <w:bCs/>
                <w:sz w:val="20"/>
                <w:szCs w:val="20"/>
                <w:lang w:val="en-IN" w:eastAsia="en-IN" w:bidi="hi-IN"/>
              </w:rPr>
              <w:t>Gross Turnover in Currency Derivatives Segment (</w:t>
            </w:r>
            <w:r w:rsidRPr="00D33F7C">
              <w:rPr>
                <w:rFonts w:ascii="Tahoma" w:eastAsia="Times New Roman" w:hAnsi="Tahoma" w:cs="Tahoma"/>
                <w:b/>
                <w:bCs/>
                <w:sz w:val="20"/>
                <w:szCs w:val="20"/>
                <w:lang w:val="en-IN" w:eastAsia="en-IN" w:bidi="hi-IN"/>
              </w:rPr>
              <w:t>₹</w:t>
            </w:r>
            <w:r w:rsidRPr="00D33F7C">
              <w:rPr>
                <w:rFonts w:ascii="Palatino Linotype" w:eastAsia="Times New Roman" w:hAnsi="Palatino Linotype"/>
                <w:b/>
                <w:bCs/>
                <w:sz w:val="20"/>
                <w:szCs w:val="20"/>
                <w:lang w:val="en-IN" w:eastAsia="en-IN" w:bidi="hi-IN"/>
              </w:rPr>
              <w:t xml:space="preserve"> crore)</w:t>
            </w:r>
          </w:p>
        </w:tc>
        <w:tc>
          <w:tcPr>
            <w:tcW w:w="1846" w:type="dxa"/>
            <w:tcBorders>
              <w:top w:val="nil"/>
              <w:left w:val="nil"/>
              <w:bottom w:val="single" w:sz="4" w:space="0" w:color="000000"/>
              <w:right w:val="single" w:sz="4" w:space="0" w:color="000000"/>
            </w:tcBorders>
            <w:shd w:val="clear" w:color="C6E0B4" w:fill="C6E0B4"/>
            <w:noWrap/>
            <w:vAlign w:val="center"/>
            <w:hideMark/>
          </w:tcPr>
          <w:p w14:paraId="552B2056" w14:textId="77777777" w:rsidR="00D33F7C" w:rsidRPr="00D33F7C" w:rsidRDefault="00D33F7C" w:rsidP="00D33F7C">
            <w:pPr>
              <w:rPr>
                <w:rFonts w:ascii="Palatino Linotype" w:eastAsia="Times New Roman" w:hAnsi="Palatino Linotype"/>
                <w:b/>
                <w:bCs/>
                <w:sz w:val="20"/>
                <w:szCs w:val="20"/>
                <w:lang w:val="en-IN" w:eastAsia="en-IN" w:bidi="hi-IN"/>
              </w:rPr>
            </w:pPr>
            <w:r w:rsidRPr="00D33F7C">
              <w:rPr>
                <w:rFonts w:ascii="Palatino Linotype" w:eastAsia="Times New Roman" w:hAnsi="Palatino Linotype"/>
                <w:b/>
                <w:bCs/>
                <w:sz w:val="20"/>
                <w:szCs w:val="20"/>
                <w:lang w:val="en-IN" w:eastAsia="en-IN" w:bidi="hi-IN"/>
              </w:rPr>
              <w:t> </w:t>
            </w:r>
          </w:p>
        </w:tc>
      </w:tr>
      <w:tr w:rsidR="00D33F7C" w:rsidRPr="00D33F7C" w14:paraId="578CDB8A" w14:textId="77777777" w:rsidTr="00E213CE">
        <w:trPr>
          <w:trHeight w:val="277"/>
        </w:trPr>
        <w:tc>
          <w:tcPr>
            <w:tcW w:w="2987" w:type="dxa"/>
            <w:tcBorders>
              <w:top w:val="nil"/>
              <w:left w:val="single" w:sz="4" w:space="0" w:color="000000"/>
              <w:bottom w:val="single" w:sz="4" w:space="0" w:color="000000"/>
              <w:right w:val="single" w:sz="4" w:space="0" w:color="000000"/>
            </w:tcBorders>
            <w:shd w:val="clear" w:color="auto" w:fill="auto"/>
            <w:noWrap/>
            <w:vAlign w:val="bottom"/>
            <w:hideMark/>
          </w:tcPr>
          <w:p w14:paraId="5E971666" w14:textId="77777777" w:rsidR="00D33F7C" w:rsidRPr="00D33F7C" w:rsidRDefault="00D33F7C" w:rsidP="00D33F7C">
            <w:pPr>
              <w:rPr>
                <w:rFonts w:ascii="Palatino Linotype" w:eastAsia="Times New Roman" w:hAnsi="Palatino Linotype"/>
                <w:sz w:val="20"/>
                <w:szCs w:val="20"/>
                <w:lang w:val="en-IN" w:eastAsia="en-IN" w:bidi="hi-IN"/>
              </w:rPr>
            </w:pPr>
            <w:r w:rsidRPr="00D33F7C">
              <w:rPr>
                <w:rFonts w:ascii="Palatino Linotype" w:eastAsia="Times New Roman" w:hAnsi="Palatino Linotype"/>
                <w:sz w:val="20"/>
                <w:szCs w:val="20"/>
                <w:lang w:val="en-IN" w:eastAsia="en-IN" w:bidi="hi-IN"/>
              </w:rPr>
              <w:t xml:space="preserve">BSE </w:t>
            </w:r>
          </w:p>
        </w:tc>
        <w:tc>
          <w:tcPr>
            <w:tcW w:w="1687" w:type="dxa"/>
            <w:tcBorders>
              <w:top w:val="nil"/>
              <w:left w:val="nil"/>
              <w:bottom w:val="single" w:sz="4" w:space="0" w:color="000000"/>
              <w:right w:val="single" w:sz="4" w:space="0" w:color="000000"/>
            </w:tcBorders>
            <w:shd w:val="clear" w:color="auto" w:fill="auto"/>
            <w:noWrap/>
            <w:vAlign w:val="bottom"/>
            <w:hideMark/>
          </w:tcPr>
          <w:p w14:paraId="65432816" w14:textId="77777777" w:rsidR="00D33F7C" w:rsidRPr="00D33F7C" w:rsidRDefault="00D33F7C" w:rsidP="00D33F7C">
            <w:pPr>
              <w:rPr>
                <w:rFonts w:ascii="Palatino Linotype" w:eastAsia="Times New Roman" w:hAnsi="Palatino Linotype"/>
                <w:sz w:val="20"/>
                <w:szCs w:val="20"/>
                <w:lang w:val="en-IN" w:eastAsia="en-IN" w:bidi="hi-IN"/>
              </w:rPr>
            </w:pPr>
            <w:r w:rsidRPr="00D33F7C">
              <w:rPr>
                <w:rFonts w:ascii="Palatino Linotype" w:eastAsia="Times New Roman" w:hAnsi="Palatino Linotype"/>
                <w:sz w:val="20"/>
                <w:szCs w:val="20"/>
                <w:lang w:val="en-IN" w:eastAsia="en-IN" w:bidi="hi-IN"/>
              </w:rPr>
              <w:t xml:space="preserve">              4,17,946 </w:t>
            </w:r>
          </w:p>
        </w:tc>
        <w:tc>
          <w:tcPr>
            <w:tcW w:w="1687" w:type="dxa"/>
            <w:tcBorders>
              <w:top w:val="nil"/>
              <w:left w:val="nil"/>
              <w:bottom w:val="single" w:sz="4" w:space="0" w:color="000000"/>
              <w:right w:val="single" w:sz="4" w:space="0" w:color="000000"/>
            </w:tcBorders>
            <w:shd w:val="clear" w:color="auto" w:fill="auto"/>
            <w:noWrap/>
            <w:vAlign w:val="bottom"/>
            <w:hideMark/>
          </w:tcPr>
          <w:p w14:paraId="5C65B672" w14:textId="77777777" w:rsidR="00D33F7C" w:rsidRPr="00D33F7C" w:rsidRDefault="00D33F7C" w:rsidP="00D33F7C">
            <w:pPr>
              <w:rPr>
                <w:rFonts w:ascii="Palatino Linotype" w:eastAsia="Times New Roman" w:hAnsi="Palatino Linotype"/>
                <w:sz w:val="20"/>
                <w:szCs w:val="20"/>
                <w:lang w:val="en-IN" w:eastAsia="en-IN" w:bidi="hi-IN"/>
              </w:rPr>
            </w:pPr>
            <w:r w:rsidRPr="00D33F7C">
              <w:rPr>
                <w:rFonts w:ascii="Palatino Linotype" w:eastAsia="Times New Roman" w:hAnsi="Palatino Linotype"/>
                <w:sz w:val="20"/>
                <w:szCs w:val="20"/>
                <w:lang w:val="en-IN" w:eastAsia="en-IN" w:bidi="hi-IN"/>
              </w:rPr>
              <w:t xml:space="preserve">              5,03,266 </w:t>
            </w:r>
          </w:p>
        </w:tc>
        <w:tc>
          <w:tcPr>
            <w:tcW w:w="1846" w:type="dxa"/>
            <w:tcBorders>
              <w:top w:val="nil"/>
              <w:left w:val="nil"/>
              <w:bottom w:val="single" w:sz="4" w:space="0" w:color="000000"/>
              <w:right w:val="single" w:sz="4" w:space="0" w:color="000000"/>
            </w:tcBorders>
            <w:shd w:val="clear" w:color="auto" w:fill="auto"/>
            <w:noWrap/>
            <w:vAlign w:val="bottom"/>
            <w:hideMark/>
          </w:tcPr>
          <w:p w14:paraId="4515272E" w14:textId="77777777" w:rsidR="00D33F7C" w:rsidRPr="00D33F7C" w:rsidRDefault="00D33F7C" w:rsidP="00D33F7C">
            <w:pPr>
              <w:jc w:val="right"/>
              <w:rPr>
                <w:rFonts w:ascii="Palatino Linotype" w:eastAsia="Times New Roman" w:hAnsi="Palatino Linotype"/>
                <w:sz w:val="20"/>
                <w:szCs w:val="20"/>
                <w:lang w:val="en-IN" w:eastAsia="en-IN" w:bidi="hi-IN"/>
              </w:rPr>
            </w:pPr>
            <w:r w:rsidRPr="00D33F7C">
              <w:rPr>
                <w:rFonts w:ascii="Palatino Linotype" w:eastAsia="Times New Roman" w:hAnsi="Palatino Linotype"/>
                <w:sz w:val="20"/>
                <w:szCs w:val="20"/>
                <w:lang w:val="en-IN" w:eastAsia="en-IN" w:bidi="hi-IN"/>
              </w:rPr>
              <w:t>20.4</w:t>
            </w:r>
          </w:p>
        </w:tc>
      </w:tr>
      <w:tr w:rsidR="00D33F7C" w:rsidRPr="00D33F7C" w14:paraId="0E76D90A" w14:textId="77777777" w:rsidTr="00E213CE">
        <w:trPr>
          <w:trHeight w:val="277"/>
        </w:trPr>
        <w:tc>
          <w:tcPr>
            <w:tcW w:w="2987" w:type="dxa"/>
            <w:tcBorders>
              <w:top w:val="nil"/>
              <w:left w:val="single" w:sz="4" w:space="0" w:color="000000"/>
              <w:bottom w:val="single" w:sz="4" w:space="0" w:color="000000"/>
              <w:right w:val="single" w:sz="4" w:space="0" w:color="000000"/>
            </w:tcBorders>
            <w:shd w:val="clear" w:color="auto" w:fill="auto"/>
            <w:noWrap/>
            <w:vAlign w:val="bottom"/>
            <w:hideMark/>
          </w:tcPr>
          <w:p w14:paraId="51CF1014" w14:textId="77777777" w:rsidR="00D33F7C" w:rsidRPr="00D33F7C" w:rsidRDefault="00D33F7C" w:rsidP="00D33F7C">
            <w:pPr>
              <w:rPr>
                <w:rFonts w:ascii="Palatino Linotype" w:eastAsia="Times New Roman" w:hAnsi="Palatino Linotype"/>
                <w:sz w:val="20"/>
                <w:szCs w:val="20"/>
                <w:lang w:val="en-IN" w:eastAsia="en-IN" w:bidi="hi-IN"/>
              </w:rPr>
            </w:pPr>
            <w:r w:rsidRPr="00D33F7C">
              <w:rPr>
                <w:rFonts w:ascii="Palatino Linotype" w:eastAsia="Times New Roman" w:hAnsi="Palatino Linotype"/>
                <w:sz w:val="20"/>
                <w:szCs w:val="20"/>
                <w:lang w:val="en-IN" w:eastAsia="en-IN" w:bidi="hi-IN"/>
              </w:rPr>
              <w:t>NSE</w:t>
            </w:r>
          </w:p>
        </w:tc>
        <w:tc>
          <w:tcPr>
            <w:tcW w:w="1687" w:type="dxa"/>
            <w:tcBorders>
              <w:top w:val="nil"/>
              <w:left w:val="nil"/>
              <w:bottom w:val="single" w:sz="4" w:space="0" w:color="000000"/>
              <w:right w:val="single" w:sz="4" w:space="0" w:color="000000"/>
            </w:tcBorders>
            <w:shd w:val="clear" w:color="auto" w:fill="auto"/>
            <w:noWrap/>
            <w:vAlign w:val="bottom"/>
            <w:hideMark/>
          </w:tcPr>
          <w:p w14:paraId="0FA8AC08" w14:textId="77777777" w:rsidR="00D33F7C" w:rsidRPr="00D33F7C" w:rsidRDefault="00D33F7C" w:rsidP="00D33F7C">
            <w:pPr>
              <w:rPr>
                <w:rFonts w:ascii="Palatino Linotype" w:eastAsia="Times New Roman" w:hAnsi="Palatino Linotype"/>
                <w:sz w:val="20"/>
                <w:szCs w:val="20"/>
                <w:lang w:val="en-IN" w:eastAsia="en-IN" w:bidi="hi-IN"/>
              </w:rPr>
            </w:pPr>
            <w:r w:rsidRPr="00D33F7C">
              <w:rPr>
                <w:rFonts w:ascii="Palatino Linotype" w:eastAsia="Times New Roman" w:hAnsi="Palatino Linotype"/>
                <w:sz w:val="20"/>
                <w:szCs w:val="20"/>
                <w:lang w:val="en-IN" w:eastAsia="en-IN" w:bidi="hi-IN"/>
              </w:rPr>
              <w:t xml:space="preserve">            11,05,378 </w:t>
            </w:r>
          </w:p>
        </w:tc>
        <w:tc>
          <w:tcPr>
            <w:tcW w:w="1687" w:type="dxa"/>
            <w:tcBorders>
              <w:top w:val="nil"/>
              <w:left w:val="nil"/>
              <w:bottom w:val="single" w:sz="4" w:space="0" w:color="000000"/>
              <w:right w:val="single" w:sz="4" w:space="0" w:color="000000"/>
            </w:tcBorders>
            <w:shd w:val="clear" w:color="auto" w:fill="auto"/>
            <w:noWrap/>
            <w:vAlign w:val="bottom"/>
            <w:hideMark/>
          </w:tcPr>
          <w:p w14:paraId="54DC5D70" w14:textId="77777777" w:rsidR="00D33F7C" w:rsidRPr="00D33F7C" w:rsidRDefault="00D33F7C" w:rsidP="00D33F7C">
            <w:pPr>
              <w:rPr>
                <w:rFonts w:ascii="Palatino Linotype" w:eastAsia="Times New Roman" w:hAnsi="Palatino Linotype"/>
                <w:sz w:val="20"/>
                <w:szCs w:val="20"/>
                <w:lang w:val="en-IN" w:eastAsia="en-IN" w:bidi="hi-IN"/>
              </w:rPr>
            </w:pPr>
            <w:r w:rsidRPr="00D33F7C">
              <w:rPr>
                <w:rFonts w:ascii="Palatino Linotype" w:eastAsia="Times New Roman" w:hAnsi="Palatino Linotype"/>
                <w:sz w:val="20"/>
                <w:szCs w:val="20"/>
                <w:lang w:val="en-IN" w:eastAsia="en-IN" w:bidi="hi-IN"/>
              </w:rPr>
              <w:t xml:space="preserve">            13,78,694 </w:t>
            </w:r>
          </w:p>
        </w:tc>
        <w:tc>
          <w:tcPr>
            <w:tcW w:w="1846" w:type="dxa"/>
            <w:tcBorders>
              <w:top w:val="nil"/>
              <w:left w:val="nil"/>
              <w:bottom w:val="single" w:sz="4" w:space="0" w:color="000000"/>
              <w:right w:val="single" w:sz="4" w:space="0" w:color="000000"/>
            </w:tcBorders>
            <w:shd w:val="clear" w:color="auto" w:fill="auto"/>
            <w:noWrap/>
            <w:vAlign w:val="bottom"/>
            <w:hideMark/>
          </w:tcPr>
          <w:p w14:paraId="24F963D0" w14:textId="77777777" w:rsidR="00D33F7C" w:rsidRPr="00D33F7C" w:rsidRDefault="00D33F7C" w:rsidP="00D33F7C">
            <w:pPr>
              <w:jc w:val="right"/>
              <w:rPr>
                <w:rFonts w:ascii="Palatino Linotype" w:eastAsia="Times New Roman" w:hAnsi="Palatino Linotype"/>
                <w:sz w:val="20"/>
                <w:szCs w:val="20"/>
                <w:lang w:val="en-IN" w:eastAsia="en-IN" w:bidi="hi-IN"/>
              </w:rPr>
            </w:pPr>
            <w:r w:rsidRPr="00D33F7C">
              <w:rPr>
                <w:rFonts w:ascii="Palatino Linotype" w:eastAsia="Times New Roman" w:hAnsi="Palatino Linotype"/>
                <w:sz w:val="20"/>
                <w:szCs w:val="20"/>
                <w:lang w:val="en-IN" w:eastAsia="en-IN" w:bidi="hi-IN"/>
              </w:rPr>
              <w:t>24.7</w:t>
            </w:r>
          </w:p>
        </w:tc>
      </w:tr>
      <w:tr w:rsidR="00D33F7C" w:rsidRPr="00D33F7C" w14:paraId="5D0F24B4" w14:textId="77777777" w:rsidTr="00E213CE">
        <w:trPr>
          <w:trHeight w:val="277"/>
        </w:trPr>
        <w:tc>
          <w:tcPr>
            <w:tcW w:w="2987" w:type="dxa"/>
            <w:tcBorders>
              <w:top w:val="nil"/>
              <w:left w:val="single" w:sz="4" w:space="0" w:color="000000"/>
              <w:bottom w:val="single" w:sz="4" w:space="0" w:color="000000"/>
              <w:right w:val="single" w:sz="4" w:space="0" w:color="000000"/>
            </w:tcBorders>
            <w:shd w:val="clear" w:color="auto" w:fill="auto"/>
            <w:noWrap/>
            <w:vAlign w:val="bottom"/>
            <w:hideMark/>
          </w:tcPr>
          <w:p w14:paraId="00710A23" w14:textId="77777777" w:rsidR="00D33F7C" w:rsidRPr="00D33F7C" w:rsidRDefault="00D33F7C" w:rsidP="00D33F7C">
            <w:pPr>
              <w:rPr>
                <w:rFonts w:ascii="Palatino Linotype" w:eastAsia="Times New Roman" w:hAnsi="Palatino Linotype"/>
                <w:sz w:val="20"/>
                <w:szCs w:val="20"/>
                <w:lang w:val="en-IN" w:eastAsia="en-IN" w:bidi="hi-IN"/>
              </w:rPr>
            </w:pPr>
            <w:r w:rsidRPr="00D33F7C">
              <w:rPr>
                <w:rFonts w:ascii="Palatino Linotype" w:eastAsia="Times New Roman" w:hAnsi="Palatino Linotype"/>
                <w:sz w:val="20"/>
                <w:szCs w:val="20"/>
                <w:lang w:val="en-IN" w:eastAsia="en-IN" w:bidi="hi-IN"/>
              </w:rPr>
              <w:t>MSEI</w:t>
            </w:r>
          </w:p>
        </w:tc>
        <w:tc>
          <w:tcPr>
            <w:tcW w:w="1687" w:type="dxa"/>
            <w:tcBorders>
              <w:top w:val="nil"/>
              <w:left w:val="nil"/>
              <w:bottom w:val="single" w:sz="4" w:space="0" w:color="000000"/>
              <w:right w:val="single" w:sz="4" w:space="0" w:color="000000"/>
            </w:tcBorders>
            <w:shd w:val="clear" w:color="auto" w:fill="auto"/>
            <w:noWrap/>
            <w:vAlign w:val="bottom"/>
            <w:hideMark/>
          </w:tcPr>
          <w:p w14:paraId="0B9E885B" w14:textId="77777777" w:rsidR="00D33F7C" w:rsidRPr="00D33F7C" w:rsidRDefault="00D33F7C" w:rsidP="00D33F7C">
            <w:pPr>
              <w:rPr>
                <w:rFonts w:ascii="Palatino Linotype" w:eastAsia="Times New Roman" w:hAnsi="Palatino Linotype"/>
                <w:sz w:val="20"/>
                <w:szCs w:val="20"/>
                <w:lang w:val="en-IN" w:eastAsia="en-IN" w:bidi="hi-IN"/>
              </w:rPr>
            </w:pPr>
            <w:r w:rsidRPr="00D33F7C">
              <w:rPr>
                <w:rFonts w:ascii="Palatino Linotype" w:eastAsia="Times New Roman" w:hAnsi="Palatino Linotype"/>
                <w:sz w:val="20"/>
                <w:szCs w:val="20"/>
                <w:lang w:val="en-IN" w:eastAsia="en-IN" w:bidi="hi-IN"/>
              </w:rPr>
              <w:t xml:space="preserve">                 12,608 </w:t>
            </w:r>
          </w:p>
        </w:tc>
        <w:tc>
          <w:tcPr>
            <w:tcW w:w="1687" w:type="dxa"/>
            <w:tcBorders>
              <w:top w:val="nil"/>
              <w:left w:val="nil"/>
              <w:bottom w:val="single" w:sz="4" w:space="0" w:color="000000"/>
              <w:right w:val="single" w:sz="4" w:space="0" w:color="000000"/>
            </w:tcBorders>
            <w:shd w:val="clear" w:color="auto" w:fill="auto"/>
            <w:noWrap/>
            <w:vAlign w:val="bottom"/>
            <w:hideMark/>
          </w:tcPr>
          <w:p w14:paraId="5BE1C1E8" w14:textId="77777777" w:rsidR="00D33F7C" w:rsidRPr="00D33F7C" w:rsidRDefault="00D33F7C" w:rsidP="00D33F7C">
            <w:pPr>
              <w:rPr>
                <w:rFonts w:ascii="Palatino Linotype" w:eastAsia="Times New Roman" w:hAnsi="Palatino Linotype"/>
                <w:sz w:val="20"/>
                <w:szCs w:val="20"/>
                <w:lang w:val="en-IN" w:eastAsia="en-IN" w:bidi="hi-IN"/>
              </w:rPr>
            </w:pPr>
            <w:r w:rsidRPr="00D33F7C">
              <w:rPr>
                <w:rFonts w:ascii="Palatino Linotype" w:eastAsia="Times New Roman" w:hAnsi="Palatino Linotype"/>
                <w:sz w:val="20"/>
                <w:szCs w:val="20"/>
                <w:lang w:val="en-IN" w:eastAsia="en-IN" w:bidi="hi-IN"/>
              </w:rPr>
              <w:t xml:space="preserve">                 14,465 </w:t>
            </w:r>
          </w:p>
        </w:tc>
        <w:tc>
          <w:tcPr>
            <w:tcW w:w="1846" w:type="dxa"/>
            <w:tcBorders>
              <w:top w:val="nil"/>
              <w:left w:val="nil"/>
              <w:bottom w:val="single" w:sz="4" w:space="0" w:color="000000"/>
              <w:right w:val="single" w:sz="4" w:space="0" w:color="000000"/>
            </w:tcBorders>
            <w:shd w:val="clear" w:color="auto" w:fill="auto"/>
            <w:noWrap/>
            <w:vAlign w:val="bottom"/>
            <w:hideMark/>
          </w:tcPr>
          <w:p w14:paraId="7ED8C51F" w14:textId="77777777" w:rsidR="00D33F7C" w:rsidRPr="00D33F7C" w:rsidRDefault="00D33F7C" w:rsidP="00D33F7C">
            <w:pPr>
              <w:jc w:val="right"/>
              <w:rPr>
                <w:rFonts w:ascii="Palatino Linotype" w:eastAsia="Times New Roman" w:hAnsi="Palatino Linotype"/>
                <w:sz w:val="20"/>
                <w:szCs w:val="20"/>
                <w:lang w:val="en-IN" w:eastAsia="en-IN" w:bidi="hi-IN"/>
              </w:rPr>
            </w:pPr>
            <w:r w:rsidRPr="00D33F7C">
              <w:rPr>
                <w:rFonts w:ascii="Palatino Linotype" w:eastAsia="Times New Roman" w:hAnsi="Palatino Linotype"/>
                <w:sz w:val="20"/>
                <w:szCs w:val="20"/>
                <w:lang w:val="en-IN" w:eastAsia="en-IN" w:bidi="hi-IN"/>
              </w:rPr>
              <w:t>14.7</w:t>
            </w:r>
          </w:p>
        </w:tc>
      </w:tr>
      <w:tr w:rsidR="00D33F7C" w:rsidRPr="00D33F7C" w14:paraId="5101D7A6" w14:textId="77777777" w:rsidTr="00E213CE">
        <w:trPr>
          <w:trHeight w:val="277"/>
        </w:trPr>
        <w:tc>
          <w:tcPr>
            <w:tcW w:w="6362" w:type="dxa"/>
            <w:gridSpan w:val="3"/>
            <w:tcBorders>
              <w:top w:val="single" w:sz="4" w:space="0" w:color="000000"/>
              <w:left w:val="single" w:sz="4" w:space="0" w:color="000000"/>
              <w:bottom w:val="single" w:sz="4" w:space="0" w:color="000000"/>
              <w:right w:val="nil"/>
            </w:tcBorders>
            <w:shd w:val="clear" w:color="C6E0B4" w:fill="C6E0B4"/>
            <w:noWrap/>
            <w:vAlign w:val="center"/>
            <w:hideMark/>
          </w:tcPr>
          <w:p w14:paraId="290003B4" w14:textId="77777777" w:rsidR="00D33F7C" w:rsidRPr="00D33F7C" w:rsidRDefault="00D33F7C" w:rsidP="00D33F7C">
            <w:pPr>
              <w:rPr>
                <w:rFonts w:ascii="Palatino Linotype" w:eastAsia="Times New Roman" w:hAnsi="Palatino Linotype"/>
                <w:b/>
                <w:bCs/>
                <w:sz w:val="20"/>
                <w:szCs w:val="20"/>
                <w:lang w:val="en-IN" w:eastAsia="en-IN" w:bidi="hi-IN"/>
              </w:rPr>
            </w:pPr>
            <w:r w:rsidRPr="00D33F7C">
              <w:rPr>
                <w:rFonts w:ascii="Palatino Linotype" w:eastAsia="Times New Roman" w:hAnsi="Palatino Linotype"/>
                <w:b/>
                <w:bCs/>
                <w:sz w:val="20"/>
                <w:szCs w:val="20"/>
                <w:lang w:val="en-IN" w:eastAsia="en-IN" w:bidi="hi-IN"/>
              </w:rPr>
              <w:t>Gross Turnover in Interest Rate Derivatives Segment (</w:t>
            </w:r>
            <w:r w:rsidRPr="00D33F7C">
              <w:rPr>
                <w:rFonts w:ascii="Tahoma" w:eastAsia="Times New Roman" w:hAnsi="Tahoma" w:cs="Tahoma"/>
                <w:b/>
                <w:bCs/>
                <w:sz w:val="20"/>
                <w:szCs w:val="20"/>
                <w:lang w:val="en-IN" w:eastAsia="en-IN" w:bidi="hi-IN"/>
              </w:rPr>
              <w:t>₹</w:t>
            </w:r>
            <w:r w:rsidRPr="00D33F7C">
              <w:rPr>
                <w:rFonts w:ascii="Palatino Linotype" w:eastAsia="Times New Roman" w:hAnsi="Palatino Linotype"/>
                <w:b/>
                <w:bCs/>
                <w:sz w:val="20"/>
                <w:szCs w:val="20"/>
                <w:lang w:val="en-IN" w:eastAsia="en-IN" w:bidi="hi-IN"/>
              </w:rPr>
              <w:t xml:space="preserve"> crore)</w:t>
            </w:r>
          </w:p>
        </w:tc>
        <w:tc>
          <w:tcPr>
            <w:tcW w:w="1846" w:type="dxa"/>
            <w:tcBorders>
              <w:top w:val="nil"/>
              <w:left w:val="nil"/>
              <w:bottom w:val="single" w:sz="4" w:space="0" w:color="000000"/>
              <w:right w:val="single" w:sz="4" w:space="0" w:color="000000"/>
            </w:tcBorders>
            <w:shd w:val="clear" w:color="C6E0B4" w:fill="C6E0B4"/>
            <w:noWrap/>
            <w:vAlign w:val="center"/>
            <w:hideMark/>
          </w:tcPr>
          <w:p w14:paraId="009AE2F7" w14:textId="77777777" w:rsidR="00D33F7C" w:rsidRPr="00D33F7C" w:rsidRDefault="00D33F7C" w:rsidP="00D33F7C">
            <w:pPr>
              <w:rPr>
                <w:rFonts w:ascii="Palatino Linotype" w:eastAsia="Times New Roman" w:hAnsi="Palatino Linotype"/>
                <w:b/>
                <w:bCs/>
                <w:sz w:val="20"/>
                <w:szCs w:val="20"/>
                <w:lang w:val="en-IN" w:eastAsia="en-IN" w:bidi="hi-IN"/>
              </w:rPr>
            </w:pPr>
            <w:r w:rsidRPr="00D33F7C">
              <w:rPr>
                <w:rFonts w:ascii="Palatino Linotype" w:eastAsia="Times New Roman" w:hAnsi="Palatino Linotype"/>
                <w:b/>
                <w:bCs/>
                <w:sz w:val="20"/>
                <w:szCs w:val="20"/>
                <w:lang w:val="en-IN" w:eastAsia="en-IN" w:bidi="hi-IN"/>
              </w:rPr>
              <w:t> </w:t>
            </w:r>
          </w:p>
        </w:tc>
      </w:tr>
      <w:tr w:rsidR="00D33F7C" w:rsidRPr="00D33F7C" w14:paraId="23ACD7EC" w14:textId="77777777" w:rsidTr="00E213CE">
        <w:trPr>
          <w:trHeight w:val="277"/>
        </w:trPr>
        <w:tc>
          <w:tcPr>
            <w:tcW w:w="2987" w:type="dxa"/>
            <w:tcBorders>
              <w:top w:val="nil"/>
              <w:left w:val="single" w:sz="4" w:space="0" w:color="000000"/>
              <w:bottom w:val="single" w:sz="4" w:space="0" w:color="000000"/>
              <w:right w:val="single" w:sz="4" w:space="0" w:color="000000"/>
            </w:tcBorders>
            <w:shd w:val="clear" w:color="auto" w:fill="auto"/>
            <w:noWrap/>
            <w:vAlign w:val="bottom"/>
            <w:hideMark/>
          </w:tcPr>
          <w:p w14:paraId="4EBAE4CE" w14:textId="77777777" w:rsidR="00D33F7C" w:rsidRPr="00D33F7C" w:rsidRDefault="00D33F7C" w:rsidP="00D33F7C">
            <w:pPr>
              <w:rPr>
                <w:rFonts w:ascii="Palatino Linotype" w:eastAsia="Times New Roman" w:hAnsi="Palatino Linotype"/>
                <w:sz w:val="20"/>
                <w:szCs w:val="20"/>
                <w:lang w:val="en-IN" w:eastAsia="en-IN" w:bidi="hi-IN"/>
              </w:rPr>
            </w:pPr>
            <w:r w:rsidRPr="00D33F7C">
              <w:rPr>
                <w:rFonts w:ascii="Palatino Linotype" w:eastAsia="Times New Roman" w:hAnsi="Palatino Linotype"/>
                <w:sz w:val="20"/>
                <w:szCs w:val="20"/>
                <w:lang w:val="en-IN" w:eastAsia="en-IN" w:bidi="hi-IN"/>
              </w:rPr>
              <w:t xml:space="preserve">BSE </w:t>
            </w:r>
          </w:p>
        </w:tc>
        <w:tc>
          <w:tcPr>
            <w:tcW w:w="1687" w:type="dxa"/>
            <w:tcBorders>
              <w:top w:val="nil"/>
              <w:left w:val="nil"/>
              <w:bottom w:val="single" w:sz="4" w:space="0" w:color="000000"/>
              <w:right w:val="single" w:sz="4" w:space="0" w:color="000000"/>
            </w:tcBorders>
            <w:shd w:val="clear" w:color="auto" w:fill="auto"/>
            <w:noWrap/>
            <w:vAlign w:val="bottom"/>
            <w:hideMark/>
          </w:tcPr>
          <w:p w14:paraId="72E88E8C" w14:textId="77777777" w:rsidR="00D33F7C" w:rsidRPr="00D33F7C" w:rsidRDefault="00D33F7C" w:rsidP="00D33F7C">
            <w:pPr>
              <w:rPr>
                <w:rFonts w:ascii="Palatino Linotype" w:eastAsia="Times New Roman" w:hAnsi="Palatino Linotype"/>
                <w:sz w:val="20"/>
                <w:szCs w:val="20"/>
                <w:lang w:val="en-IN" w:eastAsia="en-IN" w:bidi="hi-IN"/>
              </w:rPr>
            </w:pPr>
            <w:r w:rsidRPr="00D33F7C">
              <w:rPr>
                <w:rFonts w:ascii="Palatino Linotype" w:eastAsia="Times New Roman" w:hAnsi="Palatino Linotype"/>
                <w:sz w:val="20"/>
                <w:szCs w:val="20"/>
                <w:lang w:val="en-IN" w:eastAsia="en-IN" w:bidi="hi-IN"/>
              </w:rPr>
              <w:t xml:space="preserve">                    2,276 </w:t>
            </w:r>
          </w:p>
        </w:tc>
        <w:tc>
          <w:tcPr>
            <w:tcW w:w="1687" w:type="dxa"/>
            <w:tcBorders>
              <w:top w:val="nil"/>
              <w:left w:val="nil"/>
              <w:bottom w:val="single" w:sz="4" w:space="0" w:color="000000"/>
              <w:right w:val="single" w:sz="4" w:space="0" w:color="000000"/>
            </w:tcBorders>
            <w:shd w:val="clear" w:color="auto" w:fill="auto"/>
            <w:noWrap/>
            <w:vAlign w:val="bottom"/>
            <w:hideMark/>
          </w:tcPr>
          <w:p w14:paraId="5EB17749" w14:textId="77777777" w:rsidR="00D33F7C" w:rsidRPr="00D33F7C" w:rsidRDefault="00D33F7C" w:rsidP="00D33F7C">
            <w:pPr>
              <w:rPr>
                <w:rFonts w:ascii="Palatino Linotype" w:eastAsia="Times New Roman" w:hAnsi="Palatino Linotype"/>
                <w:sz w:val="20"/>
                <w:szCs w:val="20"/>
                <w:lang w:val="en-IN" w:eastAsia="en-IN" w:bidi="hi-IN"/>
              </w:rPr>
            </w:pPr>
            <w:r w:rsidRPr="00D33F7C">
              <w:rPr>
                <w:rFonts w:ascii="Palatino Linotype" w:eastAsia="Times New Roman" w:hAnsi="Palatino Linotype"/>
                <w:sz w:val="20"/>
                <w:szCs w:val="20"/>
                <w:lang w:val="en-IN" w:eastAsia="en-IN" w:bidi="hi-IN"/>
              </w:rPr>
              <w:t xml:space="preserve">                    3,124 </w:t>
            </w:r>
          </w:p>
        </w:tc>
        <w:tc>
          <w:tcPr>
            <w:tcW w:w="1846" w:type="dxa"/>
            <w:tcBorders>
              <w:top w:val="nil"/>
              <w:left w:val="nil"/>
              <w:bottom w:val="single" w:sz="4" w:space="0" w:color="000000"/>
              <w:right w:val="single" w:sz="4" w:space="0" w:color="000000"/>
            </w:tcBorders>
            <w:shd w:val="clear" w:color="auto" w:fill="auto"/>
            <w:noWrap/>
            <w:vAlign w:val="bottom"/>
            <w:hideMark/>
          </w:tcPr>
          <w:p w14:paraId="593A110C" w14:textId="77777777" w:rsidR="00D33F7C" w:rsidRPr="00D33F7C" w:rsidRDefault="00D33F7C" w:rsidP="00D33F7C">
            <w:pPr>
              <w:jc w:val="right"/>
              <w:rPr>
                <w:rFonts w:ascii="Palatino Linotype" w:eastAsia="Times New Roman" w:hAnsi="Palatino Linotype"/>
                <w:sz w:val="20"/>
                <w:szCs w:val="20"/>
                <w:lang w:val="en-IN" w:eastAsia="en-IN" w:bidi="hi-IN"/>
              </w:rPr>
            </w:pPr>
            <w:r w:rsidRPr="00D33F7C">
              <w:rPr>
                <w:rFonts w:ascii="Palatino Linotype" w:eastAsia="Times New Roman" w:hAnsi="Palatino Linotype"/>
                <w:sz w:val="20"/>
                <w:szCs w:val="20"/>
                <w:lang w:val="en-IN" w:eastAsia="en-IN" w:bidi="hi-IN"/>
              </w:rPr>
              <w:t>37.3</w:t>
            </w:r>
          </w:p>
        </w:tc>
      </w:tr>
      <w:tr w:rsidR="00D33F7C" w:rsidRPr="00D33F7C" w14:paraId="20496654" w14:textId="77777777" w:rsidTr="00E213CE">
        <w:trPr>
          <w:trHeight w:val="277"/>
        </w:trPr>
        <w:tc>
          <w:tcPr>
            <w:tcW w:w="2987" w:type="dxa"/>
            <w:tcBorders>
              <w:top w:val="nil"/>
              <w:left w:val="single" w:sz="4" w:space="0" w:color="000000"/>
              <w:bottom w:val="single" w:sz="4" w:space="0" w:color="000000"/>
              <w:right w:val="single" w:sz="4" w:space="0" w:color="000000"/>
            </w:tcBorders>
            <w:shd w:val="clear" w:color="auto" w:fill="auto"/>
            <w:noWrap/>
            <w:vAlign w:val="bottom"/>
            <w:hideMark/>
          </w:tcPr>
          <w:p w14:paraId="38E4350D" w14:textId="77777777" w:rsidR="00D33F7C" w:rsidRPr="00D33F7C" w:rsidRDefault="00D33F7C" w:rsidP="00D33F7C">
            <w:pPr>
              <w:rPr>
                <w:rFonts w:ascii="Palatino Linotype" w:eastAsia="Times New Roman" w:hAnsi="Palatino Linotype"/>
                <w:sz w:val="20"/>
                <w:szCs w:val="20"/>
                <w:lang w:val="en-IN" w:eastAsia="en-IN" w:bidi="hi-IN"/>
              </w:rPr>
            </w:pPr>
            <w:r w:rsidRPr="00D33F7C">
              <w:rPr>
                <w:rFonts w:ascii="Palatino Linotype" w:eastAsia="Times New Roman" w:hAnsi="Palatino Linotype"/>
                <w:sz w:val="20"/>
                <w:szCs w:val="20"/>
                <w:lang w:val="en-IN" w:eastAsia="en-IN" w:bidi="hi-IN"/>
              </w:rPr>
              <w:t>NSE</w:t>
            </w:r>
          </w:p>
        </w:tc>
        <w:tc>
          <w:tcPr>
            <w:tcW w:w="1687" w:type="dxa"/>
            <w:tcBorders>
              <w:top w:val="nil"/>
              <w:left w:val="nil"/>
              <w:bottom w:val="single" w:sz="4" w:space="0" w:color="000000"/>
              <w:right w:val="single" w:sz="4" w:space="0" w:color="000000"/>
            </w:tcBorders>
            <w:shd w:val="clear" w:color="auto" w:fill="auto"/>
            <w:noWrap/>
            <w:vAlign w:val="bottom"/>
            <w:hideMark/>
          </w:tcPr>
          <w:p w14:paraId="25D41608" w14:textId="77777777" w:rsidR="00D33F7C" w:rsidRPr="00D33F7C" w:rsidRDefault="00D33F7C" w:rsidP="00D33F7C">
            <w:pPr>
              <w:rPr>
                <w:rFonts w:ascii="Palatino Linotype" w:eastAsia="Times New Roman" w:hAnsi="Palatino Linotype"/>
                <w:sz w:val="20"/>
                <w:szCs w:val="20"/>
                <w:lang w:val="en-IN" w:eastAsia="en-IN" w:bidi="hi-IN"/>
              </w:rPr>
            </w:pPr>
            <w:r w:rsidRPr="00D33F7C">
              <w:rPr>
                <w:rFonts w:ascii="Palatino Linotype" w:eastAsia="Times New Roman" w:hAnsi="Palatino Linotype"/>
                <w:sz w:val="20"/>
                <w:szCs w:val="20"/>
                <w:lang w:val="en-IN" w:eastAsia="en-IN" w:bidi="hi-IN"/>
              </w:rPr>
              <w:t xml:space="preserve">                    2,811 </w:t>
            </w:r>
          </w:p>
        </w:tc>
        <w:tc>
          <w:tcPr>
            <w:tcW w:w="1687" w:type="dxa"/>
            <w:tcBorders>
              <w:top w:val="nil"/>
              <w:left w:val="nil"/>
              <w:bottom w:val="single" w:sz="4" w:space="0" w:color="000000"/>
              <w:right w:val="single" w:sz="4" w:space="0" w:color="000000"/>
            </w:tcBorders>
            <w:shd w:val="clear" w:color="auto" w:fill="auto"/>
            <w:noWrap/>
            <w:vAlign w:val="bottom"/>
            <w:hideMark/>
          </w:tcPr>
          <w:p w14:paraId="545DF05F" w14:textId="77777777" w:rsidR="00D33F7C" w:rsidRPr="00D33F7C" w:rsidRDefault="00D33F7C" w:rsidP="00D33F7C">
            <w:pPr>
              <w:rPr>
                <w:rFonts w:ascii="Palatino Linotype" w:eastAsia="Times New Roman" w:hAnsi="Palatino Linotype"/>
                <w:sz w:val="20"/>
                <w:szCs w:val="20"/>
                <w:lang w:val="en-IN" w:eastAsia="en-IN" w:bidi="hi-IN"/>
              </w:rPr>
            </w:pPr>
            <w:r w:rsidRPr="00D33F7C">
              <w:rPr>
                <w:rFonts w:ascii="Palatino Linotype" w:eastAsia="Times New Roman" w:hAnsi="Palatino Linotype"/>
                <w:sz w:val="20"/>
                <w:szCs w:val="20"/>
                <w:lang w:val="en-IN" w:eastAsia="en-IN" w:bidi="hi-IN"/>
              </w:rPr>
              <w:t xml:space="preserve">                    1,966 </w:t>
            </w:r>
          </w:p>
        </w:tc>
        <w:tc>
          <w:tcPr>
            <w:tcW w:w="1846" w:type="dxa"/>
            <w:tcBorders>
              <w:top w:val="nil"/>
              <w:left w:val="nil"/>
              <w:bottom w:val="single" w:sz="4" w:space="0" w:color="000000"/>
              <w:right w:val="single" w:sz="4" w:space="0" w:color="000000"/>
            </w:tcBorders>
            <w:shd w:val="clear" w:color="auto" w:fill="auto"/>
            <w:noWrap/>
            <w:vAlign w:val="bottom"/>
            <w:hideMark/>
          </w:tcPr>
          <w:p w14:paraId="32DB4095" w14:textId="77777777" w:rsidR="00D33F7C" w:rsidRPr="00D33F7C" w:rsidRDefault="00D33F7C" w:rsidP="00D33F7C">
            <w:pPr>
              <w:jc w:val="right"/>
              <w:rPr>
                <w:rFonts w:ascii="Palatino Linotype" w:eastAsia="Times New Roman" w:hAnsi="Palatino Linotype"/>
                <w:sz w:val="20"/>
                <w:szCs w:val="20"/>
                <w:lang w:val="en-IN" w:eastAsia="en-IN" w:bidi="hi-IN"/>
              </w:rPr>
            </w:pPr>
            <w:r w:rsidRPr="00D33F7C">
              <w:rPr>
                <w:rFonts w:ascii="Palatino Linotype" w:eastAsia="Times New Roman" w:hAnsi="Palatino Linotype"/>
                <w:sz w:val="20"/>
                <w:szCs w:val="20"/>
                <w:lang w:val="en-IN" w:eastAsia="en-IN" w:bidi="hi-IN"/>
              </w:rPr>
              <w:t>-30.1</w:t>
            </w:r>
          </w:p>
        </w:tc>
      </w:tr>
    </w:tbl>
    <w:p w14:paraId="3AE761F5" w14:textId="64DB16FA" w:rsidR="00D33F7C" w:rsidRPr="00D33F7C" w:rsidRDefault="00D33F7C" w:rsidP="00D33F7C">
      <w:pPr>
        <w:spacing w:line="276" w:lineRule="auto"/>
        <w:rPr>
          <w:rFonts w:ascii="Palatino Linotype" w:eastAsia="Palatino Linotype" w:hAnsi="Palatino Linotype" w:cs="Palatino Linotype"/>
          <w:b/>
          <w:sz w:val="18"/>
          <w:szCs w:val="18"/>
        </w:rPr>
      </w:pPr>
      <w:r w:rsidRPr="00D33F7C">
        <w:rPr>
          <w:rFonts w:ascii="Palatino Linotype" w:eastAsia="Palatino Linotype" w:hAnsi="Palatino Linotype" w:cs="Palatino Linotype"/>
          <w:b/>
          <w:sz w:val="18"/>
          <w:szCs w:val="18"/>
        </w:rPr>
        <w:t>Note: #NSE change</w:t>
      </w:r>
      <w:r w:rsidR="00B84302">
        <w:rPr>
          <w:rFonts w:ascii="Palatino Linotype" w:eastAsia="Palatino Linotype" w:hAnsi="Palatino Linotype" w:cs="Palatino Linotype"/>
          <w:b/>
          <w:sz w:val="18"/>
          <w:szCs w:val="18"/>
        </w:rPr>
        <w:t>d</w:t>
      </w:r>
      <w:r w:rsidRPr="00D33F7C">
        <w:rPr>
          <w:rFonts w:ascii="Palatino Linotype" w:eastAsia="Palatino Linotype" w:hAnsi="Palatino Linotype" w:cs="Palatino Linotype"/>
          <w:b/>
          <w:sz w:val="18"/>
          <w:szCs w:val="18"/>
        </w:rPr>
        <w:t xml:space="preserve"> the PE methodology </w:t>
      </w:r>
      <w:r w:rsidR="007C2581">
        <w:rPr>
          <w:rFonts w:ascii="Palatino Linotype" w:eastAsia="Palatino Linotype" w:hAnsi="Palatino Linotype" w:cs="Palatino Linotype"/>
          <w:b/>
          <w:sz w:val="18"/>
          <w:szCs w:val="18"/>
        </w:rPr>
        <w:t xml:space="preserve">incorporating </w:t>
      </w:r>
      <w:r w:rsidRPr="00D33F7C">
        <w:rPr>
          <w:rFonts w:ascii="Palatino Linotype" w:eastAsia="Palatino Linotype" w:hAnsi="Palatino Linotype" w:cs="Palatino Linotype"/>
          <w:b/>
          <w:sz w:val="18"/>
          <w:szCs w:val="18"/>
        </w:rPr>
        <w:t>consolidated earning</w:t>
      </w:r>
      <w:r w:rsidR="007C2581">
        <w:rPr>
          <w:rFonts w:ascii="Palatino Linotype" w:eastAsia="Palatino Linotype" w:hAnsi="Palatino Linotype" w:cs="Palatino Linotype"/>
          <w:b/>
          <w:sz w:val="18"/>
          <w:szCs w:val="18"/>
        </w:rPr>
        <w:t>s</w:t>
      </w:r>
      <w:r w:rsidRPr="00D33F7C">
        <w:rPr>
          <w:rFonts w:ascii="Palatino Linotype" w:eastAsia="Palatino Linotype" w:hAnsi="Palatino Linotype" w:cs="Palatino Linotype"/>
          <w:b/>
          <w:sz w:val="18"/>
          <w:szCs w:val="18"/>
        </w:rPr>
        <w:t xml:space="preserve"> w.e.f. March 31, 2021</w:t>
      </w:r>
    </w:p>
    <w:p w14:paraId="59A5CBBE" w14:textId="77777777" w:rsidR="00D33F7C" w:rsidRPr="00D33F7C" w:rsidRDefault="00D33F7C" w:rsidP="00D33F7C">
      <w:pPr>
        <w:spacing w:line="276" w:lineRule="auto"/>
        <w:rPr>
          <w:rFonts w:ascii="Palatino Linotype" w:eastAsia="Palatino Linotype" w:hAnsi="Palatino Linotype" w:cs="Palatino Linotype"/>
          <w:b/>
          <w:sz w:val="18"/>
          <w:szCs w:val="18"/>
        </w:rPr>
      </w:pPr>
      <w:r w:rsidRPr="00D33F7C">
        <w:rPr>
          <w:rFonts w:ascii="Palatino Linotype" w:eastAsia="Palatino Linotype" w:hAnsi="Palatino Linotype" w:cs="Palatino Linotype"/>
          <w:b/>
          <w:sz w:val="18"/>
          <w:szCs w:val="18"/>
        </w:rPr>
        <w:t>Source: BSE, NSE and MSEI</w:t>
      </w:r>
      <w:r w:rsidRPr="00D33F7C">
        <w:rPr>
          <w:rFonts w:ascii="Palatino Linotype" w:eastAsia="Palatino Linotype" w:hAnsi="Palatino Linotype" w:cs="Palatino Linotype"/>
          <w:b/>
          <w:sz w:val="18"/>
          <w:szCs w:val="18"/>
        </w:rPr>
        <w:br w:type="page"/>
      </w:r>
    </w:p>
    <w:p w14:paraId="48862CC3" w14:textId="77777777" w:rsidR="00D33F7C" w:rsidRPr="00D33F7C" w:rsidRDefault="00D33F7C" w:rsidP="00D33F7C">
      <w:pPr>
        <w:pBdr>
          <w:top w:val="nil"/>
          <w:left w:val="nil"/>
          <w:bottom w:val="nil"/>
          <w:right w:val="nil"/>
          <w:between w:val="nil"/>
        </w:pBdr>
        <w:spacing w:line="276" w:lineRule="auto"/>
        <w:ind w:left="720" w:hanging="720"/>
        <w:jc w:val="center"/>
        <w:rPr>
          <w:rFonts w:ascii="Palatino Linotype" w:eastAsia="Palatino Linotype" w:hAnsi="Palatino Linotype" w:cs="Palatino Linotype"/>
          <w:b/>
          <w:sz w:val="22"/>
          <w:szCs w:val="22"/>
        </w:rPr>
      </w:pPr>
      <w:r w:rsidRPr="00D33F7C">
        <w:rPr>
          <w:rFonts w:ascii="Palatino Linotype" w:eastAsia="Palatino Linotype" w:hAnsi="Palatino Linotype" w:cs="Palatino Linotype"/>
          <w:b/>
          <w:sz w:val="22"/>
          <w:szCs w:val="22"/>
        </w:rPr>
        <w:lastRenderedPageBreak/>
        <w:t>Figure 1: Movement of S&amp;P BSE Sensex and Nifty 50 during June 2021</w:t>
      </w:r>
    </w:p>
    <w:p w14:paraId="5E700E87" w14:textId="77777777" w:rsidR="00D33F7C" w:rsidRPr="00D33F7C" w:rsidRDefault="00D33F7C" w:rsidP="00D33F7C">
      <w:pPr>
        <w:spacing w:line="276" w:lineRule="auto"/>
        <w:rPr>
          <w:rFonts w:ascii="Palatino Linotype" w:eastAsia="Palatino Linotype" w:hAnsi="Palatino Linotype" w:cs="Palatino Linotype"/>
          <w:bCs/>
          <w:sz w:val="22"/>
          <w:szCs w:val="22"/>
          <w:highlight w:val="yellow"/>
        </w:rPr>
      </w:pPr>
      <w:r w:rsidRPr="00D33F7C">
        <w:rPr>
          <w:noProof/>
          <w:lang w:val="en-IN" w:eastAsia="en-IN" w:bidi="hi-IN"/>
        </w:rPr>
        <w:drawing>
          <wp:inline distT="0" distB="0" distL="0" distR="0" wp14:anchorId="21B6906C" wp14:editId="73CF4DFB">
            <wp:extent cx="5876926" cy="2628900"/>
            <wp:effectExtent l="0" t="0" r="9525" b="0"/>
            <wp:docPr id="3" name="Chart 3">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BEA3B25" w14:textId="77777777" w:rsidR="00D33F7C" w:rsidRPr="00D33F7C" w:rsidRDefault="00D33F7C" w:rsidP="00D33F7C">
      <w:pPr>
        <w:spacing w:line="276" w:lineRule="auto"/>
        <w:rPr>
          <w:rFonts w:ascii="Palatino Linotype" w:eastAsia="Palatino Linotype" w:hAnsi="Palatino Linotype" w:cs="Palatino Linotype"/>
          <w:b/>
          <w:i/>
          <w:iCs/>
          <w:sz w:val="18"/>
          <w:szCs w:val="18"/>
        </w:rPr>
      </w:pPr>
      <w:r w:rsidRPr="00D33F7C">
        <w:rPr>
          <w:rFonts w:ascii="Palatino Linotype" w:eastAsia="Palatino Linotype" w:hAnsi="Palatino Linotype" w:cs="Palatino Linotype"/>
          <w:b/>
          <w:i/>
          <w:iCs/>
          <w:sz w:val="18"/>
          <w:szCs w:val="18"/>
        </w:rPr>
        <w:t xml:space="preserve">Note: The closing values of Nifty 50 and Sensex have been rebased with respective closing values of last day of the previous month. </w:t>
      </w:r>
    </w:p>
    <w:p w14:paraId="33EBB5B6" w14:textId="77777777" w:rsidR="00D33F7C" w:rsidRPr="00D33F7C" w:rsidRDefault="00D33F7C" w:rsidP="00D33F7C">
      <w:pPr>
        <w:spacing w:line="276" w:lineRule="auto"/>
        <w:rPr>
          <w:rFonts w:ascii="Palatino Linotype" w:eastAsia="Palatino Linotype" w:hAnsi="Palatino Linotype" w:cs="Palatino Linotype"/>
          <w:b/>
          <w:sz w:val="18"/>
          <w:szCs w:val="18"/>
        </w:rPr>
      </w:pPr>
      <w:r w:rsidRPr="00D33F7C">
        <w:rPr>
          <w:rFonts w:ascii="Palatino Linotype" w:eastAsia="Palatino Linotype" w:hAnsi="Palatino Linotype" w:cs="Palatino Linotype"/>
          <w:b/>
          <w:sz w:val="18"/>
          <w:szCs w:val="18"/>
        </w:rPr>
        <w:t xml:space="preserve"> Source: BSE and NSE</w:t>
      </w:r>
    </w:p>
    <w:p w14:paraId="74A6D497" w14:textId="77777777" w:rsidR="00D33F7C" w:rsidRPr="00D33F7C" w:rsidRDefault="00D33F7C" w:rsidP="00D33F7C">
      <w:pPr>
        <w:spacing w:line="276" w:lineRule="auto"/>
        <w:rPr>
          <w:rFonts w:ascii="Palatino Linotype" w:eastAsia="Palatino Linotype" w:hAnsi="Palatino Linotype" w:cs="Palatino Linotype"/>
          <w:b/>
          <w:sz w:val="22"/>
          <w:szCs w:val="22"/>
        </w:rPr>
      </w:pPr>
    </w:p>
    <w:p w14:paraId="3F369E04" w14:textId="440D5900" w:rsidR="00D33F7C" w:rsidRPr="00D33F7C" w:rsidRDefault="00D33F7C" w:rsidP="00D33F7C">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D33F7C">
        <w:rPr>
          <w:rFonts w:ascii="Palatino Linotype" w:eastAsia="Palatino Linotype" w:hAnsi="Palatino Linotype" w:cs="Palatino Linotype"/>
          <w:sz w:val="22"/>
          <w:szCs w:val="22"/>
        </w:rPr>
        <w:t xml:space="preserve">At the end of June 2021, the market capitalisation of both BSE and NSE increased by 3.0 per cent each over the level as at the end of previous month.  </w:t>
      </w:r>
    </w:p>
    <w:p w14:paraId="2D58CE5B" w14:textId="77777777" w:rsidR="00D33F7C" w:rsidRPr="00D33F7C" w:rsidRDefault="00D33F7C" w:rsidP="00D33F7C">
      <w:pPr>
        <w:pBdr>
          <w:top w:val="nil"/>
          <w:left w:val="nil"/>
          <w:bottom w:val="nil"/>
          <w:right w:val="nil"/>
          <w:between w:val="nil"/>
        </w:pBdr>
        <w:spacing w:line="276" w:lineRule="auto"/>
        <w:jc w:val="both"/>
        <w:rPr>
          <w:rFonts w:ascii="Palatino Linotype" w:eastAsia="Palatino Linotype" w:hAnsi="Palatino Linotype" w:cs="Palatino Linotype"/>
          <w:color w:val="2E74B5"/>
          <w:sz w:val="22"/>
          <w:szCs w:val="22"/>
          <w:highlight w:val="yellow"/>
        </w:rPr>
      </w:pPr>
    </w:p>
    <w:p w14:paraId="42F136CD" w14:textId="77777777" w:rsidR="00D33F7C" w:rsidRPr="00D33F7C" w:rsidRDefault="00D33F7C" w:rsidP="00D33F7C">
      <w:pPr>
        <w:pBdr>
          <w:top w:val="nil"/>
          <w:left w:val="nil"/>
          <w:bottom w:val="nil"/>
          <w:right w:val="nil"/>
          <w:between w:val="nil"/>
        </w:pBdr>
        <w:spacing w:line="276" w:lineRule="auto"/>
        <w:ind w:left="720" w:hanging="720"/>
        <w:jc w:val="center"/>
        <w:rPr>
          <w:rFonts w:ascii="Palatino Linotype" w:eastAsia="Palatino Linotype" w:hAnsi="Palatino Linotype" w:cs="Palatino Linotype"/>
          <w:b/>
          <w:sz w:val="22"/>
          <w:szCs w:val="22"/>
          <w:highlight w:val="yellow"/>
        </w:rPr>
      </w:pPr>
      <w:r w:rsidRPr="00D33F7C">
        <w:rPr>
          <w:rFonts w:ascii="Palatino Linotype" w:eastAsia="Palatino Linotype" w:hAnsi="Palatino Linotype" w:cs="Palatino Linotype"/>
          <w:b/>
          <w:sz w:val="22"/>
          <w:szCs w:val="22"/>
        </w:rPr>
        <w:t xml:space="preserve">Figure 2: Trends in Average Daily Values of Nifty 50 and Average Daily Turnover of NSE Equity Cash Segment </w:t>
      </w:r>
    </w:p>
    <w:p w14:paraId="3AD023B9" w14:textId="77777777" w:rsidR="00D33F7C" w:rsidRPr="00D33F7C" w:rsidRDefault="00D33F7C" w:rsidP="00D33F7C">
      <w:pPr>
        <w:pBdr>
          <w:top w:val="nil"/>
          <w:left w:val="nil"/>
          <w:bottom w:val="nil"/>
          <w:right w:val="nil"/>
          <w:between w:val="nil"/>
        </w:pBdr>
        <w:spacing w:line="276" w:lineRule="auto"/>
        <w:ind w:left="720" w:hanging="720"/>
        <w:jc w:val="center"/>
        <w:rPr>
          <w:rFonts w:ascii="Palatino Linotype" w:eastAsia="Palatino Linotype" w:hAnsi="Palatino Linotype" w:cs="Palatino Linotype"/>
          <w:b/>
          <w:color w:val="2E74B5"/>
          <w:sz w:val="22"/>
          <w:szCs w:val="22"/>
          <w:highlight w:val="yellow"/>
        </w:rPr>
      </w:pPr>
      <w:r w:rsidRPr="00D33F7C">
        <w:rPr>
          <w:noProof/>
          <w:lang w:val="en-IN" w:eastAsia="en-IN" w:bidi="hi-IN"/>
        </w:rPr>
        <w:drawing>
          <wp:inline distT="0" distB="0" distL="0" distR="0" wp14:anchorId="72EF92B6" wp14:editId="6BDC4C1F">
            <wp:extent cx="4572000" cy="2743200"/>
            <wp:effectExtent l="0" t="0" r="0" b="0"/>
            <wp:docPr id="6" name="Chart 6">
              <a:extLst xmlns:a="http://schemas.openxmlformats.org/drawingml/2006/main">
                <a:ext uri="{FF2B5EF4-FFF2-40B4-BE49-F238E27FC236}">
                  <a16:creationId xmlns:a16="http://schemas.microsoft.com/office/drawing/2014/main" id="{00000000-0008-0000-04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DF75476" w14:textId="77777777" w:rsidR="00D33F7C" w:rsidRPr="00D33F7C" w:rsidRDefault="00D33F7C" w:rsidP="00D33F7C">
      <w:pPr>
        <w:spacing w:line="276" w:lineRule="auto"/>
        <w:rPr>
          <w:rFonts w:ascii="Palatino Linotype" w:eastAsia="Palatino Linotype" w:hAnsi="Palatino Linotype" w:cs="Palatino Linotype"/>
          <w:b/>
          <w:sz w:val="18"/>
          <w:szCs w:val="18"/>
        </w:rPr>
      </w:pPr>
      <w:r w:rsidRPr="00D33F7C">
        <w:rPr>
          <w:rFonts w:ascii="Palatino Linotype" w:eastAsia="Palatino Linotype" w:hAnsi="Palatino Linotype" w:cs="Palatino Linotype"/>
          <w:b/>
          <w:sz w:val="18"/>
          <w:szCs w:val="18"/>
        </w:rPr>
        <w:t xml:space="preserve">    Note: ADV implies Average Daily Values and ADT implies Average Daily Turnover</w:t>
      </w:r>
    </w:p>
    <w:p w14:paraId="74700E0D" w14:textId="77777777" w:rsidR="00D33F7C" w:rsidRPr="00D33F7C" w:rsidRDefault="00D33F7C" w:rsidP="00D33F7C">
      <w:pPr>
        <w:spacing w:line="276" w:lineRule="auto"/>
        <w:rPr>
          <w:rFonts w:ascii="Palatino Linotype" w:eastAsia="Palatino Linotype" w:hAnsi="Palatino Linotype" w:cs="Palatino Linotype"/>
          <w:b/>
          <w:sz w:val="18"/>
          <w:szCs w:val="18"/>
        </w:rPr>
      </w:pPr>
      <w:r w:rsidRPr="00D33F7C">
        <w:rPr>
          <w:rFonts w:ascii="Palatino Linotype" w:eastAsia="Palatino Linotype" w:hAnsi="Palatino Linotype" w:cs="Palatino Linotype"/>
          <w:b/>
          <w:sz w:val="18"/>
          <w:szCs w:val="18"/>
        </w:rPr>
        <w:t xml:space="preserve">     Source: NSE  </w:t>
      </w:r>
      <w:r w:rsidRPr="00D33F7C">
        <w:rPr>
          <w:rFonts w:ascii="Palatino Linotype" w:eastAsia="Palatino Linotype" w:hAnsi="Palatino Linotype" w:cs="Palatino Linotype"/>
          <w:b/>
          <w:sz w:val="18"/>
          <w:szCs w:val="18"/>
        </w:rPr>
        <w:br w:type="page"/>
      </w:r>
    </w:p>
    <w:p w14:paraId="09D80B1A" w14:textId="77777777" w:rsidR="00D33F7C" w:rsidRPr="00D33F7C" w:rsidRDefault="00D33F7C" w:rsidP="00D33F7C">
      <w:pPr>
        <w:pBdr>
          <w:top w:val="nil"/>
          <w:left w:val="nil"/>
          <w:bottom w:val="nil"/>
          <w:right w:val="nil"/>
          <w:between w:val="nil"/>
        </w:pBdr>
        <w:spacing w:line="276" w:lineRule="auto"/>
        <w:jc w:val="center"/>
        <w:rPr>
          <w:noProof/>
          <w:lang w:val="en-IN" w:eastAsia="en-IN" w:bidi="hi-IN"/>
        </w:rPr>
      </w:pPr>
      <w:r w:rsidRPr="00D33F7C">
        <w:rPr>
          <w:rFonts w:ascii="Palatino Linotype" w:eastAsia="Palatino Linotype" w:hAnsi="Palatino Linotype" w:cs="Palatino Linotype"/>
          <w:b/>
          <w:sz w:val="22"/>
          <w:szCs w:val="22"/>
        </w:rPr>
        <w:lastRenderedPageBreak/>
        <w:t xml:space="preserve">Figure 3: Trends in Average Daily Values of Sensex and Average Daily Turnover of BSE Equity Cash Segment </w:t>
      </w:r>
    </w:p>
    <w:p w14:paraId="402E9A05" w14:textId="77777777" w:rsidR="00D33F7C" w:rsidRPr="00D33F7C" w:rsidRDefault="00D33F7C" w:rsidP="00D33F7C">
      <w:pPr>
        <w:pBdr>
          <w:top w:val="nil"/>
          <w:left w:val="nil"/>
          <w:bottom w:val="nil"/>
          <w:right w:val="nil"/>
          <w:between w:val="nil"/>
        </w:pBdr>
        <w:spacing w:line="276" w:lineRule="auto"/>
        <w:jc w:val="center"/>
        <w:rPr>
          <w:rFonts w:ascii="Palatino Linotype" w:eastAsia="Palatino Linotype" w:hAnsi="Palatino Linotype" w:cs="Palatino Linotype"/>
          <w:b/>
          <w:color w:val="2E74B5"/>
          <w:sz w:val="22"/>
          <w:szCs w:val="22"/>
          <w:highlight w:val="yellow"/>
        </w:rPr>
      </w:pPr>
      <w:r w:rsidRPr="00D33F7C">
        <w:rPr>
          <w:noProof/>
          <w:lang w:val="en-IN" w:eastAsia="en-IN" w:bidi="hi-IN"/>
        </w:rPr>
        <w:drawing>
          <wp:inline distT="0" distB="0" distL="0" distR="0" wp14:anchorId="7D6132C6" wp14:editId="14E5DD54">
            <wp:extent cx="4848225" cy="2762250"/>
            <wp:effectExtent l="0" t="0" r="9525" b="0"/>
            <wp:docPr id="7" name="Chart 7">
              <a:extLst xmlns:a="http://schemas.openxmlformats.org/drawingml/2006/main">
                <a:ext uri="{FF2B5EF4-FFF2-40B4-BE49-F238E27FC236}">
                  <a16:creationId xmlns:a16="http://schemas.microsoft.com/office/drawing/2014/main" id="{00000000-0008-0000-04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6D786C9" w14:textId="77777777" w:rsidR="00D33F7C" w:rsidRPr="00D33F7C" w:rsidRDefault="00D33F7C" w:rsidP="00D33F7C">
      <w:pPr>
        <w:spacing w:line="276" w:lineRule="auto"/>
        <w:rPr>
          <w:rFonts w:ascii="Palatino Linotype" w:eastAsia="Palatino Linotype" w:hAnsi="Palatino Linotype" w:cs="Palatino Linotype"/>
          <w:b/>
          <w:sz w:val="18"/>
          <w:szCs w:val="18"/>
        </w:rPr>
      </w:pPr>
      <w:r w:rsidRPr="00D33F7C">
        <w:rPr>
          <w:rFonts w:ascii="Palatino Linotype" w:eastAsia="Palatino Linotype" w:hAnsi="Palatino Linotype" w:cs="Palatino Linotype"/>
          <w:b/>
          <w:sz w:val="18"/>
          <w:szCs w:val="18"/>
        </w:rPr>
        <w:t xml:space="preserve">    Note: ADV implies Average Daily Values and ADT implies Average Daily Turnover</w:t>
      </w:r>
    </w:p>
    <w:p w14:paraId="255AA61C" w14:textId="77777777" w:rsidR="00D33F7C" w:rsidRPr="00D33F7C" w:rsidRDefault="00D33F7C" w:rsidP="00D33F7C">
      <w:pPr>
        <w:spacing w:line="276" w:lineRule="auto"/>
        <w:rPr>
          <w:rFonts w:ascii="Palatino Linotype" w:eastAsia="Palatino Linotype" w:hAnsi="Palatino Linotype" w:cs="Palatino Linotype"/>
          <w:b/>
          <w:sz w:val="18"/>
          <w:szCs w:val="18"/>
        </w:rPr>
      </w:pPr>
      <w:r w:rsidRPr="00D33F7C">
        <w:rPr>
          <w:rFonts w:ascii="Palatino Linotype" w:eastAsia="Palatino Linotype" w:hAnsi="Palatino Linotype" w:cs="Palatino Linotype"/>
          <w:b/>
          <w:sz w:val="18"/>
          <w:szCs w:val="18"/>
        </w:rPr>
        <w:t xml:space="preserve">    Source: BSE  </w:t>
      </w:r>
    </w:p>
    <w:p w14:paraId="21A358E4" w14:textId="77777777" w:rsidR="00D33F7C" w:rsidRPr="00D33F7C" w:rsidRDefault="00D33F7C" w:rsidP="00D33F7C">
      <w:pPr>
        <w:spacing w:line="276" w:lineRule="auto"/>
        <w:jc w:val="both"/>
        <w:rPr>
          <w:rFonts w:ascii="Palatino Linotype" w:eastAsia="Palatino Linotype" w:hAnsi="Palatino Linotype" w:cs="Palatino Linotype"/>
          <w:color w:val="2E74B5"/>
          <w:sz w:val="22"/>
          <w:szCs w:val="22"/>
        </w:rPr>
      </w:pPr>
    </w:p>
    <w:p w14:paraId="1295D8B4" w14:textId="77777777" w:rsidR="00D33F7C" w:rsidRPr="00D33F7C" w:rsidRDefault="00D33F7C" w:rsidP="00D33F7C">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D33F7C">
        <w:rPr>
          <w:rFonts w:ascii="Palatino Linotype" w:eastAsia="Palatino Linotype" w:hAnsi="Palatino Linotype" w:cs="Palatino Linotype"/>
          <w:sz w:val="22"/>
          <w:szCs w:val="22"/>
        </w:rPr>
        <w:t xml:space="preserve">During June 2021, the gross turnover in the equity cash segments, increased at BSE by 33.3 per cent while it declined by 0.8 percent at NSE, respectively over previous month. </w:t>
      </w:r>
    </w:p>
    <w:p w14:paraId="19A73BDF" w14:textId="77777777" w:rsidR="00D33F7C" w:rsidRPr="00D33F7C" w:rsidRDefault="00D33F7C" w:rsidP="00D33F7C">
      <w:pPr>
        <w:pBdr>
          <w:top w:val="nil"/>
          <w:left w:val="nil"/>
          <w:bottom w:val="nil"/>
          <w:right w:val="nil"/>
          <w:between w:val="nil"/>
        </w:pBdr>
        <w:spacing w:line="276" w:lineRule="auto"/>
        <w:ind w:left="720"/>
        <w:jc w:val="both"/>
        <w:rPr>
          <w:rFonts w:ascii="Palatino Linotype" w:eastAsia="Palatino Linotype" w:hAnsi="Palatino Linotype" w:cs="Palatino Linotype"/>
          <w:sz w:val="22"/>
          <w:szCs w:val="22"/>
        </w:rPr>
      </w:pPr>
    </w:p>
    <w:p w14:paraId="3FB0A29E" w14:textId="4F1C2938" w:rsidR="00D33F7C" w:rsidRPr="00D33F7C" w:rsidRDefault="00D33F7C" w:rsidP="00D33F7C">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D33F7C">
        <w:rPr>
          <w:rFonts w:ascii="Palatino Linotype" w:eastAsia="Palatino Linotype" w:hAnsi="Palatino Linotype" w:cs="Palatino Linotype"/>
          <w:sz w:val="22"/>
          <w:szCs w:val="22"/>
        </w:rPr>
        <w:t>During June 2021, the selected BSE sectoral indices, referred to in Figure 4, witnessed mixed trends.  Amongst these, S&amp;P BSE Teck increased by 7.9 per cent, followed by S&amp;P BSE Consumer Durables (6.5 per cent), S&amp;P BSE Realty (2.3 per cent), S&amp;P BSE PSU (2.2 per cent), S&amp;P BSE Consumer Goods (2.0 per cent), S&amp;P BSE Auto (1.0 per cent). S&amp;P BSE Bank declined by 2.5 per cent followed by S&amp;P Power (2.2 per cent), S&amp;P BSE Oil (1.8 per cent) and BSE Metal (1.1 per cent) over the previous month. The average daily volatility and monthly returns for these select BSE indices for June 2021 are illustrated in Figure 4.</w:t>
      </w:r>
    </w:p>
    <w:p w14:paraId="765B619C" w14:textId="77777777" w:rsidR="00D33F7C" w:rsidRPr="00D33F7C" w:rsidRDefault="00D33F7C" w:rsidP="00D33F7C">
      <w:pPr>
        <w:spacing w:line="276" w:lineRule="auto"/>
        <w:jc w:val="both"/>
        <w:rPr>
          <w:rFonts w:ascii="Palatino Linotype" w:eastAsia="Palatino Linotype" w:hAnsi="Palatino Linotype" w:cs="Palatino Linotype"/>
          <w:b/>
          <w:sz w:val="22"/>
          <w:szCs w:val="22"/>
        </w:rPr>
      </w:pPr>
    </w:p>
    <w:p w14:paraId="2ABC9230" w14:textId="77777777" w:rsidR="00D33F7C" w:rsidRPr="00D33F7C" w:rsidRDefault="00D33F7C" w:rsidP="00D33F7C">
      <w:pPr>
        <w:spacing w:line="276" w:lineRule="auto"/>
        <w:jc w:val="center"/>
        <w:rPr>
          <w:rFonts w:ascii="Palatino Linotype" w:eastAsia="Palatino Linotype" w:hAnsi="Palatino Linotype" w:cs="Palatino Linotype"/>
          <w:b/>
          <w:sz w:val="22"/>
          <w:szCs w:val="22"/>
        </w:rPr>
      </w:pPr>
      <w:r w:rsidRPr="00D33F7C">
        <w:rPr>
          <w:rFonts w:ascii="Palatino Linotype" w:eastAsia="Palatino Linotype" w:hAnsi="Palatino Linotype" w:cs="Palatino Linotype"/>
          <w:b/>
          <w:sz w:val="22"/>
          <w:szCs w:val="22"/>
        </w:rPr>
        <w:t>Figure 4: Trends of BSE Sectoral Indices during June 2021 (per cent)</w:t>
      </w:r>
    </w:p>
    <w:p w14:paraId="1F41004D" w14:textId="77777777" w:rsidR="00D33F7C" w:rsidRPr="00D33F7C" w:rsidRDefault="00D33F7C" w:rsidP="00D33F7C">
      <w:pPr>
        <w:spacing w:line="276" w:lineRule="auto"/>
        <w:jc w:val="center"/>
        <w:rPr>
          <w:rFonts w:ascii="Palatino Linotype" w:eastAsia="Palatino Linotype" w:hAnsi="Palatino Linotype" w:cs="Palatino Linotype"/>
          <w:b/>
          <w:color w:val="2E74B5"/>
          <w:sz w:val="22"/>
          <w:szCs w:val="22"/>
          <w:highlight w:val="yellow"/>
        </w:rPr>
      </w:pPr>
      <w:r w:rsidRPr="00D33F7C">
        <w:rPr>
          <w:noProof/>
          <w:lang w:val="en-IN" w:eastAsia="en-IN" w:bidi="hi-IN"/>
        </w:rPr>
        <w:drawing>
          <wp:inline distT="0" distB="0" distL="0" distR="0" wp14:anchorId="51689BAF" wp14:editId="35295CF2">
            <wp:extent cx="4495800" cy="2495550"/>
            <wp:effectExtent l="0" t="0" r="0" b="0"/>
            <wp:docPr id="8" name="Chart 8">
              <a:extLst xmlns:a="http://schemas.openxmlformats.org/drawingml/2006/main">
                <a:ext uri="{FF2B5EF4-FFF2-40B4-BE49-F238E27FC236}">
                  <a16:creationId xmlns:a16="http://schemas.microsoft.com/office/drawing/2014/main" id="{00000000-0008-0000-0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BB53AAE" w14:textId="77777777" w:rsidR="00D33F7C" w:rsidRPr="00D33F7C" w:rsidRDefault="00D33F7C" w:rsidP="00D33F7C">
      <w:pPr>
        <w:spacing w:line="276" w:lineRule="auto"/>
        <w:rPr>
          <w:rFonts w:ascii="Palatino Linotype" w:eastAsia="Palatino Linotype" w:hAnsi="Palatino Linotype" w:cs="Palatino Linotype"/>
          <w:b/>
          <w:sz w:val="18"/>
          <w:szCs w:val="18"/>
        </w:rPr>
      </w:pPr>
      <w:r w:rsidRPr="00D33F7C">
        <w:rPr>
          <w:rFonts w:ascii="Palatino Linotype" w:eastAsia="Palatino Linotype" w:hAnsi="Palatino Linotype" w:cs="Palatino Linotype"/>
          <w:b/>
          <w:sz w:val="18"/>
          <w:szCs w:val="18"/>
        </w:rPr>
        <w:t xml:space="preserve">       </w:t>
      </w:r>
      <w:r w:rsidRPr="00D33F7C">
        <w:rPr>
          <w:rFonts w:ascii="Palatino Linotype" w:eastAsia="Palatino Linotype" w:hAnsi="Palatino Linotype" w:cs="Palatino Linotype"/>
          <w:b/>
          <w:sz w:val="18"/>
          <w:szCs w:val="18"/>
        </w:rPr>
        <w:tab/>
      </w:r>
      <w:r w:rsidRPr="00D33F7C">
        <w:rPr>
          <w:rFonts w:ascii="Palatino Linotype" w:eastAsia="Palatino Linotype" w:hAnsi="Palatino Linotype" w:cs="Palatino Linotype"/>
          <w:b/>
          <w:sz w:val="18"/>
          <w:szCs w:val="18"/>
        </w:rPr>
        <w:tab/>
        <w:t>Source: BSE</w:t>
      </w:r>
    </w:p>
    <w:p w14:paraId="1298DB3D" w14:textId="77777777" w:rsidR="00D33F7C" w:rsidRPr="00D33F7C" w:rsidRDefault="00D33F7C" w:rsidP="00D33F7C">
      <w:pPr>
        <w:pBdr>
          <w:top w:val="nil"/>
          <w:left w:val="nil"/>
          <w:bottom w:val="nil"/>
          <w:right w:val="nil"/>
          <w:between w:val="nil"/>
        </w:pBdr>
        <w:spacing w:line="276" w:lineRule="auto"/>
        <w:ind w:left="709" w:hanging="720"/>
        <w:rPr>
          <w:rFonts w:ascii="Palatino Linotype" w:eastAsia="Palatino Linotype" w:hAnsi="Palatino Linotype" w:cs="Palatino Linotype"/>
          <w:b/>
          <w:color w:val="2E74B5"/>
          <w:sz w:val="22"/>
          <w:szCs w:val="22"/>
          <w:highlight w:val="yellow"/>
        </w:rPr>
      </w:pPr>
    </w:p>
    <w:p w14:paraId="0D1F6537" w14:textId="77777777" w:rsidR="00D33F7C" w:rsidRPr="00D33F7C" w:rsidRDefault="00D33F7C" w:rsidP="00D33F7C">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D33F7C">
        <w:rPr>
          <w:rFonts w:ascii="Palatino Linotype" w:eastAsia="Palatino Linotype" w:hAnsi="Palatino Linotype" w:cs="Palatino Linotype"/>
          <w:sz w:val="22"/>
          <w:szCs w:val="22"/>
        </w:rPr>
        <w:lastRenderedPageBreak/>
        <w:t>Similarly, during June 2021, among the select sectoral indices of the NSE, Nifty IT increased by 7.6 per cent, followed by Nifty PSU (3.8 per cent), Nifty PSE (2.6 per cent), Nifty FMCG (2.4 per cent), Nifty Reality (2.3 per cent), Nifty Pharma (1.8 per cent), Nifty Services (1.3 per cent) and Nifty Infrastructure (0.3 per cent). Nifty Bank declined by 2.1 per cent followed by Nifty Energy (0.4 per cent). The average daily volatility and monthly returns of these select NSE indices for June 2021 are illustrated in Figure 5.</w:t>
      </w:r>
    </w:p>
    <w:p w14:paraId="087AAF59" w14:textId="77777777" w:rsidR="00D33F7C" w:rsidRPr="00D33F7C" w:rsidRDefault="00D33F7C" w:rsidP="00D33F7C">
      <w:pPr>
        <w:pBdr>
          <w:top w:val="nil"/>
          <w:left w:val="nil"/>
          <w:bottom w:val="nil"/>
          <w:right w:val="nil"/>
          <w:between w:val="nil"/>
        </w:pBdr>
        <w:spacing w:line="276" w:lineRule="auto"/>
        <w:jc w:val="center"/>
        <w:rPr>
          <w:rFonts w:ascii="Palatino Linotype" w:eastAsia="Palatino Linotype" w:hAnsi="Palatino Linotype" w:cs="Palatino Linotype"/>
          <w:b/>
          <w:color w:val="2E74B5"/>
          <w:sz w:val="22"/>
          <w:szCs w:val="22"/>
          <w:highlight w:val="yellow"/>
        </w:rPr>
      </w:pPr>
    </w:p>
    <w:p w14:paraId="65A59DEE" w14:textId="77777777" w:rsidR="00D33F7C" w:rsidRPr="00D33F7C" w:rsidRDefault="00D33F7C" w:rsidP="00D33F7C">
      <w:pPr>
        <w:pBdr>
          <w:top w:val="nil"/>
          <w:left w:val="nil"/>
          <w:bottom w:val="nil"/>
          <w:right w:val="nil"/>
          <w:between w:val="nil"/>
        </w:pBdr>
        <w:spacing w:line="276" w:lineRule="auto"/>
        <w:jc w:val="center"/>
        <w:rPr>
          <w:rFonts w:ascii="Palatino Linotype" w:eastAsia="Palatino Linotype" w:hAnsi="Palatino Linotype" w:cs="Palatino Linotype"/>
          <w:b/>
          <w:sz w:val="22"/>
          <w:szCs w:val="22"/>
        </w:rPr>
      </w:pPr>
      <w:r w:rsidRPr="00D33F7C">
        <w:rPr>
          <w:rFonts w:ascii="Palatino Linotype" w:eastAsia="Palatino Linotype" w:hAnsi="Palatino Linotype" w:cs="Palatino Linotype"/>
          <w:b/>
          <w:sz w:val="22"/>
          <w:szCs w:val="22"/>
        </w:rPr>
        <w:t>Figure 5: Trends of NSE Sectoral Indices during June 2021 (per cent)</w:t>
      </w:r>
    </w:p>
    <w:p w14:paraId="1DA8A0EF" w14:textId="77777777" w:rsidR="00D33F7C" w:rsidRPr="00D33F7C" w:rsidRDefault="00D33F7C" w:rsidP="00D33F7C">
      <w:pPr>
        <w:pBdr>
          <w:top w:val="nil"/>
          <w:left w:val="nil"/>
          <w:bottom w:val="nil"/>
          <w:right w:val="nil"/>
          <w:between w:val="nil"/>
        </w:pBdr>
        <w:spacing w:line="276" w:lineRule="auto"/>
        <w:jc w:val="center"/>
        <w:rPr>
          <w:rFonts w:ascii="Palatino Linotype" w:eastAsia="Palatino Linotype" w:hAnsi="Palatino Linotype" w:cs="Palatino Linotype"/>
          <w:b/>
          <w:color w:val="2E74B5"/>
          <w:sz w:val="22"/>
          <w:szCs w:val="22"/>
          <w:highlight w:val="yellow"/>
        </w:rPr>
      </w:pPr>
      <w:r w:rsidRPr="00D33F7C">
        <w:rPr>
          <w:noProof/>
          <w:lang w:val="en-IN" w:eastAsia="en-IN" w:bidi="hi-IN"/>
        </w:rPr>
        <w:drawing>
          <wp:inline distT="0" distB="0" distL="0" distR="0" wp14:anchorId="0EDF77A0" wp14:editId="2DFCE215">
            <wp:extent cx="4572000" cy="2743200"/>
            <wp:effectExtent l="0" t="0" r="0" b="0"/>
            <wp:docPr id="21" name="Chart 21">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932B2C2" w14:textId="77777777" w:rsidR="00D33F7C" w:rsidRPr="00D33F7C" w:rsidRDefault="00D33F7C" w:rsidP="00D33F7C">
      <w:pPr>
        <w:spacing w:line="276" w:lineRule="auto"/>
        <w:rPr>
          <w:rFonts w:ascii="Palatino Linotype" w:eastAsia="Palatino Linotype" w:hAnsi="Palatino Linotype" w:cs="Palatino Linotype"/>
          <w:b/>
          <w:sz w:val="18"/>
          <w:szCs w:val="18"/>
        </w:rPr>
      </w:pPr>
      <w:r w:rsidRPr="00D33F7C">
        <w:rPr>
          <w:rFonts w:ascii="Palatino Linotype" w:eastAsia="Palatino Linotype" w:hAnsi="Palatino Linotype" w:cs="Palatino Linotype"/>
          <w:b/>
          <w:sz w:val="18"/>
          <w:szCs w:val="18"/>
        </w:rPr>
        <w:t xml:space="preserve">      Source: NSE</w:t>
      </w:r>
    </w:p>
    <w:p w14:paraId="5900B6AF" w14:textId="77777777" w:rsidR="00D33F7C" w:rsidRPr="00D33F7C" w:rsidRDefault="00D33F7C" w:rsidP="00D33F7C">
      <w:pPr>
        <w:pBdr>
          <w:top w:val="nil"/>
          <w:left w:val="nil"/>
          <w:bottom w:val="nil"/>
          <w:right w:val="nil"/>
          <w:between w:val="nil"/>
        </w:pBdr>
        <w:spacing w:line="276" w:lineRule="auto"/>
        <w:rPr>
          <w:rFonts w:ascii="Palatino Linotype" w:eastAsia="Palatino Linotype" w:hAnsi="Palatino Linotype" w:cs="Palatino Linotype"/>
          <w:b/>
          <w:sz w:val="22"/>
          <w:szCs w:val="22"/>
        </w:rPr>
      </w:pPr>
    </w:p>
    <w:p w14:paraId="0B6D3B3B" w14:textId="77777777" w:rsidR="00D33F7C" w:rsidRPr="00D33F7C" w:rsidRDefault="00D33F7C" w:rsidP="00D33F7C">
      <w:pPr>
        <w:widowControl w:val="0"/>
        <w:numPr>
          <w:ilvl w:val="0"/>
          <w:numId w:val="2"/>
        </w:numPr>
        <w:spacing w:line="276" w:lineRule="auto"/>
        <w:ind w:left="567" w:hanging="567"/>
        <w:rPr>
          <w:rFonts w:ascii="Palatino Linotype" w:eastAsia="Palatino Linotype" w:hAnsi="Palatino Linotype" w:cs="Palatino Linotype"/>
          <w:b/>
          <w:sz w:val="22"/>
          <w:szCs w:val="22"/>
        </w:rPr>
      </w:pPr>
      <w:r w:rsidRPr="00D33F7C">
        <w:rPr>
          <w:rFonts w:ascii="Palatino Linotype" w:eastAsia="Palatino Linotype" w:hAnsi="Palatino Linotype" w:cs="Palatino Linotype"/>
          <w:b/>
          <w:sz w:val="22"/>
          <w:szCs w:val="22"/>
        </w:rPr>
        <w:t xml:space="preserve">Trends in Depository Accounts </w:t>
      </w:r>
    </w:p>
    <w:p w14:paraId="7886103C" w14:textId="77777777" w:rsidR="00D33F7C" w:rsidRPr="00D33F7C" w:rsidRDefault="00D33F7C" w:rsidP="00D33F7C">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D33F7C">
        <w:rPr>
          <w:rFonts w:ascii="Palatino Linotype" w:eastAsia="Palatino Linotype" w:hAnsi="Palatino Linotype" w:cs="Palatino Linotype"/>
          <w:sz w:val="22"/>
          <w:szCs w:val="22"/>
        </w:rPr>
        <w:t>As at the end of June 2021, there were 225 lakh demat accounts at NSDL and 397 lakh demat accounts at CDSL. Further, till the end of June 2021, 5,711 listed companies were signed up with NSDL and 5,783 listed companies were signed up with CDSL to make their equity holdings available in dematerialised form.</w:t>
      </w:r>
    </w:p>
    <w:p w14:paraId="4A29CAC7" w14:textId="77777777" w:rsidR="00D33F7C" w:rsidRPr="00D33F7C" w:rsidRDefault="00D33F7C" w:rsidP="00D33F7C">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p>
    <w:p w14:paraId="40550D3C" w14:textId="77777777" w:rsidR="00D33F7C" w:rsidRPr="00D33F7C" w:rsidRDefault="00D33F7C" w:rsidP="00D33F7C">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p>
    <w:p w14:paraId="19E98194" w14:textId="77777777" w:rsidR="00D33F7C" w:rsidRPr="00D33F7C" w:rsidRDefault="00D33F7C" w:rsidP="00D33F7C">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p>
    <w:p w14:paraId="2E1CC8E2" w14:textId="77777777" w:rsidR="00D33F7C" w:rsidRPr="00D33F7C" w:rsidRDefault="00D33F7C" w:rsidP="00D33F7C">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p>
    <w:p w14:paraId="21534FD5" w14:textId="77777777" w:rsidR="00D33F7C" w:rsidRPr="00D33F7C" w:rsidRDefault="00D33F7C" w:rsidP="00D33F7C">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p>
    <w:p w14:paraId="142A6E08" w14:textId="77777777" w:rsidR="00D33F7C" w:rsidRPr="00D33F7C" w:rsidRDefault="00D33F7C" w:rsidP="00D33F7C">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p>
    <w:p w14:paraId="3ACBDF9B" w14:textId="77777777" w:rsidR="00D33F7C" w:rsidRPr="00D33F7C" w:rsidRDefault="00D33F7C" w:rsidP="00D33F7C">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p>
    <w:p w14:paraId="3A4E07B7" w14:textId="77777777" w:rsidR="00D33F7C" w:rsidRPr="00D33F7C" w:rsidRDefault="00D33F7C" w:rsidP="00D33F7C">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p>
    <w:p w14:paraId="5E8AB91E" w14:textId="77777777" w:rsidR="00D33F7C" w:rsidRPr="00D33F7C" w:rsidRDefault="00D33F7C" w:rsidP="00D33F7C">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p>
    <w:p w14:paraId="0AEC923D" w14:textId="77777777" w:rsidR="00D33F7C" w:rsidRPr="00D33F7C" w:rsidRDefault="00D33F7C" w:rsidP="00D33F7C">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p>
    <w:p w14:paraId="30B2D593" w14:textId="77777777" w:rsidR="00D33F7C" w:rsidRPr="00D33F7C" w:rsidRDefault="00D33F7C" w:rsidP="00D33F7C">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p>
    <w:p w14:paraId="57B830B5" w14:textId="77777777" w:rsidR="00D33F7C" w:rsidRPr="00D33F7C" w:rsidRDefault="00D33F7C" w:rsidP="00D33F7C">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p>
    <w:p w14:paraId="50317475" w14:textId="77777777" w:rsidR="00D33F7C" w:rsidRPr="00D33F7C" w:rsidRDefault="00D33F7C" w:rsidP="00D33F7C">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p>
    <w:p w14:paraId="144D8B24" w14:textId="77777777" w:rsidR="00D33F7C" w:rsidRPr="00D33F7C" w:rsidRDefault="00D33F7C" w:rsidP="00D33F7C">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p>
    <w:p w14:paraId="7DDFA75C" w14:textId="77777777" w:rsidR="00D33F7C" w:rsidRPr="00D33F7C" w:rsidRDefault="00D33F7C" w:rsidP="00D33F7C">
      <w:pPr>
        <w:spacing w:line="276" w:lineRule="auto"/>
        <w:rPr>
          <w:rFonts w:ascii="Palatino Linotype" w:eastAsia="Palatino Linotype" w:hAnsi="Palatino Linotype" w:cs="Palatino Linotype"/>
          <w:b/>
          <w:color w:val="2E74B5"/>
          <w:sz w:val="22"/>
          <w:szCs w:val="22"/>
          <w:highlight w:val="yellow"/>
        </w:rPr>
      </w:pPr>
    </w:p>
    <w:p w14:paraId="082478F9" w14:textId="77777777" w:rsidR="00D33F7C" w:rsidRPr="00D33F7C" w:rsidRDefault="00D33F7C" w:rsidP="00D33F7C">
      <w:pPr>
        <w:widowControl w:val="0"/>
        <w:numPr>
          <w:ilvl w:val="0"/>
          <w:numId w:val="2"/>
        </w:numPr>
        <w:spacing w:line="276" w:lineRule="auto"/>
        <w:ind w:left="454" w:hanging="454"/>
        <w:rPr>
          <w:rFonts w:ascii="Palatino Linotype" w:eastAsia="Palatino Linotype" w:hAnsi="Palatino Linotype" w:cs="Palatino Linotype"/>
          <w:b/>
          <w:sz w:val="22"/>
          <w:szCs w:val="22"/>
        </w:rPr>
      </w:pPr>
      <w:r w:rsidRPr="00D33F7C">
        <w:rPr>
          <w:rFonts w:ascii="Palatino Linotype" w:eastAsia="Palatino Linotype" w:hAnsi="Palatino Linotype" w:cs="Palatino Linotype"/>
          <w:b/>
          <w:sz w:val="22"/>
          <w:szCs w:val="22"/>
        </w:rPr>
        <w:lastRenderedPageBreak/>
        <w:t>Trends in Derivatives Segment</w:t>
      </w:r>
      <w:r w:rsidRPr="00D33F7C">
        <w:rPr>
          <w:rFonts w:ascii="Palatino Linotype" w:eastAsia="Palatino Linotype" w:hAnsi="Palatino Linotype" w:cs="Palatino Linotype"/>
          <w:b/>
          <w:sz w:val="22"/>
          <w:szCs w:val="22"/>
        </w:rPr>
        <w:tab/>
      </w:r>
    </w:p>
    <w:p w14:paraId="7A41A85E" w14:textId="77777777" w:rsidR="00D33F7C" w:rsidRPr="00D33F7C" w:rsidRDefault="00D33F7C" w:rsidP="00D33F7C">
      <w:pPr>
        <w:widowControl w:val="0"/>
        <w:spacing w:line="276" w:lineRule="auto"/>
        <w:jc w:val="both"/>
        <w:rPr>
          <w:rFonts w:ascii="Palatino Linotype" w:eastAsia="Palatino Linotype" w:hAnsi="Palatino Linotype" w:cs="Palatino Linotype"/>
          <w:sz w:val="22"/>
          <w:szCs w:val="22"/>
        </w:rPr>
      </w:pPr>
    </w:p>
    <w:p w14:paraId="43E51C07" w14:textId="77777777" w:rsidR="00D33F7C" w:rsidRPr="00D33F7C" w:rsidRDefault="00D33F7C" w:rsidP="00D33F7C">
      <w:pPr>
        <w:widowControl w:val="0"/>
        <w:numPr>
          <w:ilvl w:val="0"/>
          <w:numId w:val="3"/>
        </w:numPr>
        <w:spacing w:line="276" w:lineRule="auto"/>
        <w:ind w:left="567" w:hanging="567"/>
        <w:jc w:val="both"/>
        <w:rPr>
          <w:rFonts w:ascii="Palatino Linotype" w:eastAsia="Palatino Linotype" w:hAnsi="Palatino Linotype" w:cs="Palatino Linotype"/>
          <w:b/>
          <w:sz w:val="22"/>
          <w:szCs w:val="22"/>
        </w:rPr>
      </w:pPr>
      <w:r w:rsidRPr="00D33F7C">
        <w:rPr>
          <w:rFonts w:ascii="Palatino Linotype" w:eastAsia="Palatino Linotype" w:hAnsi="Palatino Linotype" w:cs="Palatino Linotype"/>
          <w:b/>
          <w:sz w:val="22"/>
          <w:szCs w:val="22"/>
        </w:rPr>
        <w:t>Equity Derivatives</w:t>
      </w:r>
    </w:p>
    <w:p w14:paraId="47711860" w14:textId="77777777" w:rsidR="00D33F7C" w:rsidRPr="00D33F7C" w:rsidRDefault="00D33F7C" w:rsidP="00D33F7C">
      <w:pPr>
        <w:tabs>
          <w:tab w:val="left" w:pos="3135"/>
        </w:tabs>
        <w:spacing w:line="276" w:lineRule="auto"/>
        <w:rPr>
          <w:rFonts w:ascii="Palatino Linotype" w:eastAsia="Palatino Linotype" w:hAnsi="Palatino Linotype" w:cs="Palatino Linotype"/>
          <w:b/>
          <w:sz w:val="22"/>
          <w:szCs w:val="22"/>
        </w:rPr>
      </w:pPr>
      <w:r w:rsidRPr="00D33F7C">
        <w:rPr>
          <w:rFonts w:ascii="Palatino Linotype" w:eastAsia="Palatino Linotype" w:hAnsi="Palatino Linotype" w:cs="Palatino Linotype"/>
          <w:b/>
          <w:sz w:val="22"/>
          <w:szCs w:val="22"/>
        </w:rPr>
        <w:t>Table 3: Trends in Equity Derivatives Market</w:t>
      </w:r>
    </w:p>
    <w:tbl>
      <w:tblPr>
        <w:tblW w:w="9800" w:type="dxa"/>
        <w:tblLook w:val="04A0" w:firstRow="1" w:lastRow="0" w:firstColumn="1" w:lastColumn="0" w:noHBand="0" w:noVBand="1"/>
      </w:tblPr>
      <w:tblGrid>
        <w:gridCol w:w="1960"/>
        <w:gridCol w:w="1216"/>
        <w:gridCol w:w="1281"/>
        <w:gridCol w:w="1245"/>
        <w:gridCol w:w="1340"/>
        <w:gridCol w:w="1340"/>
        <w:gridCol w:w="1480"/>
      </w:tblGrid>
      <w:tr w:rsidR="00D33F7C" w:rsidRPr="00D33F7C" w14:paraId="318D0C3A" w14:textId="77777777" w:rsidTr="00E213CE">
        <w:trPr>
          <w:trHeight w:val="255"/>
        </w:trPr>
        <w:tc>
          <w:tcPr>
            <w:tcW w:w="1960" w:type="dxa"/>
            <w:vMerge w:val="restart"/>
            <w:tcBorders>
              <w:top w:val="single" w:sz="4" w:space="0" w:color="auto"/>
              <w:left w:val="single" w:sz="4" w:space="0" w:color="auto"/>
              <w:bottom w:val="single" w:sz="4" w:space="0" w:color="auto"/>
              <w:right w:val="single" w:sz="4" w:space="0" w:color="auto"/>
            </w:tcBorders>
            <w:shd w:val="clear" w:color="8DB3E2" w:fill="8DB3E2"/>
            <w:noWrap/>
            <w:vAlign w:val="center"/>
            <w:hideMark/>
          </w:tcPr>
          <w:p w14:paraId="58C100ED" w14:textId="77777777" w:rsidR="00D33F7C" w:rsidRPr="00D33F7C" w:rsidRDefault="00D33F7C" w:rsidP="00D33F7C">
            <w:pPr>
              <w:rPr>
                <w:rFonts w:ascii="Garamond" w:eastAsia="Times New Roman" w:hAnsi="Garamond"/>
                <w:b/>
                <w:bCs/>
                <w:sz w:val="20"/>
                <w:szCs w:val="20"/>
                <w:lang w:val="en-IN" w:eastAsia="en-IN" w:bidi="hi-IN"/>
              </w:rPr>
            </w:pPr>
            <w:r w:rsidRPr="00D33F7C">
              <w:rPr>
                <w:rFonts w:ascii="Garamond" w:eastAsia="Times New Roman" w:hAnsi="Garamond"/>
                <w:b/>
                <w:bCs/>
                <w:sz w:val="20"/>
                <w:szCs w:val="20"/>
                <w:lang w:val="en-IN" w:eastAsia="en-IN" w:bidi="hi-IN"/>
              </w:rPr>
              <w:t>Description</w:t>
            </w:r>
          </w:p>
        </w:tc>
        <w:tc>
          <w:tcPr>
            <w:tcW w:w="3680" w:type="dxa"/>
            <w:gridSpan w:val="3"/>
            <w:tcBorders>
              <w:top w:val="single" w:sz="4" w:space="0" w:color="auto"/>
              <w:left w:val="nil"/>
              <w:bottom w:val="single" w:sz="4" w:space="0" w:color="auto"/>
              <w:right w:val="single" w:sz="4" w:space="0" w:color="auto"/>
            </w:tcBorders>
            <w:shd w:val="clear" w:color="8DB3E2" w:fill="8DB3E2"/>
            <w:noWrap/>
            <w:vAlign w:val="center"/>
            <w:hideMark/>
          </w:tcPr>
          <w:p w14:paraId="7F4D6D12" w14:textId="77777777" w:rsidR="00D33F7C" w:rsidRPr="00D33F7C" w:rsidRDefault="00D33F7C" w:rsidP="00D33F7C">
            <w:pPr>
              <w:jc w:val="center"/>
              <w:rPr>
                <w:rFonts w:ascii="Garamond" w:eastAsia="Times New Roman" w:hAnsi="Garamond"/>
                <w:b/>
                <w:bCs/>
                <w:sz w:val="20"/>
                <w:szCs w:val="20"/>
                <w:lang w:val="en-IN" w:eastAsia="en-IN" w:bidi="hi-IN"/>
              </w:rPr>
            </w:pPr>
            <w:r w:rsidRPr="00D33F7C">
              <w:rPr>
                <w:rFonts w:ascii="Garamond" w:eastAsia="Times New Roman" w:hAnsi="Garamond"/>
                <w:b/>
                <w:bCs/>
                <w:sz w:val="20"/>
                <w:szCs w:val="20"/>
                <w:lang w:val="en-IN" w:eastAsia="en-IN" w:bidi="hi-IN"/>
              </w:rPr>
              <w:t>NSE</w:t>
            </w:r>
          </w:p>
        </w:tc>
        <w:tc>
          <w:tcPr>
            <w:tcW w:w="4160" w:type="dxa"/>
            <w:gridSpan w:val="3"/>
            <w:tcBorders>
              <w:top w:val="single" w:sz="4" w:space="0" w:color="auto"/>
              <w:left w:val="nil"/>
              <w:bottom w:val="single" w:sz="4" w:space="0" w:color="auto"/>
              <w:right w:val="single" w:sz="4" w:space="0" w:color="auto"/>
            </w:tcBorders>
            <w:shd w:val="clear" w:color="8DB3E2" w:fill="8DB3E2"/>
            <w:noWrap/>
            <w:vAlign w:val="center"/>
            <w:hideMark/>
          </w:tcPr>
          <w:p w14:paraId="585E37BC" w14:textId="77777777" w:rsidR="00D33F7C" w:rsidRPr="00D33F7C" w:rsidRDefault="00D33F7C" w:rsidP="00D33F7C">
            <w:pPr>
              <w:jc w:val="center"/>
              <w:rPr>
                <w:rFonts w:ascii="Garamond" w:eastAsia="Times New Roman" w:hAnsi="Garamond"/>
                <w:b/>
                <w:bCs/>
                <w:sz w:val="20"/>
                <w:szCs w:val="20"/>
                <w:lang w:val="en-IN" w:eastAsia="en-IN" w:bidi="hi-IN"/>
              </w:rPr>
            </w:pPr>
            <w:r w:rsidRPr="00D33F7C">
              <w:rPr>
                <w:rFonts w:ascii="Garamond" w:eastAsia="Times New Roman" w:hAnsi="Garamond"/>
                <w:b/>
                <w:bCs/>
                <w:sz w:val="20"/>
                <w:szCs w:val="20"/>
                <w:lang w:val="en-IN" w:eastAsia="en-IN" w:bidi="hi-IN"/>
              </w:rPr>
              <w:t>BSE</w:t>
            </w:r>
          </w:p>
        </w:tc>
      </w:tr>
      <w:tr w:rsidR="00D33F7C" w:rsidRPr="00D33F7C" w14:paraId="4BDA2DB8" w14:textId="77777777" w:rsidTr="00E213CE">
        <w:trPr>
          <w:trHeight w:val="255"/>
        </w:trPr>
        <w:tc>
          <w:tcPr>
            <w:tcW w:w="1960" w:type="dxa"/>
            <w:vMerge/>
            <w:tcBorders>
              <w:top w:val="single" w:sz="4" w:space="0" w:color="auto"/>
              <w:left w:val="single" w:sz="4" w:space="0" w:color="auto"/>
              <w:bottom w:val="single" w:sz="4" w:space="0" w:color="auto"/>
              <w:right w:val="single" w:sz="4" w:space="0" w:color="auto"/>
            </w:tcBorders>
            <w:vAlign w:val="center"/>
            <w:hideMark/>
          </w:tcPr>
          <w:p w14:paraId="0B1ADA40" w14:textId="77777777" w:rsidR="00D33F7C" w:rsidRPr="00D33F7C" w:rsidRDefault="00D33F7C" w:rsidP="00D33F7C">
            <w:pPr>
              <w:rPr>
                <w:rFonts w:ascii="Garamond" w:eastAsia="Times New Roman" w:hAnsi="Garamond"/>
                <w:b/>
                <w:bCs/>
                <w:sz w:val="20"/>
                <w:szCs w:val="20"/>
                <w:lang w:val="en-IN" w:eastAsia="en-IN" w:bidi="hi-IN"/>
              </w:rPr>
            </w:pPr>
          </w:p>
        </w:tc>
        <w:tc>
          <w:tcPr>
            <w:tcW w:w="1180" w:type="dxa"/>
            <w:tcBorders>
              <w:top w:val="nil"/>
              <w:left w:val="nil"/>
              <w:bottom w:val="single" w:sz="4" w:space="0" w:color="auto"/>
              <w:right w:val="single" w:sz="4" w:space="0" w:color="auto"/>
            </w:tcBorders>
            <w:shd w:val="clear" w:color="8DB3E2" w:fill="8DB3E2"/>
            <w:noWrap/>
            <w:vAlign w:val="center"/>
            <w:hideMark/>
          </w:tcPr>
          <w:p w14:paraId="2033802D" w14:textId="77777777" w:rsidR="00D33F7C" w:rsidRPr="00D33F7C" w:rsidRDefault="00D33F7C" w:rsidP="00D33F7C">
            <w:pPr>
              <w:jc w:val="center"/>
              <w:rPr>
                <w:rFonts w:ascii="Garamond" w:eastAsia="Times New Roman" w:hAnsi="Garamond"/>
                <w:b/>
                <w:bCs/>
                <w:sz w:val="20"/>
                <w:szCs w:val="20"/>
                <w:lang w:val="en-IN" w:eastAsia="en-IN" w:bidi="hi-IN"/>
              </w:rPr>
            </w:pPr>
            <w:r w:rsidRPr="00D33F7C">
              <w:rPr>
                <w:rFonts w:ascii="Garamond" w:eastAsia="Times New Roman" w:hAnsi="Garamond"/>
                <w:b/>
                <w:bCs/>
                <w:sz w:val="20"/>
                <w:szCs w:val="20"/>
                <w:lang w:val="en-IN" w:eastAsia="en-IN" w:bidi="hi-IN"/>
              </w:rPr>
              <w:t>May-21</w:t>
            </w:r>
          </w:p>
        </w:tc>
        <w:tc>
          <w:tcPr>
            <w:tcW w:w="1255" w:type="dxa"/>
            <w:tcBorders>
              <w:top w:val="nil"/>
              <w:left w:val="nil"/>
              <w:bottom w:val="single" w:sz="4" w:space="0" w:color="auto"/>
              <w:right w:val="single" w:sz="4" w:space="0" w:color="auto"/>
            </w:tcBorders>
            <w:shd w:val="clear" w:color="8DB3E2" w:fill="8DB3E2"/>
            <w:noWrap/>
            <w:vAlign w:val="center"/>
            <w:hideMark/>
          </w:tcPr>
          <w:p w14:paraId="72C8F74A" w14:textId="77777777" w:rsidR="00D33F7C" w:rsidRPr="00D33F7C" w:rsidRDefault="00D33F7C" w:rsidP="00D33F7C">
            <w:pPr>
              <w:jc w:val="center"/>
              <w:rPr>
                <w:rFonts w:ascii="Garamond" w:eastAsia="Times New Roman" w:hAnsi="Garamond"/>
                <w:b/>
                <w:bCs/>
                <w:sz w:val="20"/>
                <w:szCs w:val="20"/>
                <w:lang w:val="en-IN" w:eastAsia="en-IN" w:bidi="hi-IN"/>
              </w:rPr>
            </w:pPr>
            <w:r w:rsidRPr="00D33F7C">
              <w:rPr>
                <w:rFonts w:ascii="Garamond" w:eastAsia="Times New Roman" w:hAnsi="Garamond"/>
                <w:b/>
                <w:bCs/>
                <w:sz w:val="20"/>
                <w:szCs w:val="20"/>
                <w:lang w:val="en-IN" w:eastAsia="en-IN" w:bidi="hi-IN"/>
              </w:rPr>
              <w:t>Jun-21</w:t>
            </w:r>
          </w:p>
        </w:tc>
        <w:tc>
          <w:tcPr>
            <w:tcW w:w="1245" w:type="dxa"/>
            <w:tcBorders>
              <w:top w:val="nil"/>
              <w:left w:val="nil"/>
              <w:bottom w:val="single" w:sz="4" w:space="0" w:color="auto"/>
              <w:right w:val="single" w:sz="4" w:space="0" w:color="auto"/>
            </w:tcBorders>
            <w:shd w:val="clear" w:color="8DB3E2" w:fill="8DB3E2"/>
            <w:vAlign w:val="center"/>
            <w:hideMark/>
          </w:tcPr>
          <w:p w14:paraId="22C3D3E3" w14:textId="77777777" w:rsidR="00D33F7C" w:rsidRPr="00D33F7C" w:rsidRDefault="00D33F7C" w:rsidP="00D33F7C">
            <w:pPr>
              <w:jc w:val="center"/>
              <w:rPr>
                <w:rFonts w:ascii="Garamond" w:eastAsia="Times New Roman" w:hAnsi="Garamond"/>
                <w:b/>
                <w:bCs/>
                <w:sz w:val="20"/>
                <w:szCs w:val="20"/>
                <w:lang w:val="en-IN" w:eastAsia="en-IN" w:bidi="hi-IN"/>
              </w:rPr>
            </w:pPr>
            <w:r w:rsidRPr="00D33F7C">
              <w:rPr>
                <w:rFonts w:ascii="Garamond" w:eastAsia="Times New Roman" w:hAnsi="Garamond"/>
                <w:b/>
                <w:bCs/>
                <w:sz w:val="20"/>
                <w:szCs w:val="20"/>
                <w:lang w:val="en-IN" w:eastAsia="en-IN" w:bidi="hi-IN"/>
              </w:rPr>
              <w:t>Percentage Change Over Month</w:t>
            </w:r>
          </w:p>
        </w:tc>
        <w:tc>
          <w:tcPr>
            <w:tcW w:w="1340" w:type="dxa"/>
            <w:tcBorders>
              <w:top w:val="nil"/>
              <w:left w:val="nil"/>
              <w:bottom w:val="single" w:sz="4" w:space="0" w:color="auto"/>
              <w:right w:val="single" w:sz="4" w:space="0" w:color="auto"/>
            </w:tcBorders>
            <w:shd w:val="clear" w:color="8DB3E2" w:fill="8DB3E2"/>
            <w:noWrap/>
            <w:vAlign w:val="center"/>
            <w:hideMark/>
          </w:tcPr>
          <w:p w14:paraId="4DA464A2" w14:textId="77777777" w:rsidR="00D33F7C" w:rsidRPr="00D33F7C" w:rsidRDefault="00D33F7C" w:rsidP="00D33F7C">
            <w:pPr>
              <w:jc w:val="center"/>
              <w:rPr>
                <w:rFonts w:ascii="Garamond" w:eastAsia="Times New Roman" w:hAnsi="Garamond"/>
                <w:b/>
                <w:bCs/>
                <w:sz w:val="20"/>
                <w:szCs w:val="20"/>
                <w:lang w:val="en-IN" w:eastAsia="en-IN" w:bidi="hi-IN"/>
              </w:rPr>
            </w:pPr>
            <w:r w:rsidRPr="00D33F7C">
              <w:rPr>
                <w:rFonts w:ascii="Garamond" w:eastAsia="Times New Roman" w:hAnsi="Garamond"/>
                <w:b/>
                <w:bCs/>
                <w:sz w:val="20"/>
                <w:szCs w:val="20"/>
                <w:lang w:val="en-IN" w:eastAsia="en-IN" w:bidi="hi-IN"/>
              </w:rPr>
              <w:t>May-21</w:t>
            </w:r>
          </w:p>
        </w:tc>
        <w:tc>
          <w:tcPr>
            <w:tcW w:w="1340" w:type="dxa"/>
            <w:tcBorders>
              <w:top w:val="nil"/>
              <w:left w:val="nil"/>
              <w:bottom w:val="single" w:sz="4" w:space="0" w:color="auto"/>
              <w:right w:val="single" w:sz="4" w:space="0" w:color="auto"/>
            </w:tcBorders>
            <w:shd w:val="clear" w:color="8DB3E2" w:fill="8DB3E2"/>
            <w:noWrap/>
            <w:vAlign w:val="center"/>
            <w:hideMark/>
          </w:tcPr>
          <w:p w14:paraId="36B58B65" w14:textId="77777777" w:rsidR="00D33F7C" w:rsidRPr="00D33F7C" w:rsidRDefault="00D33F7C" w:rsidP="00D33F7C">
            <w:pPr>
              <w:jc w:val="center"/>
              <w:rPr>
                <w:rFonts w:ascii="Garamond" w:eastAsia="Times New Roman" w:hAnsi="Garamond"/>
                <w:b/>
                <w:bCs/>
                <w:sz w:val="20"/>
                <w:szCs w:val="20"/>
                <w:lang w:val="en-IN" w:eastAsia="en-IN" w:bidi="hi-IN"/>
              </w:rPr>
            </w:pPr>
            <w:r w:rsidRPr="00D33F7C">
              <w:rPr>
                <w:rFonts w:ascii="Garamond" w:eastAsia="Times New Roman" w:hAnsi="Garamond"/>
                <w:b/>
                <w:bCs/>
                <w:sz w:val="20"/>
                <w:szCs w:val="20"/>
                <w:lang w:val="en-IN" w:eastAsia="en-IN" w:bidi="hi-IN"/>
              </w:rPr>
              <w:t>Jun-21</w:t>
            </w:r>
          </w:p>
        </w:tc>
        <w:tc>
          <w:tcPr>
            <w:tcW w:w="1480" w:type="dxa"/>
            <w:tcBorders>
              <w:top w:val="nil"/>
              <w:left w:val="nil"/>
              <w:bottom w:val="single" w:sz="4" w:space="0" w:color="auto"/>
              <w:right w:val="single" w:sz="4" w:space="0" w:color="auto"/>
            </w:tcBorders>
            <w:shd w:val="clear" w:color="8DB3E2" w:fill="8DB3E2"/>
            <w:vAlign w:val="center"/>
            <w:hideMark/>
          </w:tcPr>
          <w:p w14:paraId="6DB174C9" w14:textId="77777777" w:rsidR="00D33F7C" w:rsidRPr="00D33F7C" w:rsidRDefault="00D33F7C" w:rsidP="00D33F7C">
            <w:pPr>
              <w:jc w:val="center"/>
              <w:rPr>
                <w:rFonts w:ascii="Garamond" w:eastAsia="Times New Roman" w:hAnsi="Garamond"/>
                <w:b/>
                <w:bCs/>
                <w:sz w:val="20"/>
                <w:szCs w:val="20"/>
                <w:lang w:val="en-IN" w:eastAsia="en-IN" w:bidi="hi-IN"/>
              </w:rPr>
            </w:pPr>
            <w:r w:rsidRPr="00D33F7C">
              <w:rPr>
                <w:rFonts w:ascii="Garamond" w:eastAsia="Times New Roman" w:hAnsi="Garamond"/>
                <w:b/>
                <w:bCs/>
                <w:sz w:val="20"/>
                <w:szCs w:val="20"/>
                <w:lang w:val="en-IN" w:eastAsia="en-IN" w:bidi="hi-IN"/>
              </w:rPr>
              <w:t>Percentage Change Over Month</w:t>
            </w:r>
          </w:p>
        </w:tc>
      </w:tr>
      <w:tr w:rsidR="00D33F7C" w:rsidRPr="00D33F7C" w14:paraId="2B6AB302" w14:textId="77777777" w:rsidTr="00E213CE">
        <w:trPr>
          <w:trHeight w:val="255"/>
        </w:trPr>
        <w:tc>
          <w:tcPr>
            <w:tcW w:w="9800" w:type="dxa"/>
            <w:gridSpan w:val="7"/>
            <w:tcBorders>
              <w:top w:val="single" w:sz="4" w:space="0" w:color="auto"/>
              <w:left w:val="single" w:sz="4" w:space="0" w:color="auto"/>
              <w:bottom w:val="single" w:sz="4" w:space="0" w:color="auto"/>
              <w:right w:val="single" w:sz="4" w:space="0" w:color="auto"/>
            </w:tcBorders>
            <w:shd w:val="clear" w:color="FFFFCC" w:fill="FFFFCC"/>
            <w:vAlign w:val="center"/>
            <w:hideMark/>
          </w:tcPr>
          <w:p w14:paraId="0C18B880" w14:textId="77777777" w:rsidR="00D33F7C" w:rsidRPr="00D33F7C" w:rsidRDefault="00D33F7C" w:rsidP="00D33F7C">
            <w:pPr>
              <w:rPr>
                <w:rFonts w:ascii="Garamond" w:eastAsia="Times New Roman" w:hAnsi="Garamond"/>
                <w:b/>
                <w:bCs/>
                <w:sz w:val="20"/>
                <w:szCs w:val="20"/>
                <w:lang w:val="en-IN" w:eastAsia="en-IN" w:bidi="hi-IN"/>
              </w:rPr>
            </w:pPr>
            <w:r w:rsidRPr="00D33F7C">
              <w:rPr>
                <w:rFonts w:ascii="Garamond" w:eastAsia="Times New Roman" w:hAnsi="Garamond"/>
                <w:b/>
                <w:bCs/>
                <w:sz w:val="20"/>
                <w:szCs w:val="20"/>
                <w:lang w:val="en-IN" w:eastAsia="en-IN" w:bidi="hi-IN"/>
              </w:rPr>
              <w:t xml:space="preserve">A. Turnover  </w:t>
            </w:r>
            <w:r w:rsidRPr="00D33F7C">
              <w:rPr>
                <w:rFonts w:ascii="Rupee" w:eastAsia="Times New Roman" w:hAnsi="Rupee"/>
                <w:b/>
                <w:bCs/>
                <w:sz w:val="20"/>
                <w:szCs w:val="20"/>
                <w:lang w:val="en-IN" w:eastAsia="en-IN" w:bidi="hi-IN"/>
              </w:rPr>
              <w:t>(</w:t>
            </w:r>
            <w:r w:rsidRPr="00D33F7C">
              <w:rPr>
                <w:rFonts w:ascii="Rupee Foradian" w:eastAsia="Times New Roman" w:hAnsi="Rupee Foradian"/>
                <w:b/>
                <w:bCs/>
                <w:sz w:val="20"/>
                <w:szCs w:val="20"/>
                <w:lang w:val="en-IN" w:eastAsia="en-IN" w:bidi="hi-IN"/>
              </w:rPr>
              <w:t>`</w:t>
            </w:r>
            <w:r w:rsidRPr="00D33F7C">
              <w:rPr>
                <w:rFonts w:ascii="Rupee" w:eastAsia="Times New Roman" w:hAnsi="Rupee"/>
                <w:b/>
                <w:bCs/>
                <w:sz w:val="20"/>
                <w:szCs w:val="20"/>
                <w:lang w:val="en-IN" w:eastAsia="en-IN" w:bidi="hi-IN"/>
              </w:rPr>
              <w:t xml:space="preserve"> </w:t>
            </w:r>
            <w:r w:rsidRPr="00D33F7C">
              <w:rPr>
                <w:rFonts w:ascii="Garamond" w:eastAsia="Times New Roman" w:hAnsi="Garamond"/>
                <w:b/>
                <w:bCs/>
                <w:sz w:val="20"/>
                <w:szCs w:val="20"/>
                <w:lang w:val="en-IN" w:eastAsia="en-IN" w:bidi="hi-IN"/>
              </w:rPr>
              <w:t>crore)</w:t>
            </w:r>
          </w:p>
        </w:tc>
      </w:tr>
      <w:tr w:rsidR="00D33F7C" w:rsidRPr="00D33F7C" w14:paraId="5D3F2F74" w14:textId="77777777" w:rsidTr="00E213CE">
        <w:trPr>
          <w:trHeight w:val="255"/>
        </w:trPr>
        <w:tc>
          <w:tcPr>
            <w:tcW w:w="1960" w:type="dxa"/>
            <w:tcBorders>
              <w:top w:val="nil"/>
              <w:left w:val="single" w:sz="4" w:space="0" w:color="auto"/>
              <w:bottom w:val="single" w:sz="4" w:space="0" w:color="auto"/>
              <w:right w:val="single" w:sz="4" w:space="0" w:color="auto"/>
            </w:tcBorders>
            <w:shd w:val="clear" w:color="C6D9F0" w:fill="C6D9F0"/>
            <w:noWrap/>
            <w:vAlign w:val="center"/>
            <w:hideMark/>
          </w:tcPr>
          <w:p w14:paraId="37622985" w14:textId="77777777" w:rsidR="00D33F7C" w:rsidRPr="00D33F7C" w:rsidRDefault="00D33F7C" w:rsidP="00D33F7C">
            <w:pPr>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 xml:space="preserve">   (i) Index  Futures</w:t>
            </w:r>
          </w:p>
        </w:tc>
        <w:tc>
          <w:tcPr>
            <w:tcW w:w="1180" w:type="dxa"/>
            <w:tcBorders>
              <w:top w:val="nil"/>
              <w:left w:val="nil"/>
              <w:bottom w:val="single" w:sz="4" w:space="0" w:color="auto"/>
              <w:right w:val="single" w:sz="4" w:space="0" w:color="auto"/>
            </w:tcBorders>
            <w:shd w:val="clear" w:color="auto" w:fill="auto"/>
            <w:noWrap/>
            <w:vAlign w:val="center"/>
            <w:hideMark/>
          </w:tcPr>
          <w:p w14:paraId="4BDFAC55"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6,12,520</w:t>
            </w:r>
          </w:p>
        </w:tc>
        <w:tc>
          <w:tcPr>
            <w:tcW w:w="1255" w:type="dxa"/>
            <w:tcBorders>
              <w:top w:val="nil"/>
              <w:left w:val="nil"/>
              <w:bottom w:val="single" w:sz="4" w:space="0" w:color="auto"/>
              <w:right w:val="single" w:sz="4" w:space="0" w:color="auto"/>
            </w:tcBorders>
            <w:shd w:val="clear" w:color="auto" w:fill="auto"/>
            <w:noWrap/>
            <w:vAlign w:val="center"/>
            <w:hideMark/>
          </w:tcPr>
          <w:p w14:paraId="5EE30AA0"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5,71,272</w:t>
            </w:r>
          </w:p>
        </w:tc>
        <w:tc>
          <w:tcPr>
            <w:tcW w:w="1245" w:type="dxa"/>
            <w:tcBorders>
              <w:top w:val="nil"/>
              <w:left w:val="nil"/>
              <w:bottom w:val="single" w:sz="4" w:space="0" w:color="auto"/>
              <w:right w:val="single" w:sz="4" w:space="0" w:color="auto"/>
            </w:tcBorders>
            <w:shd w:val="clear" w:color="auto" w:fill="auto"/>
            <w:noWrap/>
            <w:vAlign w:val="center"/>
            <w:hideMark/>
          </w:tcPr>
          <w:p w14:paraId="471B7C7C"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-6.7</w:t>
            </w:r>
          </w:p>
        </w:tc>
        <w:tc>
          <w:tcPr>
            <w:tcW w:w="1340" w:type="dxa"/>
            <w:tcBorders>
              <w:top w:val="nil"/>
              <w:left w:val="nil"/>
              <w:bottom w:val="single" w:sz="4" w:space="0" w:color="auto"/>
              <w:right w:val="single" w:sz="4" w:space="0" w:color="auto"/>
            </w:tcBorders>
            <w:shd w:val="clear" w:color="auto" w:fill="auto"/>
            <w:vAlign w:val="center"/>
            <w:hideMark/>
          </w:tcPr>
          <w:p w14:paraId="04836B28" w14:textId="77777777" w:rsidR="00D33F7C" w:rsidRPr="00D33F7C" w:rsidRDefault="00D33F7C" w:rsidP="00D33F7C">
            <w:pPr>
              <w:jc w:val="right"/>
              <w:rPr>
                <w:rFonts w:ascii="Garamond" w:eastAsia="Times New Roman" w:hAnsi="Garamond"/>
                <w:color w:val="000000"/>
                <w:sz w:val="20"/>
                <w:szCs w:val="20"/>
                <w:lang w:val="en-IN" w:eastAsia="en-IN" w:bidi="hi-IN"/>
              </w:rPr>
            </w:pPr>
            <w:r w:rsidRPr="00D33F7C">
              <w:rPr>
                <w:rFonts w:ascii="Garamond" w:eastAsia="Times New Roman" w:hAnsi="Garamond"/>
                <w:color w:val="000000"/>
                <w:sz w:val="20"/>
                <w:szCs w:val="20"/>
                <w:lang w:val="en-IN" w:eastAsia="en-IN" w:bidi="hi-IN"/>
              </w:rPr>
              <w:t>193.4</w:t>
            </w:r>
          </w:p>
        </w:tc>
        <w:tc>
          <w:tcPr>
            <w:tcW w:w="1340" w:type="dxa"/>
            <w:tcBorders>
              <w:top w:val="nil"/>
              <w:left w:val="nil"/>
              <w:bottom w:val="single" w:sz="4" w:space="0" w:color="auto"/>
              <w:right w:val="single" w:sz="4" w:space="0" w:color="auto"/>
            </w:tcBorders>
            <w:shd w:val="clear" w:color="auto" w:fill="auto"/>
            <w:vAlign w:val="center"/>
            <w:hideMark/>
          </w:tcPr>
          <w:p w14:paraId="40B2834C" w14:textId="77777777" w:rsidR="00D33F7C" w:rsidRPr="00D33F7C" w:rsidRDefault="00D33F7C" w:rsidP="00D33F7C">
            <w:pPr>
              <w:jc w:val="right"/>
              <w:rPr>
                <w:rFonts w:ascii="Garamond" w:eastAsia="Times New Roman" w:hAnsi="Garamond"/>
                <w:color w:val="000000"/>
                <w:sz w:val="20"/>
                <w:szCs w:val="20"/>
                <w:lang w:val="en-IN" w:eastAsia="en-IN" w:bidi="hi-IN"/>
              </w:rPr>
            </w:pPr>
            <w:r w:rsidRPr="00D33F7C">
              <w:rPr>
                <w:rFonts w:ascii="Garamond" w:eastAsia="Times New Roman" w:hAnsi="Garamond"/>
                <w:color w:val="000000"/>
                <w:sz w:val="20"/>
                <w:szCs w:val="20"/>
                <w:lang w:val="en-IN" w:eastAsia="en-IN" w:bidi="hi-IN"/>
              </w:rPr>
              <w:t>67.5</w:t>
            </w:r>
          </w:p>
        </w:tc>
        <w:tc>
          <w:tcPr>
            <w:tcW w:w="1480" w:type="dxa"/>
            <w:tcBorders>
              <w:top w:val="nil"/>
              <w:left w:val="nil"/>
              <w:bottom w:val="single" w:sz="4" w:space="0" w:color="auto"/>
              <w:right w:val="single" w:sz="4" w:space="0" w:color="auto"/>
            </w:tcBorders>
            <w:shd w:val="clear" w:color="auto" w:fill="auto"/>
            <w:noWrap/>
            <w:vAlign w:val="center"/>
            <w:hideMark/>
          </w:tcPr>
          <w:p w14:paraId="1B63C311"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-65</w:t>
            </w:r>
          </w:p>
        </w:tc>
      </w:tr>
      <w:tr w:rsidR="00D33F7C" w:rsidRPr="00D33F7C" w14:paraId="67010A88" w14:textId="77777777" w:rsidTr="00E213CE">
        <w:trPr>
          <w:trHeight w:val="255"/>
        </w:trPr>
        <w:tc>
          <w:tcPr>
            <w:tcW w:w="1960" w:type="dxa"/>
            <w:tcBorders>
              <w:top w:val="nil"/>
              <w:left w:val="single" w:sz="4" w:space="0" w:color="auto"/>
              <w:bottom w:val="single" w:sz="4" w:space="0" w:color="auto"/>
              <w:right w:val="single" w:sz="4" w:space="0" w:color="auto"/>
            </w:tcBorders>
            <w:shd w:val="clear" w:color="C6D9F0" w:fill="C6D9F0"/>
            <w:noWrap/>
            <w:vAlign w:val="center"/>
            <w:hideMark/>
          </w:tcPr>
          <w:p w14:paraId="5C0C4B88" w14:textId="77777777" w:rsidR="00D33F7C" w:rsidRPr="00D33F7C" w:rsidRDefault="00D33F7C" w:rsidP="00D33F7C">
            <w:pPr>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 xml:space="preserve">   (ii) Options on Index</w:t>
            </w:r>
          </w:p>
        </w:tc>
        <w:tc>
          <w:tcPr>
            <w:tcW w:w="1180" w:type="dxa"/>
            <w:tcBorders>
              <w:top w:val="nil"/>
              <w:left w:val="nil"/>
              <w:bottom w:val="single" w:sz="4" w:space="0" w:color="auto"/>
              <w:right w:val="single" w:sz="4" w:space="0" w:color="auto"/>
            </w:tcBorders>
            <w:shd w:val="clear" w:color="auto" w:fill="auto"/>
            <w:noWrap/>
            <w:vAlign w:val="center"/>
            <w:hideMark/>
          </w:tcPr>
          <w:p w14:paraId="5EBA8ACE"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 </w:t>
            </w:r>
          </w:p>
        </w:tc>
        <w:tc>
          <w:tcPr>
            <w:tcW w:w="1255" w:type="dxa"/>
            <w:tcBorders>
              <w:top w:val="nil"/>
              <w:left w:val="nil"/>
              <w:bottom w:val="single" w:sz="4" w:space="0" w:color="auto"/>
              <w:right w:val="single" w:sz="4" w:space="0" w:color="auto"/>
            </w:tcBorders>
            <w:shd w:val="clear" w:color="auto" w:fill="auto"/>
            <w:noWrap/>
            <w:vAlign w:val="center"/>
            <w:hideMark/>
          </w:tcPr>
          <w:p w14:paraId="356BD7FA"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 </w:t>
            </w:r>
          </w:p>
        </w:tc>
        <w:tc>
          <w:tcPr>
            <w:tcW w:w="1245" w:type="dxa"/>
            <w:tcBorders>
              <w:top w:val="nil"/>
              <w:left w:val="nil"/>
              <w:bottom w:val="single" w:sz="4" w:space="0" w:color="auto"/>
              <w:right w:val="single" w:sz="4" w:space="0" w:color="auto"/>
            </w:tcBorders>
            <w:shd w:val="clear" w:color="auto" w:fill="auto"/>
            <w:noWrap/>
            <w:vAlign w:val="center"/>
            <w:hideMark/>
          </w:tcPr>
          <w:p w14:paraId="0549752E"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 </w:t>
            </w:r>
          </w:p>
        </w:tc>
        <w:tc>
          <w:tcPr>
            <w:tcW w:w="1340" w:type="dxa"/>
            <w:tcBorders>
              <w:top w:val="nil"/>
              <w:left w:val="nil"/>
              <w:bottom w:val="single" w:sz="4" w:space="0" w:color="auto"/>
              <w:right w:val="single" w:sz="4" w:space="0" w:color="auto"/>
            </w:tcBorders>
            <w:shd w:val="clear" w:color="auto" w:fill="auto"/>
            <w:noWrap/>
            <w:vAlign w:val="center"/>
            <w:hideMark/>
          </w:tcPr>
          <w:p w14:paraId="6E2113A4"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 </w:t>
            </w:r>
          </w:p>
        </w:tc>
        <w:tc>
          <w:tcPr>
            <w:tcW w:w="1340" w:type="dxa"/>
            <w:tcBorders>
              <w:top w:val="nil"/>
              <w:left w:val="nil"/>
              <w:bottom w:val="single" w:sz="4" w:space="0" w:color="auto"/>
              <w:right w:val="single" w:sz="4" w:space="0" w:color="auto"/>
            </w:tcBorders>
            <w:shd w:val="clear" w:color="auto" w:fill="auto"/>
            <w:noWrap/>
            <w:vAlign w:val="center"/>
            <w:hideMark/>
          </w:tcPr>
          <w:p w14:paraId="05FB61AF"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 </w:t>
            </w:r>
          </w:p>
        </w:tc>
        <w:tc>
          <w:tcPr>
            <w:tcW w:w="1480" w:type="dxa"/>
            <w:tcBorders>
              <w:top w:val="nil"/>
              <w:left w:val="nil"/>
              <w:bottom w:val="single" w:sz="4" w:space="0" w:color="auto"/>
              <w:right w:val="single" w:sz="4" w:space="0" w:color="auto"/>
            </w:tcBorders>
            <w:shd w:val="clear" w:color="auto" w:fill="auto"/>
            <w:noWrap/>
            <w:vAlign w:val="center"/>
            <w:hideMark/>
          </w:tcPr>
          <w:p w14:paraId="17DF27A8"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 </w:t>
            </w:r>
          </w:p>
        </w:tc>
      </w:tr>
      <w:tr w:rsidR="00D33F7C" w:rsidRPr="00D33F7C" w14:paraId="53251CF9" w14:textId="77777777" w:rsidTr="00E213CE">
        <w:trPr>
          <w:trHeight w:val="255"/>
        </w:trPr>
        <w:tc>
          <w:tcPr>
            <w:tcW w:w="1960" w:type="dxa"/>
            <w:tcBorders>
              <w:top w:val="nil"/>
              <w:left w:val="single" w:sz="4" w:space="0" w:color="auto"/>
              <w:bottom w:val="single" w:sz="4" w:space="0" w:color="auto"/>
              <w:right w:val="single" w:sz="4" w:space="0" w:color="auto"/>
            </w:tcBorders>
            <w:shd w:val="clear" w:color="C6D9F0" w:fill="C6D9F0"/>
            <w:noWrap/>
            <w:vAlign w:val="center"/>
            <w:hideMark/>
          </w:tcPr>
          <w:p w14:paraId="2DFDED95" w14:textId="77777777" w:rsidR="00D33F7C" w:rsidRPr="00D33F7C" w:rsidRDefault="00D33F7C" w:rsidP="00D33F7C">
            <w:pPr>
              <w:rPr>
                <w:rFonts w:ascii="Garamond" w:eastAsia="Times New Roman" w:hAnsi="Garamond"/>
                <w:i/>
                <w:iCs/>
                <w:sz w:val="20"/>
                <w:szCs w:val="20"/>
                <w:lang w:val="en-IN" w:eastAsia="en-IN" w:bidi="hi-IN"/>
              </w:rPr>
            </w:pPr>
            <w:r w:rsidRPr="00D33F7C">
              <w:rPr>
                <w:rFonts w:ascii="Garamond" w:eastAsia="Times New Roman" w:hAnsi="Garamond"/>
                <w:i/>
                <w:iCs/>
                <w:sz w:val="20"/>
                <w:szCs w:val="20"/>
                <w:lang w:val="en-IN" w:eastAsia="en-IN" w:bidi="hi-IN"/>
              </w:rPr>
              <w:t xml:space="preserve">            Put</w:t>
            </w:r>
          </w:p>
        </w:tc>
        <w:tc>
          <w:tcPr>
            <w:tcW w:w="1180" w:type="dxa"/>
            <w:tcBorders>
              <w:top w:val="nil"/>
              <w:left w:val="nil"/>
              <w:bottom w:val="single" w:sz="4" w:space="0" w:color="auto"/>
              <w:right w:val="single" w:sz="4" w:space="0" w:color="auto"/>
            </w:tcBorders>
            <w:shd w:val="clear" w:color="auto" w:fill="auto"/>
            <w:noWrap/>
            <w:vAlign w:val="center"/>
            <w:hideMark/>
          </w:tcPr>
          <w:p w14:paraId="01902F5F"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3,78,00,824</w:t>
            </w:r>
          </w:p>
        </w:tc>
        <w:tc>
          <w:tcPr>
            <w:tcW w:w="1255" w:type="dxa"/>
            <w:tcBorders>
              <w:top w:val="nil"/>
              <w:left w:val="nil"/>
              <w:bottom w:val="single" w:sz="4" w:space="0" w:color="auto"/>
              <w:right w:val="single" w:sz="4" w:space="0" w:color="auto"/>
            </w:tcBorders>
            <w:shd w:val="clear" w:color="auto" w:fill="auto"/>
            <w:noWrap/>
            <w:vAlign w:val="center"/>
            <w:hideMark/>
          </w:tcPr>
          <w:p w14:paraId="1375F282"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4,51,14,987</w:t>
            </w:r>
          </w:p>
        </w:tc>
        <w:tc>
          <w:tcPr>
            <w:tcW w:w="1245" w:type="dxa"/>
            <w:tcBorders>
              <w:top w:val="nil"/>
              <w:left w:val="nil"/>
              <w:bottom w:val="single" w:sz="4" w:space="0" w:color="auto"/>
              <w:right w:val="single" w:sz="4" w:space="0" w:color="auto"/>
            </w:tcBorders>
            <w:shd w:val="clear" w:color="auto" w:fill="auto"/>
            <w:noWrap/>
            <w:vAlign w:val="center"/>
            <w:hideMark/>
          </w:tcPr>
          <w:p w14:paraId="2EE51209"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19.3</w:t>
            </w:r>
          </w:p>
        </w:tc>
        <w:tc>
          <w:tcPr>
            <w:tcW w:w="1340" w:type="dxa"/>
            <w:tcBorders>
              <w:top w:val="nil"/>
              <w:left w:val="nil"/>
              <w:bottom w:val="single" w:sz="4" w:space="0" w:color="auto"/>
              <w:right w:val="single" w:sz="4" w:space="0" w:color="auto"/>
            </w:tcBorders>
            <w:shd w:val="clear" w:color="auto" w:fill="auto"/>
            <w:noWrap/>
            <w:vAlign w:val="center"/>
            <w:hideMark/>
          </w:tcPr>
          <w:p w14:paraId="24F1BA13"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19,59,640</w:t>
            </w:r>
          </w:p>
        </w:tc>
        <w:tc>
          <w:tcPr>
            <w:tcW w:w="1340" w:type="dxa"/>
            <w:tcBorders>
              <w:top w:val="nil"/>
              <w:left w:val="nil"/>
              <w:bottom w:val="single" w:sz="4" w:space="0" w:color="auto"/>
              <w:right w:val="single" w:sz="4" w:space="0" w:color="auto"/>
            </w:tcBorders>
            <w:shd w:val="clear" w:color="auto" w:fill="auto"/>
            <w:noWrap/>
            <w:vAlign w:val="center"/>
            <w:hideMark/>
          </w:tcPr>
          <w:p w14:paraId="687C4214"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24,40,367</w:t>
            </w:r>
          </w:p>
        </w:tc>
        <w:tc>
          <w:tcPr>
            <w:tcW w:w="1480" w:type="dxa"/>
            <w:tcBorders>
              <w:top w:val="nil"/>
              <w:left w:val="nil"/>
              <w:bottom w:val="single" w:sz="4" w:space="0" w:color="auto"/>
              <w:right w:val="single" w:sz="4" w:space="0" w:color="auto"/>
            </w:tcBorders>
            <w:shd w:val="clear" w:color="auto" w:fill="auto"/>
            <w:noWrap/>
            <w:vAlign w:val="center"/>
            <w:hideMark/>
          </w:tcPr>
          <w:p w14:paraId="01FFF34A"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24.5</w:t>
            </w:r>
          </w:p>
        </w:tc>
      </w:tr>
      <w:tr w:rsidR="00D33F7C" w:rsidRPr="00D33F7C" w14:paraId="63A076D9" w14:textId="77777777" w:rsidTr="00E213CE">
        <w:trPr>
          <w:trHeight w:val="255"/>
        </w:trPr>
        <w:tc>
          <w:tcPr>
            <w:tcW w:w="1960" w:type="dxa"/>
            <w:tcBorders>
              <w:top w:val="nil"/>
              <w:left w:val="single" w:sz="4" w:space="0" w:color="auto"/>
              <w:bottom w:val="single" w:sz="4" w:space="0" w:color="auto"/>
              <w:right w:val="single" w:sz="4" w:space="0" w:color="auto"/>
            </w:tcBorders>
            <w:shd w:val="clear" w:color="C6D9F0" w:fill="C6D9F0"/>
            <w:noWrap/>
            <w:vAlign w:val="center"/>
            <w:hideMark/>
          </w:tcPr>
          <w:p w14:paraId="51D5540D" w14:textId="77777777" w:rsidR="00D33F7C" w:rsidRPr="00D33F7C" w:rsidRDefault="00D33F7C" w:rsidP="00D33F7C">
            <w:pPr>
              <w:rPr>
                <w:rFonts w:ascii="Garamond" w:eastAsia="Times New Roman" w:hAnsi="Garamond"/>
                <w:i/>
                <w:iCs/>
                <w:sz w:val="20"/>
                <w:szCs w:val="20"/>
                <w:lang w:val="en-IN" w:eastAsia="en-IN" w:bidi="hi-IN"/>
              </w:rPr>
            </w:pPr>
            <w:r w:rsidRPr="00D33F7C">
              <w:rPr>
                <w:rFonts w:ascii="Garamond" w:eastAsia="Times New Roman" w:hAnsi="Garamond"/>
                <w:i/>
                <w:iCs/>
                <w:sz w:val="20"/>
                <w:szCs w:val="20"/>
                <w:lang w:val="en-IN" w:eastAsia="en-IN" w:bidi="hi-IN"/>
              </w:rPr>
              <w:t xml:space="preserve">           Call</w:t>
            </w:r>
          </w:p>
        </w:tc>
        <w:tc>
          <w:tcPr>
            <w:tcW w:w="1180" w:type="dxa"/>
            <w:tcBorders>
              <w:top w:val="nil"/>
              <w:left w:val="nil"/>
              <w:bottom w:val="single" w:sz="4" w:space="0" w:color="auto"/>
              <w:right w:val="single" w:sz="4" w:space="0" w:color="auto"/>
            </w:tcBorders>
            <w:shd w:val="clear" w:color="auto" w:fill="auto"/>
            <w:noWrap/>
            <w:vAlign w:val="center"/>
            <w:hideMark/>
          </w:tcPr>
          <w:p w14:paraId="00064E2B"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4,28,58,735</w:t>
            </w:r>
          </w:p>
        </w:tc>
        <w:tc>
          <w:tcPr>
            <w:tcW w:w="1255" w:type="dxa"/>
            <w:tcBorders>
              <w:top w:val="nil"/>
              <w:left w:val="nil"/>
              <w:bottom w:val="single" w:sz="4" w:space="0" w:color="auto"/>
              <w:right w:val="single" w:sz="4" w:space="0" w:color="auto"/>
            </w:tcBorders>
            <w:shd w:val="clear" w:color="auto" w:fill="auto"/>
            <w:noWrap/>
            <w:vAlign w:val="center"/>
            <w:hideMark/>
          </w:tcPr>
          <w:p w14:paraId="0CF17A20"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4,94,68,889</w:t>
            </w:r>
          </w:p>
        </w:tc>
        <w:tc>
          <w:tcPr>
            <w:tcW w:w="1245" w:type="dxa"/>
            <w:tcBorders>
              <w:top w:val="nil"/>
              <w:left w:val="nil"/>
              <w:bottom w:val="single" w:sz="4" w:space="0" w:color="auto"/>
              <w:right w:val="single" w:sz="4" w:space="0" w:color="auto"/>
            </w:tcBorders>
            <w:shd w:val="clear" w:color="auto" w:fill="auto"/>
            <w:noWrap/>
            <w:vAlign w:val="center"/>
            <w:hideMark/>
          </w:tcPr>
          <w:p w14:paraId="26E6E170"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15.4</w:t>
            </w:r>
          </w:p>
        </w:tc>
        <w:tc>
          <w:tcPr>
            <w:tcW w:w="1340" w:type="dxa"/>
            <w:tcBorders>
              <w:top w:val="nil"/>
              <w:left w:val="nil"/>
              <w:bottom w:val="single" w:sz="4" w:space="0" w:color="auto"/>
              <w:right w:val="single" w:sz="4" w:space="0" w:color="auto"/>
            </w:tcBorders>
            <w:shd w:val="clear" w:color="auto" w:fill="auto"/>
            <w:noWrap/>
            <w:vAlign w:val="center"/>
            <w:hideMark/>
          </w:tcPr>
          <w:p w14:paraId="02635595"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45,19,811</w:t>
            </w:r>
          </w:p>
        </w:tc>
        <w:tc>
          <w:tcPr>
            <w:tcW w:w="1340" w:type="dxa"/>
            <w:tcBorders>
              <w:top w:val="nil"/>
              <w:left w:val="nil"/>
              <w:bottom w:val="single" w:sz="4" w:space="0" w:color="auto"/>
              <w:right w:val="single" w:sz="4" w:space="0" w:color="auto"/>
            </w:tcBorders>
            <w:shd w:val="clear" w:color="auto" w:fill="auto"/>
            <w:noWrap/>
            <w:vAlign w:val="center"/>
            <w:hideMark/>
          </w:tcPr>
          <w:p w14:paraId="37D6F8DD"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42,30,952</w:t>
            </w:r>
          </w:p>
        </w:tc>
        <w:tc>
          <w:tcPr>
            <w:tcW w:w="1480" w:type="dxa"/>
            <w:tcBorders>
              <w:top w:val="nil"/>
              <w:left w:val="nil"/>
              <w:bottom w:val="single" w:sz="4" w:space="0" w:color="auto"/>
              <w:right w:val="single" w:sz="4" w:space="0" w:color="auto"/>
            </w:tcBorders>
            <w:shd w:val="clear" w:color="auto" w:fill="auto"/>
            <w:noWrap/>
            <w:vAlign w:val="center"/>
            <w:hideMark/>
          </w:tcPr>
          <w:p w14:paraId="4D1617EB"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-6.4</w:t>
            </w:r>
          </w:p>
        </w:tc>
      </w:tr>
      <w:tr w:rsidR="00D33F7C" w:rsidRPr="00D33F7C" w14:paraId="2ACB886B" w14:textId="77777777" w:rsidTr="00E213CE">
        <w:trPr>
          <w:trHeight w:val="255"/>
        </w:trPr>
        <w:tc>
          <w:tcPr>
            <w:tcW w:w="1960" w:type="dxa"/>
            <w:tcBorders>
              <w:top w:val="nil"/>
              <w:left w:val="single" w:sz="4" w:space="0" w:color="auto"/>
              <w:bottom w:val="single" w:sz="4" w:space="0" w:color="auto"/>
              <w:right w:val="single" w:sz="4" w:space="0" w:color="auto"/>
            </w:tcBorders>
            <w:shd w:val="clear" w:color="C6D9F0" w:fill="C6D9F0"/>
            <w:noWrap/>
            <w:vAlign w:val="center"/>
            <w:hideMark/>
          </w:tcPr>
          <w:p w14:paraId="1DFC52ED" w14:textId="77777777" w:rsidR="00D33F7C" w:rsidRPr="00D33F7C" w:rsidRDefault="00D33F7C" w:rsidP="00D33F7C">
            <w:pPr>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 xml:space="preserve">  (iii) Stock Futures</w:t>
            </w:r>
          </w:p>
        </w:tc>
        <w:tc>
          <w:tcPr>
            <w:tcW w:w="1180" w:type="dxa"/>
            <w:tcBorders>
              <w:top w:val="nil"/>
              <w:left w:val="nil"/>
              <w:bottom w:val="single" w:sz="4" w:space="0" w:color="auto"/>
              <w:right w:val="single" w:sz="4" w:space="0" w:color="auto"/>
            </w:tcBorders>
            <w:shd w:val="clear" w:color="auto" w:fill="auto"/>
            <w:noWrap/>
            <w:vAlign w:val="center"/>
            <w:hideMark/>
          </w:tcPr>
          <w:p w14:paraId="74061DBE"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17,33,905</w:t>
            </w:r>
          </w:p>
        </w:tc>
        <w:tc>
          <w:tcPr>
            <w:tcW w:w="1255" w:type="dxa"/>
            <w:tcBorders>
              <w:top w:val="nil"/>
              <w:left w:val="nil"/>
              <w:bottom w:val="single" w:sz="4" w:space="0" w:color="auto"/>
              <w:right w:val="single" w:sz="4" w:space="0" w:color="auto"/>
            </w:tcBorders>
            <w:shd w:val="clear" w:color="auto" w:fill="auto"/>
            <w:noWrap/>
            <w:vAlign w:val="center"/>
            <w:hideMark/>
          </w:tcPr>
          <w:p w14:paraId="29B00573"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17,67,538</w:t>
            </w:r>
          </w:p>
        </w:tc>
        <w:tc>
          <w:tcPr>
            <w:tcW w:w="1245" w:type="dxa"/>
            <w:tcBorders>
              <w:top w:val="nil"/>
              <w:left w:val="nil"/>
              <w:bottom w:val="single" w:sz="4" w:space="0" w:color="auto"/>
              <w:right w:val="single" w:sz="4" w:space="0" w:color="auto"/>
            </w:tcBorders>
            <w:shd w:val="clear" w:color="auto" w:fill="auto"/>
            <w:noWrap/>
            <w:vAlign w:val="center"/>
            <w:hideMark/>
          </w:tcPr>
          <w:p w14:paraId="60CDD754"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1.9</w:t>
            </w:r>
          </w:p>
        </w:tc>
        <w:tc>
          <w:tcPr>
            <w:tcW w:w="1340" w:type="dxa"/>
            <w:tcBorders>
              <w:top w:val="nil"/>
              <w:left w:val="nil"/>
              <w:bottom w:val="single" w:sz="4" w:space="0" w:color="auto"/>
              <w:right w:val="single" w:sz="4" w:space="0" w:color="auto"/>
            </w:tcBorders>
            <w:shd w:val="clear" w:color="auto" w:fill="auto"/>
            <w:noWrap/>
            <w:vAlign w:val="center"/>
            <w:hideMark/>
          </w:tcPr>
          <w:p w14:paraId="53CAA774"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0.0</w:t>
            </w:r>
          </w:p>
        </w:tc>
        <w:tc>
          <w:tcPr>
            <w:tcW w:w="1340" w:type="dxa"/>
            <w:tcBorders>
              <w:top w:val="nil"/>
              <w:left w:val="nil"/>
              <w:bottom w:val="single" w:sz="4" w:space="0" w:color="auto"/>
              <w:right w:val="single" w:sz="4" w:space="0" w:color="auto"/>
            </w:tcBorders>
            <w:shd w:val="clear" w:color="auto" w:fill="auto"/>
            <w:noWrap/>
            <w:vAlign w:val="center"/>
            <w:hideMark/>
          </w:tcPr>
          <w:p w14:paraId="2086E33C"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0.0</w:t>
            </w:r>
          </w:p>
        </w:tc>
        <w:tc>
          <w:tcPr>
            <w:tcW w:w="1480" w:type="dxa"/>
            <w:tcBorders>
              <w:top w:val="nil"/>
              <w:left w:val="nil"/>
              <w:bottom w:val="single" w:sz="4" w:space="0" w:color="auto"/>
              <w:right w:val="single" w:sz="4" w:space="0" w:color="auto"/>
            </w:tcBorders>
            <w:shd w:val="clear" w:color="auto" w:fill="auto"/>
            <w:noWrap/>
            <w:vAlign w:val="center"/>
            <w:hideMark/>
          </w:tcPr>
          <w:p w14:paraId="71C84352"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NA</w:t>
            </w:r>
          </w:p>
        </w:tc>
      </w:tr>
      <w:tr w:rsidR="00D33F7C" w:rsidRPr="00D33F7C" w14:paraId="648EFD71" w14:textId="77777777" w:rsidTr="00E213CE">
        <w:trPr>
          <w:trHeight w:val="255"/>
        </w:trPr>
        <w:tc>
          <w:tcPr>
            <w:tcW w:w="1960" w:type="dxa"/>
            <w:tcBorders>
              <w:top w:val="nil"/>
              <w:left w:val="single" w:sz="4" w:space="0" w:color="auto"/>
              <w:bottom w:val="single" w:sz="4" w:space="0" w:color="auto"/>
              <w:right w:val="single" w:sz="4" w:space="0" w:color="auto"/>
            </w:tcBorders>
            <w:shd w:val="clear" w:color="C6D9F0" w:fill="C6D9F0"/>
            <w:noWrap/>
            <w:vAlign w:val="center"/>
            <w:hideMark/>
          </w:tcPr>
          <w:p w14:paraId="5D3D2C70" w14:textId="77777777" w:rsidR="00D33F7C" w:rsidRPr="00D33F7C" w:rsidRDefault="00D33F7C" w:rsidP="00D33F7C">
            <w:pPr>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(iv) Options on Stock</w:t>
            </w:r>
          </w:p>
        </w:tc>
        <w:tc>
          <w:tcPr>
            <w:tcW w:w="1180" w:type="dxa"/>
            <w:tcBorders>
              <w:top w:val="nil"/>
              <w:left w:val="nil"/>
              <w:bottom w:val="single" w:sz="4" w:space="0" w:color="auto"/>
              <w:right w:val="single" w:sz="4" w:space="0" w:color="auto"/>
            </w:tcBorders>
            <w:shd w:val="clear" w:color="auto" w:fill="auto"/>
            <w:noWrap/>
            <w:vAlign w:val="center"/>
            <w:hideMark/>
          </w:tcPr>
          <w:p w14:paraId="0EDEAE0A"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 </w:t>
            </w:r>
          </w:p>
        </w:tc>
        <w:tc>
          <w:tcPr>
            <w:tcW w:w="1255" w:type="dxa"/>
            <w:tcBorders>
              <w:top w:val="nil"/>
              <w:left w:val="nil"/>
              <w:bottom w:val="single" w:sz="4" w:space="0" w:color="auto"/>
              <w:right w:val="single" w:sz="4" w:space="0" w:color="auto"/>
            </w:tcBorders>
            <w:shd w:val="clear" w:color="auto" w:fill="auto"/>
            <w:noWrap/>
            <w:vAlign w:val="center"/>
            <w:hideMark/>
          </w:tcPr>
          <w:p w14:paraId="0FC777F3"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 </w:t>
            </w:r>
          </w:p>
        </w:tc>
        <w:tc>
          <w:tcPr>
            <w:tcW w:w="1245" w:type="dxa"/>
            <w:tcBorders>
              <w:top w:val="nil"/>
              <w:left w:val="nil"/>
              <w:bottom w:val="single" w:sz="4" w:space="0" w:color="auto"/>
              <w:right w:val="single" w:sz="4" w:space="0" w:color="auto"/>
            </w:tcBorders>
            <w:shd w:val="clear" w:color="auto" w:fill="auto"/>
            <w:noWrap/>
            <w:vAlign w:val="center"/>
            <w:hideMark/>
          </w:tcPr>
          <w:p w14:paraId="72514F3C"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 </w:t>
            </w:r>
          </w:p>
        </w:tc>
        <w:tc>
          <w:tcPr>
            <w:tcW w:w="1340" w:type="dxa"/>
            <w:tcBorders>
              <w:top w:val="nil"/>
              <w:left w:val="nil"/>
              <w:bottom w:val="single" w:sz="4" w:space="0" w:color="auto"/>
              <w:right w:val="single" w:sz="4" w:space="0" w:color="auto"/>
            </w:tcBorders>
            <w:shd w:val="clear" w:color="auto" w:fill="auto"/>
            <w:noWrap/>
            <w:vAlign w:val="center"/>
            <w:hideMark/>
          </w:tcPr>
          <w:p w14:paraId="3459A636"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 </w:t>
            </w:r>
          </w:p>
        </w:tc>
        <w:tc>
          <w:tcPr>
            <w:tcW w:w="1340" w:type="dxa"/>
            <w:tcBorders>
              <w:top w:val="nil"/>
              <w:left w:val="nil"/>
              <w:bottom w:val="single" w:sz="4" w:space="0" w:color="auto"/>
              <w:right w:val="single" w:sz="4" w:space="0" w:color="auto"/>
            </w:tcBorders>
            <w:shd w:val="clear" w:color="auto" w:fill="auto"/>
            <w:noWrap/>
            <w:vAlign w:val="center"/>
            <w:hideMark/>
          </w:tcPr>
          <w:p w14:paraId="6E4A315E"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 </w:t>
            </w:r>
          </w:p>
        </w:tc>
        <w:tc>
          <w:tcPr>
            <w:tcW w:w="1480" w:type="dxa"/>
            <w:tcBorders>
              <w:top w:val="nil"/>
              <w:left w:val="nil"/>
              <w:bottom w:val="single" w:sz="4" w:space="0" w:color="auto"/>
              <w:right w:val="single" w:sz="4" w:space="0" w:color="auto"/>
            </w:tcBorders>
            <w:shd w:val="clear" w:color="auto" w:fill="auto"/>
            <w:noWrap/>
            <w:vAlign w:val="center"/>
            <w:hideMark/>
          </w:tcPr>
          <w:p w14:paraId="2F54D57E"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 </w:t>
            </w:r>
          </w:p>
        </w:tc>
      </w:tr>
      <w:tr w:rsidR="00D33F7C" w:rsidRPr="00D33F7C" w14:paraId="4ACFCF44" w14:textId="77777777" w:rsidTr="00E213CE">
        <w:trPr>
          <w:trHeight w:val="255"/>
        </w:trPr>
        <w:tc>
          <w:tcPr>
            <w:tcW w:w="1960" w:type="dxa"/>
            <w:tcBorders>
              <w:top w:val="nil"/>
              <w:left w:val="single" w:sz="4" w:space="0" w:color="auto"/>
              <w:bottom w:val="single" w:sz="4" w:space="0" w:color="auto"/>
              <w:right w:val="single" w:sz="4" w:space="0" w:color="auto"/>
            </w:tcBorders>
            <w:shd w:val="clear" w:color="C6D9F0" w:fill="C6D9F0"/>
            <w:noWrap/>
            <w:vAlign w:val="center"/>
            <w:hideMark/>
          </w:tcPr>
          <w:p w14:paraId="5C9DBA81" w14:textId="77777777" w:rsidR="00D33F7C" w:rsidRPr="00D33F7C" w:rsidRDefault="00D33F7C" w:rsidP="00D33F7C">
            <w:pPr>
              <w:rPr>
                <w:rFonts w:ascii="Garamond" w:eastAsia="Times New Roman" w:hAnsi="Garamond"/>
                <w:i/>
                <w:iCs/>
                <w:sz w:val="20"/>
                <w:szCs w:val="20"/>
                <w:lang w:val="en-IN" w:eastAsia="en-IN" w:bidi="hi-IN"/>
              </w:rPr>
            </w:pPr>
            <w:r w:rsidRPr="00D33F7C">
              <w:rPr>
                <w:rFonts w:ascii="Garamond" w:eastAsia="Times New Roman" w:hAnsi="Garamond"/>
                <w:i/>
                <w:iCs/>
                <w:sz w:val="20"/>
                <w:szCs w:val="20"/>
                <w:lang w:val="en-IN" w:eastAsia="en-IN" w:bidi="hi-IN"/>
              </w:rPr>
              <w:t xml:space="preserve">            Put</w:t>
            </w:r>
          </w:p>
        </w:tc>
        <w:tc>
          <w:tcPr>
            <w:tcW w:w="1180" w:type="dxa"/>
            <w:tcBorders>
              <w:top w:val="nil"/>
              <w:left w:val="nil"/>
              <w:bottom w:val="single" w:sz="4" w:space="0" w:color="auto"/>
              <w:right w:val="single" w:sz="4" w:space="0" w:color="auto"/>
            </w:tcBorders>
            <w:shd w:val="clear" w:color="auto" w:fill="auto"/>
            <w:noWrap/>
            <w:vAlign w:val="center"/>
            <w:hideMark/>
          </w:tcPr>
          <w:p w14:paraId="2A08DAA1"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9,91,741</w:t>
            </w:r>
          </w:p>
        </w:tc>
        <w:tc>
          <w:tcPr>
            <w:tcW w:w="1255" w:type="dxa"/>
            <w:tcBorders>
              <w:top w:val="nil"/>
              <w:left w:val="nil"/>
              <w:bottom w:val="single" w:sz="4" w:space="0" w:color="auto"/>
              <w:right w:val="single" w:sz="4" w:space="0" w:color="auto"/>
            </w:tcBorders>
            <w:shd w:val="clear" w:color="auto" w:fill="auto"/>
            <w:noWrap/>
            <w:vAlign w:val="center"/>
            <w:hideMark/>
          </w:tcPr>
          <w:p w14:paraId="30B81E51"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11,24,016</w:t>
            </w:r>
          </w:p>
        </w:tc>
        <w:tc>
          <w:tcPr>
            <w:tcW w:w="1245" w:type="dxa"/>
            <w:tcBorders>
              <w:top w:val="nil"/>
              <w:left w:val="nil"/>
              <w:bottom w:val="single" w:sz="4" w:space="0" w:color="auto"/>
              <w:right w:val="single" w:sz="4" w:space="0" w:color="auto"/>
            </w:tcBorders>
            <w:shd w:val="clear" w:color="auto" w:fill="auto"/>
            <w:noWrap/>
            <w:vAlign w:val="center"/>
            <w:hideMark/>
          </w:tcPr>
          <w:p w14:paraId="226FDC60"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13.3</w:t>
            </w:r>
          </w:p>
        </w:tc>
        <w:tc>
          <w:tcPr>
            <w:tcW w:w="1340" w:type="dxa"/>
            <w:tcBorders>
              <w:top w:val="nil"/>
              <w:left w:val="nil"/>
              <w:bottom w:val="single" w:sz="4" w:space="0" w:color="auto"/>
              <w:right w:val="single" w:sz="4" w:space="0" w:color="auto"/>
            </w:tcBorders>
            <w:shd w:val="clear" w:color="auto" w:fill="auto"/>
            <w:noWrap/>
            <w:hideMark/>
          </w:tcPr>
          <w:p w14:paraId="38660546"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0.0</w:t>
            </w:r>
          </w:p>
        </w:tc>
        <w:tc>
          <w:tcPr>
            <w:tcW w:w="1340" w:type="dxa"/>
            <w:tcBorders>
              <w:top w:val="nil"/>
              <w:left w:val="nil"/>
              <w:bottom w:val="single" w:sz="4" w:space="0" w:color="auto"/>
              <w:right w:val="single" w:sz="4" w:space="0" w:color="auto"/>
            </w:tcBorders>
            <w:shd w:val="clear" w:color="auto" w:fill="auto"/>
            <w:noWrap/>
            <w:hideMark/>
          </w:tcPr>
          <w:p w14:paraId="3CE52353"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0.0</w:t>
            </w:r>
          </w:p>
        </w:tc>
        <w:tc>
          <w:tcPr>
            <w:tcW w:w="1480" w:type="dxa"/>
            <w:tcBorders>
              <w:top w:val="nil"/>
              <w:left w:val="nil"/>
              <w:bottom w:val="single" w:sz="4" w:space="0" w:color="auto"/>
              <w:right w:val="single" w:sz="4" w:space="0" w:color="auto"/>
            </w:tcBorders>
            <w:shd w:val="clear" w:color="auto" w:fill="auto"/>
            <w:noWrap/>
            <w:vAlign w:val="center"/>
            <w:hideMark/>
          </w:tcPr>
          <w:p w14:paraId="3D88F946"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NA</w:t>
            </w:r>
          </w:p>
        </w:tc>
      </w:tr>
      <w:tr w:rsidR="00D33F7C" w:rsidRPr="00D33F7C" w14:paraId="59222F83" w14:textId="77777777" w:rsidTr="00E213CE">
        <w:trPr>
          <w:trHeight w:val="255"/>
        </w:trPr>
        <w:tc>
          <w:tcPr>
            <w:tcW w:w="1960" w:type="dxa"/>
            <w:tcBorders>
              <w:top w:val="nil"/>
              <w:left w:val="single" w:sz="4" w:space="0" w:color="auto"/>
              <w:bottom w:val="single" w:sz="4" w:space="0" w:color="auto"/>
              <w:right w:val="single" w:sz="4" w:space="0" w:color="auto"/>
            </w:tcBorders>
            <w:shd w:val="clear" w:color="C6D9F0" w:fill="C6D9F0"/>
            <w:noWrap/>
            <w:vAlign w:val="center"/>
            <w:hideMark/>
          </w:tcPr>
          <w:p w14:paraId="214F3F91" w14:textId="77777777" w:rsidR="00D33F7C" w:rsidRPr="00D33F7C" w:rsidRDefault="00D33F7C" w:rsidP="00D33F7C">
            <w:pPr>
              <w:rPr>
                <w:rFonts w:ascii="Garamond" w:eastAsia="Times New Roman" w:hAnsi="Garamond"/>
                <w:i/>
                <w:iCs/>
                <w:sz w:val="20"/>
                <w:szCs w:val="20"/>
                <w:lang w:val="en-IN" w:eastAsia="en-IN" w:bidi="hi-IN"/>
              </w:rPr>
            </w:pPr>
            <w:r w:rsidRPr="00D33F7C">
              <w:rPr>
                <w:rFonts w:ascii="Garamond" w:eastAsia="Times New Roman" w:hAnsi="Garamond"/>
                <w:i/>
                <w:iCs/>
                <w:sz w:val="20"/>
                <w:szCs w:val="20"/>
                <w:lang w:val="en-IN" w:eastAsia="en-IN" w:bidi="hi-IN"/>
              </w:rPr>
              <w:t xml:space="preserve">          Call</w:t>
            </w:r>
          </w:p>
        </w:tc>
        <w:tc>
          <w:tcPr>
            <w:tcW w:w="1180" w:type="dxa"/>
            <w:tcBorders>
              <w:top w:val="nil"/>
              <w:left w:val="nil"/>
              <w:bottom w:val="single" w:sz="4" w:space="0" w:color="auto"/>
              <w:right w:val="single" w:sz="4" w:space="0" w:color="auto"/>
            </w:tcBorders>
            <w:shd w:val="clear" w:color="auto" w:fill="auto"/>
            <w:noWrap/>
            <w:vAlign w:val="center"/>
            <w:hideMark/>
          </w:tcPr>
          <w:p w14:paraId="78466BAC"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26,55,105</w:t>
            </w:r>
          </w:p>
        </w:tc>
        <w:tc>
          <w:tcPr>
            <w:tcW w:w="1255" w:type="dxa"/>
            <w:tcBorders>
              <w:top w:val="nil"/>
              <w:left w:val="nil"/>
              <w:bottom w:val="single" w:sz="4" w:space="0" w:color="auto"/>
              <w:right w:val="single" w:sz="4" w:space="0" w:color="auto"/>
            </w:tcBorders>
            <w:shd w:val="clear" w:color="auto" w:fill="auto"/>
            <w:noWrap/>
            <w:vAlign w:val="center"/>
            <w:hideMark/>
          </w:tcPr>
          <w:p w14:paraId="409DA90F"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33,45,204</w:t>
            </w:r>
          </w:p>
        </w:tc>
        <w:tc>
          <w:tcPr>
            <w:tcW w:w="1245" w:type="dxa"/>
            <w:tcBorders>
              <w:top w:val="nil"/>
              <w:left w:val="nil"/>
              <w:bottom w:val="single" w:sz="4" w:space="0" w:color="auto"/>
              <w:right w:val="single" w:sz="4" w:space="0" w:color="auto"/>
            </w:tcBorders>
            <w:shd w:val="clear" w:color="auto" w:fill="auto"/>
            <w:noWrap/>
            <w:vAlign w:val="center"/>
            <w:hideMark/>
          </w:tcPr>
          <w:p w14:paraId="7B6B7CC9"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26.0</w:t>
            </w:r>
          </w:p>
        </w:tc>
        <w:tc>
          <w:tcPr>
            <w:tcW w:w="1340" w:type="dxa"/>
            <w:tcBorders>
              <w:top w:val="nil"/>
              <w:left w:val="nil"/>
              <w:bottom w:val="single" w:sz="4" w:space="0" w:color="auto"/>
              <w:right w:val="single" w:sz="4" w:space="0" w:color="auto"/>
            </w:tcBorders>
            <w:shd w:val="clear" w:color="auto" w:fill="auto"/>
            <w:noWrap/>
            <w:hideMark/>
          </w:tcPr>
          <w:p w14:paraId="659F3124"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0.0</w:t>
            </w:r>
          </w:p>
        </w:tc>
        <w:tc>
          <w:tcPr>
            <w:tcW w:w="1340" w:type="dxa"/>
            <w:tcBorders>
              <w:top w:val="nil"/>
              <w:left w:val="nil"/>
              <w:bottom w:val="single" w:sz="4" w:space="0" w:color="auto"/>
              <w:right w:val="single" w:sz="4" w:space="0" w:color="auto"/>
            </w:tcBorders>
            <w:shd w:val="clear" w:color="auto" w:fill="auto"/>
            <w:noWrap/>
            <w:hideMark/>
          </w:tcPr>
          <w:p w14:paraId="272D1150"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0.0</w:t>
            </w:r>
          </w:p>
        </w:tc>
        <w:tc>
          <w:tcPr>
            <w:tcW w:w="1480" w:type="dxa"/>
            <w:tcBorders>
              <w:top w:val="nil"/>
              <w:left w:val="nil"/>
              <w:bottom w:val="single" w:sz="4" w:space="0" w:color="auto"/>
              <w:right w:val="single" w:sz="4" w:space="0" w:color="auto"/>
            </w:tcBorders>
            <w:shd w:val="clear" w:color="auto" w:fill="auto"/>
            <w:noWrap/>
            <w:vAlign w:val="center"/>
            <w:hideMark/>
          </w:tcPr>
          <w:p w14:paraId="06FDFEBC"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NA</w:t>
            </w:r>
          </w:p>
        </w:tc>
      </w:tr>
      <w:tr w:rsidR="00D33F7C" w:rsidRPr="00D33F7C" w14:paraId="476647AA" w14:textId="77777777" w:rsidTr="00E213CE">
        <w:trPr>
          <w:trHeight w:val="255"/>
        </w:trPr>
        <w:tc>
          <w:tcPr>
            <w:tcW w:w="1960" w:type="dxa"/>
            <w:tcBorders>
              <w:top w:val="nil"/>
              <w:left w:val="single" w:sz="4" w:space="0" w:color="auto"/>
              <w:bottom w:val="single" w:sz="4" w:space="0" w:color="auto"/>
              <w:right w:val="single" w:sz="4" w:space="0" w:color="auto"/>
            </w:tcBorders>
            <w:shd w:val="clear" w:color="C6D9F0" w:fill="C6D9F0"/>
            <w:noWrap/>
            <w:vAlign w:val="center"/>
            <w:hideMark/>
          </w:tcPr>
          <w:p w14:paraId="0F859DCB" w14:textId="77777777" w:rsidR="00D33F7C" w:rsidRPr="00D33F7C" w:rsidRDefault="00D33F7C" w:rsidP="00D33F7C">
            <w:pPr>
              <w:rPr>
                <w:rFonts w:ascii="Garamond" w:eastAsia="Times New Roman" w:hAnsi="Garamond"/>
                <w:b/>
                <w:bCs/>
                <w:sz w:val="20"/>
                <w:szCs w:val="20"/>
                <w:lang w:val="en-IN" w:eastAsia="en-IN" w:bidi="hi-IN"/>
              </w:rPr>
            </w:pPr>
            <w:r w:rsidRPr="00D33F7C">
              <w:rPr>
                <w:rFonts w:ascii="Garamond" w:eastAsia="Times New Roman" w:hAnsi="Garamond"/>
                <w:b/>
                <w:bCs/>
                <w:sz w:val="20"/>
                <w:szCs w:val="20"/>
                <w:lang w:val="en-IN" w:eastAsia="en-IN" w:bidi="hi-IN"/>
              </w:rPr>
              <w:t xml:space="preserve">         Total</w:t>
            </w:r>
          </w:p>
        </w:tc>
        <w:tc>
          <w:tcPr>
            <w:tcW w:w="1180" w:type="dxa"/>
            <w:tcBorders>
              <w:top w:val="nil"/>
              <w:left w:val="nil"/>
              <w:bottom w:val="single" w:sz="4" w:space="0" w:color="auto"/>
              <w:right w:val="single" w:sz="4" w:space="0" w:color="auto"/>
            </w:tcBorders>
            <w:shd w:val="clear" w:color="C6D9F0" w:fill="C6D9F0"/>
            <w:noWrap/>
            <w:vAlign w:val="center"/>
            <w:hideMark/>
          </w:tcPr>
          <w:p w14:paraId="14032920" w14:textId="77777777" w:rsidR="00D33F7C" w:rsidRPr="00D33F7C" w:rsidRDefault="00D33F7C" w:rsidP="00D33F7C">
            <w:pPr>
              <w:jc w:val="right"/>
              <w:rPr>
                <w:rFonts w:ascii="Garamond" w:eastAsia="Times New Roman" w:hAnsi="Garamond"/>
                <w:b/>
                <w:bCs/>
                <w:sz w:val="20"/>
                <w:szCs w:val="20"/>
                <w:lang w:val="en-IN" w:eastAsia="en-IN" w:bidi="hi-IN"/>
              </w:rPr>
            </w:pPr>
            <w:r w:rsidRPr="00D33F7C">
              <w:rPr>
                <w:rFonts w:ascii="Garamond" w:eastAsia="Times New Roman" w:hAnsi="Garamond"/>
                <w:b/>
                <w:bCs/>
                <w:sz w:val="20"/>
                <w:szCs w:val="20"/>
                <w:lang w:val="en-IN" w:eastAsia="en-IN" w:bidi="hi-IN"/>
              </w:rPr>
              <w:t>8,66,52,832</w:t>
            </w:r>
          </w:p>
        </w:tc>
        <w:tc>
          <w:tcPr>
            <w:tcW w:w="1255" w:type="dxa"/>
            <w:tcBorders>
              <w:top w:val="nil"/>
              <w:left w:val="nil"/>
              <w:bottom w:val="single" w:sz="4" w:space="0" w:color="auto"/>
              <w:right w:val="single" w:sz="4" w:space="0" w:color="auto"/>
            </w:tcBorders>
            <w:shd w:val="clear" w:color="C6D9F0" w:fill="C6D9F0"/>
            <w:noWrap/>
            <w:vAlign w:val="center"/>
            <w:hideMark/>
          </w:tcPr>
          <w:p w14:paraId="584D62D3" w14:textId="77777777" w:rsidR="00D33F7C" w:rsidRPr="00D33F7C" w:rsidRDefault="00D33F7C" w:rsidP="00D33F7C">
            <w:pPr>
              <w:jc w:val="right"/>
              <w:rPr>
                <w:rFonts w:ascii="Garamond" w:eastAsia="Times New Roman" w:hAnsi="Garamond"/>
                <w:b/>
                <w:bCs/>
                <w:sz w:val="20"/>
                <w:szCs w:val="20"/>
                <w:lang w:val="en-IN" w:eastAsia="en-IN" w:bidi="hi-IN"/>
              </w:rPr>
            </w:pPr>
            <w:r w:rsidRPr="00D33F7C">
              <w:rPr>
                <w:rFonts w:ascii="Garamond" w:eastAsia="Times New Roman" w:hAnsi="Garamond"/>
                <w:b/>
                <w:bCs/>
                <w:sz w:val="20"/>
                <w:szCs w:val="20"/>
                <w:lang w:val="en-IN" w:eastAsia="en-IN" w:bidi="hi-IN"/>
              </w:rPr>
              <w:t>10,13,91,906</w:t>
            </w:r>
          </w:p>
        </w:tc>
        <w:tc>
          <w:tcPr>
            <w:tcW w:w="1245" w:type="dxa"/>
            <w:tcBorders>
              <w:top w:val="nil"/>
              <w:left w:val="nil"/>
              <w:bottom w:val="single" w:sz="4" w:space="0" w:color="auto"/>
              <w:right w:val="single" w:sz="4" w:space="0" w:color="auto"/>
            </w:tcBorders>
            <w:shd w:val="clear" w:color="C6D9F0" w:fill="C6D9F0"/>
            <w:noWrap/>
            <w:vAlign w:val="center"/>
            <w:hideMark/>
          </w:tcPr>
          <w:p w14:paraId="2BD52D51" w14:textId="77777777" w:rsidR="00D33F7C" w:rsidRPr="00D33F7C" w:rsidRDefault="00D33F7C" w:rsidP="00D33F7C">
            <w:pPr>
              <w:jc w:val="right"/>
              <w:rPr>
                <w:rFonts w:ascii="Garamond" w:eastAsia="Times New Roman" w:hAnsi="Garamond"/>
                <w:b/>
                <w:bCs/>
                <w:sz w:val="20"/>
                <w:szCs w:val="20"/>
                <w:lang w:val="en-IN" w:eastAsia="en-IN" w:bidi="hi-IN"/>
              </w:rPr>
            </w:pPr>
            <w:r w:rsidRPr="00D33F7C">
              <w:rPr>
                <w:rFonts w:ascii="Garamond" w:eastAsia="Times New Roman" w:hAnsi="Garamond"/>
                <w:b/>
                <w:bCs/>
                <w:sz w:val="20"/>
                <w:szCs w:val="20"/>
                <w:lang w:val="en-IN" w:eastAsia="en-IN" w:bidi="hi-IN"/>
              </w:rPr>
              <w:t>17.0</w:t>
            </w:r>
          </w:p>
        </w:tc>
        <w:tc>
          <w:tcPr>
            <w:tcW w:w="1340" w:type="dxa"/>
            <w:tcBorders>
              <w:top w:val="nil"/>
              <w:left w:val="nil"/>
              <w:bottom w:val="single" w:sz="4" w:space="0" w:color="auto"/>
              <w:right w:val="single" w:sz="4" w:space="0" w:color="auto"/>
            </w:tcBorders>
            <w:shd w:val="clear" w:color="C6D9F0" w:fill="C6D9F0"/>
            <w:noWrap/>
            <w:vAlign w:val="center"/>
            <w:hideMark/>
          </w:tcPr>
          <w:p w14:paraId="2C384F26" w14:textId="77777777" w:rsidR="00D33F7C" w:rsidRPr="00D33F7C" w:rsidRDefault="00D33F7C" w:rsidP="00D33F7C">
            <w:pPr>
              <w:jc w:val="right"/>
              <w:rPr>
                <w:rFonts w:ascii="Garamond" w:eastAsia="Times New Roman" w:hAnsi="Garamond"/>
                <w:b/>
                <w:bCs/>
                <w:sz w:val="20"/>
                <w:szCs w:val="20"/>
                <w:lang w:val="en-IN" w:eastAsia="en-IN" w:bidi="hi-IN"/>
              </w:rPr>
            </w:pPr>
            <w:r w:rsidRPr="00D33F7C">
              <w:rPr>
                <w:rFonts w:ascii="Garamond" w:eastAsia="Times New Roman" w:hAnsi="Garamond"/>
                <w:b/>
                <w:bCs/>
                <w:sz w:val="20"/>
                <w:szCs w:val="20"/>
                <w:lang w:val="en-IN" w:eastAsia="en-IN" w:bidi="hi-IN"/>
              </w:rPr>
              <w:t>64,79,644</w:t>
            </w:r>
          </w:p>
        </w:tc>
        <w:tc>
          <w:tcPr>
            <w:tcW w:w="1340" w:type="dxa"/>
            <w:tcBorders>
              <w:top w:val="nil"/>
              <w:left w:val="nil"/>
              <w:bottom w:val="single" w:sz="4" w:space="0" w:color="auto"/>
              <w:right w:val="single" w:sz="4" w:space="0" w:color="auto"/>
            </w:tcBorders>
            <w:shd w:val="clear" w:color="C6D9F0" w:fill="C6D9F0"/>
            <w:noWrap/>
            <w:vAlign w:val="center"/>
            <w:hideMark/>
          </w:tcPr>
          <w:p w14:paraId="07412CAA" w14:textId="77777777" w:rsidR="00D33F7C" w:rsidRPr="00D33F7C" w:rsidRDefault="00D33F7C" w:rsidP="00D33F7C">
            <w:pPr>
              <w:jc w:val="right"/>
              <w:rPr>
                <w:rFonts w:ascii="Garamond" w:eastAsia="Times New Roman" w:hAnsi="Garamond"/>
                <w:b/>
                <w:bCs/>
                <w:sz w:val="20"/>
                <w:szCs w:val="20"/>
                <w:lang w:val="en-IN" w:eastAsia="en-IN" w:bidi="hi-IN"/>
              </w:rPr>
            </w:pPr>
            <w:r w:rsidRPr="00D33F7C">
              <w:rPr>
                <w:rFonts w:ascii="Garamond" w:eastAsia="Times New Roman" w:hAnsi="Garamond"/>
                <w:b/>
                <w:bCs/>
                <w:sz w:val="20"/>
                <w:szCs w:val="20"/>
                <w:lang w:val="en-IN" w:eastAsia="en-IN" w:bidi="hi-IN"/>
              </w:rPr>
              <w:t>66,71,387</w:t>
            </w:r>
          </w:p>
        </w:tc>
        <w:tc>
          <w:tcPr>
            <w:tcW w:w="1480" w:type="dxa"/>
            <w:tcBorders>
              <w:top w:val="nil"/>
              <w:left w:val="nil"/>
              <w:bottom w:val="single" w:sz="4" w:space="0" w:color="auto"/>
              <w:right w:val="single" w:sz="4" w:space="0" w:color="auto"/>
            </w:tcBorders>
            <w:shd w:val="clear" w:color="C6D9F0" w:fill="C6D9F0"/>
            <w:noWrap/>
            <w:vAlign w:val="center"/>
            <w:hideMark/>
          </w:tcPr>
          <w:p w14:paraId="6A5B30A6" w14:textId="77777777" w:rsidR="00D33F7C" w:rsidRPr="00D33F7C" w:rsidRDefault="00D33F7C" w:rsidP="00D33F7C">
            <w:pPr>
              <w:jc w:val="right"/>
              <w:rPr>
                <w:rFonts w:ascii="Garamond" w:eastAsia="Times New Roman" w:hAnsi="Garamond"/>
                <w:b/>
                <w:bCs/>
                <w:sz w:val="20"/>
                <w:szCs w:val="20"/>
                <w:lang w:val="en-IN" w:eastAsia="en-IN" w:bidi="hi-IN"/>
              </w:rPr>
            </w:pPr>
            <w:r w:rsidRPr="00D33F7C">
              <w:rPr>
                <w:rFonts w:ascii="Garamond" w:eastAsia="Times New Roman" w:hAnsi="Garamond"/>
                <w:b/>
                <w:bCs/>
                <w:sz w:val="20"/>
                <w:szCs w:val="20"/>
                <w:lang w:val="en-IN" w:eastAsia="en-IN" w:bidi="hi-IN"/>
              </w:rPr>
              <w:t>3.0</w:t>
            </w:r>
          </w:p>
        </w:tc>
      </w:tr>
      <w:tr w:rsidR="00D33F7C" w:rsidRPr="00D33F7C" w14:paraId="3522EDD9" w14:textId="77777777" w:rsidTr="00E213CE">
        <w:trPr>
          <w:trHeight w:val="255"/>
        </w:trPr>
        <w:tc>
          <w:tcPr>
            <w:tcW w:w="9800" w:type="dxa"/>
            <w:gridSpan w:val="7"/>
            <w:tcBorders>
              <w:top w:val="single" w:sz="4" w:space="0" w:color="auto"/>
              <w:left w:val="single" w:sz="4" w:space="0" w:color="auto"/>
              <w:bottom w:val="single" w:sz="4" w:space="0" w:color="auto"/>
              <w:right w:val="single" w:sz="4" w:space="0" w:color="auto"/>
            </w:tcBorders>
            <w:shd w:val="clear" w:color="FFFFCC" w:fill="FFFFCC"/>
            <w:vAlign w:val="center"/>
            <w:hideMark/>
          </w:tcPr>
          <w:p w14:paraId="39D82C29" w14:textId="77777777" w:rsidR="00D33F7C" w:rsidRPr="00D33F7C" w:rsidRDefault="00D33F7C" w:rsidP="00D33F7C">
            <w:pPr>
              <w:rPr>
                <w:rFonts w:ascii="Garamond" w:eastAsia="Times New Roman" w:hAnsi="Garamond"/>
                <w:b/>
                <w:bCs/>
                <w:sz w:val="20"/>
                <w:szCs w:val="20"/>
                <w:lang w:val="en-IN" w:eastAsia="en-IN" w:bidi="hi-IN"/>
              </w:rPr>
            </w:pPr>
            <w:r w:rsidRPr="00D33F7C">
              <w:rPr>
                <w:rFonts w:ascii="Garamond" w:eastAsia="Times New Roman" w:hAnsi="Garamond"/>
                <w:b/>
                <w:bCs/>
                <w:sz w:val="20"/>
                <w:szCs w:val="20"/>
                <w:lang w:val="en-IN" w:eastAsia="en-IN" w:bidi="hi-IN"/>
              </w:rPr>
              <w:t xml:space="preserve">B. No. of Contracts </w:t>
            </w:r>
          </w:p>
        </w:tc>
      </w:tr>
      <w:tr w:rsidR="00D33F7C" w:rsidRPr="00D33F7C" w14:paraId="5F1D6986" w14:textId="77777777" w:rsidTr="00E213CE">
        <w:trPr>
          <w:trHeight w:val="255"/>
        </w:trPr>
        <w:tc>
          <w:tcPr>
            <w:tcW w:w="1960" w:type="dxa"/>
            <w:tcBorders>
              <w:top w:val="nil"/>
              <w:left w:val="single" w:sz="4" w:space="0" w:color="auto"/>
              <w:bottom w:val="single" w:sz="4" w:space="0" w:color="auto"/>
              <w:right w:val="single" w:sz="4" w:space="0" w:color="auto"/>
            </w:tcBorders>
            <w:shd w:val="clear" w:color="C6D9F0" w:fill="C6D9F0"/>
            <w:noWrap/>
            <w:vAlign w:val="center"/>
            <w:hideMark/>
          </w:tcPr>
          <w:p w14:paraId="180B6637" w14:textId="77777777" w:rsidR="00D33F7C" w:rsidRPr="00D33F7C" w:rsidRDefault="00D33F7C" w:rsidP="00D33F7C">
            <w:pPr>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 xml:space="preserve">   (i) Index  Futures</w:t>
            </w:r>
          </w:p>
        </w:tc>
        <w:tc>
          <w:tcPr>
            <w:tcW w:w="1180" w:type="dxa"/>
            <w:tcBorders>
              <w:top w:val="nil"/>
              <w:left w:val="nil"/>
              <w:bottom w:val="single" w:sz="4" w:space="0" w:color="auto"/>
              <w:right w:val="single" w:sz="4" w:space="0" w:color="auto"/>
            </w:tcBorders>
            <w:shd w:val="clear" w:color="auto" w:fill="auto"/>
            <w:noWrap/>
            <w:vAlign w:val="center"/>
            <w:hideMark/>
          </w:tcPr>
          <w:p w14:paraId="085D114B"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63,87,640</w:t>
            </w:r>
          </w:p>
        </w:tc>
        <w:tc>
          <w:tcPr>
            <w:tcW w:w="1255" w:type="dxa"/>
            <w:tcBorders>
              <w:top w:val="nil"/>
              <w:left w:val="nil"/>
              <w:bottom w:val="single" w:sz="4" w:space="0" w:color="auto"/>
              <w:right w:val="single" w:sz="4" w:space="0" w:color="auto"/>
            </w:tcBorders>
            <w:shd w:val="clear" w:color="auto" w:fill="auto"/>
            <w:noWrap/>
            <w:vAlign w:val="center"/>
            <w:hideMark/>
          </w:tcPr>
          <w:p w14:paraId="756D1E65"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60,12,511</w:t>
            </w:r>
          </w:p>
        </w:tc>
        <w:tc>
          <w:tcPr>
            <w:tcW w:w="1245" w:type="dxa"/>
            <w:tcBorders>
              <w:top w:val="nil"/>
              <w:left w:val="nil"/>
              <w:bottom w:val="single" w:sz="4" w:space="0" w:color="auto"/>
              <w:right w:val="single" w:sz="4" w:space="0" w:color="auto"/>
            </w:tcBorders>
            <w:shd w:val="clear" w:color="auto" w:fill="auto"/>
            <w:noWrap/>
            <w:vAlign w:val="center"/>
            <w:hideMark/>
          </w:tcPr>
          <w:p w14:paraId="7633F2B6"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-5.9</w:t>
            </w:r>
          </w:p>
        </w:tc>
        <w:tc>
          <w:tcPr>
            <w:tcW w:w="1340" w:type="dxa"/>
            <w:tcBorders>
              <w:top w:val="nil"/>
              <w:left w:val="nil"/>
              <w:bottom w:val="single" w:sz="4" w:space="0" w:color="auto"/>
              <w:right w:val="single" w:sz="4" w:space="0" w:color="auto"/>
            </w:tcBorders>
            <w:shd w:val="clear" w:color="auto" w:fill="auto"/>
            <w:noWrap/>
            <w:vAlign w:val="center"/>
            <w:hideMark/>
          </w:tcPr>
          <w:p w14:paraId="41F33138" w14:textId="77777777" w:rsidR="00D33F7C" w:rsidRPr="00D33F7C" w:rsidRDefault="00D33F7C" w:rsidP="00D33F7C">
            <w:pPr>
              <w:jc w:val="right"/>
              <w:rPr>
                <w:rFonts w:ascii="Garamond" w:eastAsia="Times New Roman" w:hAnsi="Garamond"/>
                <w:color w:val="000000"/>
                <w:sz w:val="20"/>
                <w:szCs w:val="20"/>
                <w:lang w:val="en-IN" w:eastAsia="en-IN" w:bidi="hi-IN"/>
              </w:rPr>
            </w:pPr>
            <w:r w:rsidRPr="00D33F7C">
              <w:rPr>
                <w:rFonts w:ascii="Garamond" w:eastAsia="Times New Roman" w:hAnsi="Garamond"/>
                <w:color w:val="000000"/>
                <w:sz w:val="20"/>
                <w:szCs w:val="20"/>
                <w:lang w:val="en-IN" w:eastAsia="en-IN" w:bidi="hi-IN"/>
              </w:rPr>
              <w:t>1,646</w:t>
            </w:r>
          </w:p>
        </w:tc>
        <w:tc>
          <w:tcPr>
            <w:tcW w:w="1340" w:type="dxa"/>
            <w:tcBorders>
              <w:top w:val="nil"/>
              <w:left w:val="nil"/>
              <w:bottom w:val="single" w:sz="4" w:space="0" w:color="auto"/>
              <w:right w:val="single" w:sz="4" w:space="0" w:color="auto"/>
            </w:tcBorders>
            <w:shd w:val="clear" w:color="auto" w:fill="auto"/>
            <w:noWrap/>
            <w:vAlign w:val="center"/>
            <w:hideMark/>
          </w:tcPr>
          <w:p w14:paraId="29B409FC" w14:textId="77777777" w:rsidR="00D33F7C" w:rsidRPr="00D33F7C" w:rsidRDefault="00D33F7C" w:rsidP="00D33F7C">
            <w:pPr>
              <w:jc w:val="right"/>
              <w:rPr>
                <w:rFonts w:ascii="Garamond" w:eastAsia="Times New Roman" w:hAnsi="Garamond"/>
                <w:color w:val="000000"/>
                <w:sz w:val="20"/>
                <w:szCs w:val="20"/>
                <w:lang w:val="en-IN" w:eastAsia="en-IN" w:bidi="hi-IN"/>
              </w:rPr>
            </w:pPr>
            <w:r w:rsidRPr="00D33F7C">
              <w:rPr>
                <w:rFonts w:ascii="Garamond" w:eastAsia="Times New Roman" w:hAnsi="Garamond"/>
                <w:color w:val="000000"/>
                <w:sz w:val="20"/>
                <w:szCs w:val="20"/>
                <w:lang w:val="en-IN" w:eastAsia="en-IN" w:bidi="hi-IN"/>
              </w:rPr>
              <w:t>607</w:t>
            </w:r>
          </w:p>
        </w:tc>
        <w:tc>
          <w:tcPr>
            <w:tcW w:w="1480" w:type="dxa"/>
            <w:tcBorders>
              <w:top w:val="nil"/>
              <w:left w:val="nil"/>
              <w:bottom w:val="single" w:sz="4" w:space="0" w:color="auto"/>
              <w:right w:val="single" w:sz="4" w:space="0" w:color="auto"/>
            </w:tcBorders>
            <w:shd w:val="clear" w:color="auto" w:fill="auto"/>
            <w:noWrap/>
            <w:vAlign w:val="center"/>
            <w:hideMark/>
          </w:tcPr>
          <w:p w14:paraId="7AEFDDD0" w14:textId="77777777" w:rsidR="00D33F7C" w:rsidRPr="00D33F7C" w:rsidRDefault="00D33F7C" w:rsidP="00D33F7C">
            <w:pPr>
              <w:jc w:val="right"/>
              <w:rPr>
                <w:rFonts w:ascii="Garamond" w:eastAsia="Times New Roman" w:hAnsi="Garamond"/>
                <w:color w:val="000000"/>
                <w:sz w:val="20"/>
                <w:szCs w:val="20"/>
                <w:lang w:val="en-IN" w:eastAsia="en-IN" w:bidi="hi-IN"/>
              </w:rPr>
            </w:pPr>
            <w:r w:rsidRPr="00D33F7C">
              <w:rPr>
                <w:rFonts w:ascii="Garamond" w:eastAsia="Times New Roman" w:hAnsi="Garamond"/>
                <w:color w:val="000000"/>
                <w:sz w:val="20"/>
                <w:szCs w:val="20"/>
                <w:lang w:val="en-IN" w:eastAsia="en-IN" w:bidi="hi-IN"/>
              </w:rPr>
              <w:t>-63.1</w:t>
            </w:r>
          </w:p>
        </w:tc>
      </w:tr>
      <w:tr w:rsidR="00D33F7C" w:rsidRPr="00D33F7C" w14:paraId="72DB9AF0" w14:textId="77777777" w:rsidTr="00E213CE">
        <w:trPr>
          <w:trHeight w:val="255"/>
        </w:trPr>
        <w:tc>
          <w:tcPr>
            <w:tcW w:w="1960" w:type="dxa"/>
            <w:tcBorders>
              <w:top w:val="nil"/>
              <w:left w:val="single" w:sz="4" w:space="0" w:color="auto"/>
              <w:bottom w:val="single" w:sz="4" w:space="0" w:color="auto"/>
              <w:right w:val="single" w:sz="4" w:space="0" w:color="auto"/>
            </w:tcBorders>
            <w:shd w:val="clear" w:color="C6D9F0" w:fill="C6D9F0"/>
            <w:noWrap/>
            <w:vAlign w:val="center"/>
            <w:hideMark/>
          </w:tcPr>
          <w:p w14:paraId="0666285A" w14:textId="77777777" w:rsidR="00D33F7C" w:rsidRPr="00D33F7C" w:rsidRDefault="00D33F7C" w:rsidP="00D33F7C">
            <w:pPr>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 xml:space="preserve">   (ii) Options on Index</w:t>
            </w:r>
          </w:p>
        </w:tc>
        <w:tc>
          <w:tcPr>
            <w:tcW w:w="1180" w:type="dxa"/>
            <w:tcBorders>
              <w:top w:val="nil"/>
              <w:left w:val="nil"/>
              <w:bottom w:val="single" w:sz="4" w:space="0" w:color="auto"/>
              <w:right w:val="single" w:sz="4" w:space="0" w:color="auto"/>
            </w:tcBorders>
            <w:shd w:val="clear" w:color="auto" w:fill="auto"/>
            <w:noWrap/>
            <w:vAlign w:val="center"/>
            <w:hideMark/>
          </w:tcPr>
          <w:p w14:paraId="1826C30A"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 </w:t>
            </w:r>
          </w:p>
        </w:tc>
        <w:tc>
          <w:tcPr>
            <w:tcW w:w="1255" w:type="dxa"/>
            <w:tcBorders>
              <w:top w:val="nil"/>
              <w:left w:val="nil"/>
              <w:bottom w:val="single" w:sz="4" w:space="0" w:color="auto"/>
              <w:right w:val="single" w:sz="4" w:space="0" w:color="auto"/>
            </w:tcBorders>
            <w:shd w:val="clear" w:color="auto" w:fill="auto"/>
            <w:noWrap/>
            <w:vAlign w:val="center"/>
            <w:hideMark/>
          </w:tcPr>
          <w:p w14:paraId="22150EE8"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 </w:t>
            </w:r>
          </w:p>
        </w:tc>
        <w:tc>
          <w:tcPr>
            <w:tcW w:w="1245" w:type="dxa"/>
            <w:tcBorders>
              <w:top w:val="nil"/>
              <w:left w:val="nil"/>
              <w:bottom w:val="single" w:sz="4" w:space="0" w:color="auto"/>
              <w:right w:val="single" w:sz="4" w:space="0" w:color="auto"/>
            </w:tcBorders>
            <w:shd w:val="clear" w:color="auto" w:fill="auto"/>
            <w:noWrap/>
            <w:vAlign w:val="center"/>
            <w:hideMark/>
          </w:tcPr>
          <w:p w14:paraId="1CE99D92"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 </w:t>
            </w:r>
          </w:p>
        </w:tc>
        <w:tc>
          <w:tcPr>
            <w:tcW w:w="1340" w:type="dxa"/>
            <w:tcBorders>
              <w:top w:val="nil"/>
              <w:left w:val="nil"/>
              <w:bottom w:val="single" w:sz="4" w:space="0" w:color="auto"/>
              <w:right w:val="single" w:sz="4" w:space="0" w:color="auto"/>
            </w:tcBorders>
            <w:shd w:val="clear" w:color="auto" w:fill="auto"/>
            <w:noWrap/>
            <w:vAlign w:val="center"/>
            <w:hideMark/>
          </w:tcPr>
          <w:p w14:paraId="494EA1DC"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 </w:t>
            </w:r>
          </w:p>
        </w:tc>
        <w:tc>
          <w:tcPr>
            <w:tcW w:w="1340" w:type="dxa"/>
            <w:tcBorders>
              <w:top w:val="nil"/>
              <w:left w:val="nil"/>
              <w:bottom w:val="single" w:sz="4" w:space="0" w:color="auto"/>
              <w:right w:val="single" w:sz="4" w:space="0" w:color="auto"/>
            </w:tcBorders>
            <w:shd w:val="clear" w:color="auto" w:fill="auto"/>
            <w:noWrap/>
            <w:vAlign w:val="center"/>
            <w:hideMark/>
          </w:tcPr>
          <w:p w14:paraId="68A45B1F"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 </w:t>
            </w:r>
          </w:p>
        </w:tc>
        <w:tc>
          <w:tcPr>
            <w:tcW w:w="1480" w:type="dxa"/>
            <w:tcBorders>
              <w:top w:val="nil"/>
              <w:left w:val="nil"/>
              <w:bottom w:val="single" w:sz="4" w:space="0" w:color="auto"/>
              <w:right w:val="single" w:sz="4" w:space="0" w:color="auto"/>
            </w:tcBorders>
            <w:shd w:val="clear" w:color="auto" w:fill="auto"/>
            <w:noWrap/>
            <w:vAlign w:val="center"/>
            <w:hideMark/>
          </w:tcPr>
          <w:p w14:paraId="0448AB2D"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 </w:t>
            </w:r>
          </w:p>
        </w:tc>
      </w:tr>
      <w:tr w:rsidR="00D33F7C" w:rsidRPr="00D33F7C" w14:paraId="75C6EA42" w14:textId="77777777" w:rsidTr="00E213CE">
        <w:trPr>
          <w:trHeight w:val="255"/>
        </w:trPr>
        <w:tc>
          <w:tcPr>
            <w:tcW w:w="1960" w:type="dxa"/>
            <w:tcBorders>
              <w:top w:val="nil"/>
              <w:left w:val="single" w:sz="4" w:space="0" w:color="auto"/>
              <w:bottom w:val="single" w:sz="4" w:space="0" w:color="auto"/>
              <w:right w:val="single" w:sz="4" w:space="0" w:color="auto"/>
            </w:tcBorders>
            <w:shd w:val="clear" w:color="C6D9F0" w:fill="C6D9F0"/>
            <w:noWrap/>
            <w:vAlign w:val="center"/>
            <w:hideMark/>
          </w:tcPr>
          <w:p w14:paraId="6DD3CEDD" w14:textId="77777777" w:rsidR="00D33F7C" w:rsidRPr="00D33F7C" w:rsidRDefault="00D33F7C" w:rsidP="00D33F7C">
            <w:pPr>
              <w:rPr>
                <w:rFonts w:ascii="Garamond" w:eastAsia="Times New Roman" w:hAnsi="Garamond"/>
                <w:i/>
                <w:iCs/>
                <w:sz w:val="20"/>
                <w:szCs w:val="20"/>
                <w:lang w:val="en-IN" w:eastAsia="en-IN" w:bidi="hi-IN"/>
              </w:rPr>
            </w:pPr>
            <w:r w:rsidRPr="00D33F7C">
              <w:rPr>
                <w:rFonts w:ascii="Garamond" w:eastAsia="Times New Roman" w:hAnsi="Garamond"/>
                <w:i/>
                <w:iCs/>
                <w:sz w:val="20"/>
                <w:szCs w:val="20"/>
                <w:lang w:val="en-IN" w:eastAsia="en-IN" w:bidi="hi-IN"/>
              </w:rPr>
              <w:t xml:space="preserve">            Put</w:t>
            </w:r>
          </w:p>
        </w:tc>
        <w:tc>
          <w:tcPr>
            <w:tcW w:w="1180" w:type="dxa"/>
            <w:tcBorders>
              <w:top w:val="nil"/>
              <w:left w:val="nil"/>
              <w:bottom w:val="single" w:sz="4" w:space="0" w:color="auto"/>
              <w:right w:val="single" w:sz="4" w:space="0" w:color="auto"/>
            </w:tcBorders>
            <w:shd w:val="clear" w:color="auto" w:fill="auto"/>
            <w:noWrap/>
            <w:vAlign w:val="center"/>
            <w:hideMark/>
          </w:tcPr>
          <w:p w14:paraId="71B3E0DB"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40,78,08,269</w:t>
            </w:r>
          </w:p>
        </w:tc>
        <w:tc>
          <w:tcPr>
            <w:tcW w:w="1255" w:type="dxa"/>
            <w:tcBorders>
              <w:top w:val="nil"/>
              <w:left w:val="nil"/>
              <w:bottom w:val="single" w:sz="4" w:space="0" w:color="auto"/>
              <w:right w:val="single" w:sz="4" w:space="0" w:color="auto"/>
            </w:tcBorders>
            <w:shd w:val="clear" w:color="auto" w:fill="auto"/>
            <w:noWrap/>
            <w:vAlign w:val="center"/>
            <w:hideMark/>
          </w:tcPr>
          <w:p w14:paraId="1CC6130B"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46,65,60,694</w:t>
            </w:r>
          </w:p>
        </w:tc>
        <w:tc>
          <w:tcPr>
            <w:tcW w:w="1245" w:type="dxa"/>
            <w:tcBorders>
              <w:top w:val="nil"/>
              <w:left w:val="nil"/>
              <w:bottom w:val="single" w:sz="4" w:space="0" w:color="auto"/>
              <w:right w:val="single" w:sz="4" w:space="0" w:color="auto"/>
            </w:tcBorders>
            <w:shd w:val="clear" w:color="auto" w:fill="auto"/>
            <w:noWrap/>
            <w:vAlign w:val="center"/>
            <w:hideMark/>
          </w:tcPr>
          <w:p w14:paraId="75D54C9B"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14.4</w:t>
            </w:r>
          </w:p>
        </w:tc>
        <w:tc>
          <w:tcPr>
            <w:tcW w:w="1340" w:type="dxa"/>
            <w:tcBorders>
              <w:top w:val="nil"/>
              <w:left w:val="nil"/>
              <w:bottom w:val="single" w:sz="4" w:space="0" w:color="auto"/>
              <w:right w:val="single" w:sz="4" w:space="0" w:color="auto"/>
            </w:tcBorders>
            <w:shd w:val="clear" w:color="auto" w:fill="auto"/>
            <w:noWrap/>
            <w:vAlign w:val="center"/>
            <w:hideMark/>
          </w:tcPr>
          <w:p w14:paraId="12E8DEAE"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1,84,68,965</w:t>
            </w:r>
          </w:p>
        </w:tc>
        <w:tc>
          <w:tcPr>
            <w:tcW w:w="1340" w:type="dxa"/>
            <w:tcBorders>
              <w:top w:val="nil"/>
              <w:left w:val="nil"/>
              <w:bottom w:val="single" w:sz="4" w:space="0" w:color="auto"/>
              <w:right w:val="single" w:sz="4" w:space="0" w:color="auto"/>
            </w:tcBorders>
            <w:shd w:val="clear" w:color="auto" w:fill="auto"/>
            <w:noWrap/>
            <w:vAlign w:val="center"/>
            <w:hideMark/>
          </w:tcPr>
          <w:p w14:paraId="0AB3832B"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2,45,83,688</w:t>
            </w:r>
          </w:p>
        </w:tc>
        <w:tc>
          <w:tcPr>
            <w:tcW w:w="1480" w:type="dxa"/>
            <w:tcBorders>
              <w:top w:val="nil"/>
              <w:left w:val="nil"/>
              <w:bottom w:val="single" w:sz="4" w:space="0" w:color="auto"/>
              <w:right w:val="single" w:sz="4" w:space="0" w:color="auto"/>
            </w:tcBorders>
            <w:shd w:val="clear" w:color="auto" w:fill="auto"/>
            <w:noWrap/>
            <w:vAlign w:val="center"/>
            <w:hideMark/>
          </w:tcPr>
          <w:p w14:paraId="23BBC6D0"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33.1</w:t>
            </w:r>
          </w:p>
        </w:tc>
      </w:tr>
      <w:tr w:rsidR="00D33F7C" w:rsidRPr="00D33F7C" w14:paraId="16578A12" w14:textId="77777777" w:rsidTr="00E213CE">
        <w:trPr>
          <w:trHeight w:val="255"/>
        </w:trPr>
        <w:tc>
          <w:tcPr>
            <w:tcW w:w="1960" w:type="dxa"/>
            <w:tcBorders>
              <w:top w:val="nil"/>
              <w:left w:val="single" w:sz="4" w:space="0" w:color="auto"/>
              <w:bottom w:val="single" w:sz="4" w:space="0" w:color="auto"/>
              <w:right w:val="single" w:sz="4" w:space="0" w:color="auto"/>
            </w:tcBorders>
            <w:shd w:val="clear" w:color="C6D9F0" w:fill="C6D9F0"/>
            <w:noWrap/>
            <w:vAlign w:val="center"/>
            <w:hideMark/>
          </w:tcPr>
          <w:p w14:paraId="6B15D7DE" w14:textId="77777777" w:rsidR="00D33F7C" w:rsidRPr="00D33F7C" w:rsidRDefault="00D33F7C" w:rsidP="00D33F7C">
            <w:pPr>
              <w:rPr>
                <w:rFonts w:ascii="Garamond" w:eastAsia="Times New Roman" w:hAnsi="Garamond"/>
                <w:i/>
                <w:iCs/>
                <w:sz w:val="20"/>
                <w:szCs w:val="20"/>
                <w:lang w:val="en-IN" w:eastAsia="en-IN" w:bidi="hi-IN"/>
              </w:rPr>
            </w:pPr>
            <w:r w:rsidRPr="00D33F7C">
              <w:rPr>
                <w:rFonts w:ascii="Garamond" w:eastAsia="Times New Roman" w:hAnsi="Garamond"/>
                <w:i/>
                <w:iCs/>
                <w:sz w:val="20"/>
                <w:szCs w:val="20"/>
                <w:lang w:val="en-IN" w:eastAsia="en-IN" w:bidi="hi-IN"/>
              </w:rPr>
              <w:t xml:space="preserve">           Call</w:t>
            </w:r>
          </w:p>
        </w:tc>
        <w:tc>
          <w:tcPr>
            <w:tcW w:w="1180" w:type="dxa"/>
            <w:tcBorders>
              <w:top w:val="nil"/>
              <w:left w:val="nil"/>
              <w:bottom w:val="single" w:sz="4" w:space="0" w:color="auto"/>
              <w:right w:val="single" w:sz="4" w:space="0" w:color="auto"/>
            </w:tcBorders>
            <w:shd w:val="clear" w:color="auto" w:fill="auto"/>
            <w:noWrap/>
            <w:vAlign w:val="center"/>
            <w:hideMark/>
          </w:tcPr>
          <w:p w14:paraId="40073D16"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44,84,47,280</w:t>
            </w:r>
          </w:p>
        </w:tc>
        <w:tc>
          <w:tcPr>
            <w:tcW w:w="1255" w:type="dxa"/>
            <w:tcBorders>
              <w:top w:val="nil"/>
              <w:left w:val="nil"/>
              <w:bottom w:val="single" w:sz="4" w:space="0" w:color="auto"/>
              <w:right w:val="single" w:sz="4" w:space="0" w:color="auto"/>
            </w:tcBorders>
            <w:shd w:val="clear" w:color="auto" w:fill="auto"/>
            <w:noWrap/>
            <w:vAlign w:val="center"/>
            <w:hideMark/>
          </w:tcPr>
          <w:p w14:paraId="70BF3BF2"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49,79,53,231</w:t>
            </w:r>
          </w:p>
        </w:tc>
        <w:tc>
          <w:tcPr>
            <w:tcW w:w="1245" w:type="dxa"/>
            <w:tcBorders>
              <w:top w:val="nil"/>
              <w:left w:val="nil"/>
              <w:bottom w:val="single" w:sz="4" w:space="0" w:color="auto"/>
              <w:right w:val="single" w:sz="4" w:space="0" w:color="auto"/>
            </w:tcBorders>
            <w:shd w:val="clear" w:color="auto" w:fill="auto"/>
            <w:noWrap/>
            <w:vAlign w:val="center"/>
            <w:hideMark/>
          </w:tcPr>
          <w:p w14:paraId="736BB3A3"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11.0</w:t>
            </w:r>
          </w:p>
        </w:tc>
        <w:tc>
          <w:tcPr>
            <w:tcW w:w="1340" w:type="dxa"/>
            <w:tcBorders>
              <w:top w:val="nil"/>
              <w:left w:val="nil"/>
              <w:bottom w:val="single" w:sz="4" w:space="0" w:color="auto"/>
              <w:right w:val="single" w:sz="4" w:space="0" w:color="auto"/>
            </w:tcBorders>
            <w:shd w:val="clear" w:color="auto" w:fill="auto"/>
            <w:noWrap/>
            <w:vAlign w:val="center"/>
            <w:hideMark/>
          </w:tcPr>
          <w:p w14:paraId="05D776D2"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3,65,40,390</w:t>
            </w:r>
          </w:p>
        </w:tc>
        <w:tc>
          <w:tcPr>
            <w:tcW w:w="1340" w:type="dxa"/>
            <w:tcBorders>
              <w:top w:val="nil"/>
              <w:left w:val="nil"/>
              <w:bottom w:val="single" w:sz="4" w:space="0" w:color="auto"/>
              <w:right w:val="single" w:sz="4" w:space="0" w:color="auto"/>
            </w:tcBorders>
            <w:shd w:val="clear" w:color="auto" w:fill="auto"/>
            <w:noWrap/>
            <w:vAlign w:val="center"/>
            <w:hideMark/>
          </w:tcPr>
          <w:p w14:paraId="35F5FA7B"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3,43,85,705</w:t>
            </w:r>
          </w:p>
        </w:tc>
        <w:tc>
          <w:tcPr>
            <w:tcW w:w="1480" w:type="dxa"/>
            <w:tcBorders>
              <w:top w:val="nil"/>
              <w:left w:val="nil"/>
              <w:bottom w:val="single" w:sz="4" w:space="0" w:color="auto"/>
              <w:right w:val="single" w:sz="4" w:space="0" w:color="auto"/>
            </w:tcBorders>
            <w:shd w:val="clear" w:color="auto" w:fill="auto"/>
            <w:noWrap/>
            <w:vAlign w:val="center"/>
            <w:hideMark/>
          </w:tcPr>
          <w:p w14:paraId="38971042"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-5.9</w:t>
            </w:r>
          </w:p>
        </w:tc>
      </w:tr>
      <w:tr w:rsidR="00D33F7C" w:rsidRPr="00D33F7C" w14:paraId="35476AFA" w14:textId="77777777" w:rsidTr="00E213CE">
        <w:trPr>
          <w:trHeight w:val="255"/>
        </w:trPr>
        <w:tc>
          <w:tcPr>
            <w:tcW w:w="1960" w:type="dxa"/>
            <w:tcBorders>
              <w:top w:val="nil"/>
              <w:left w:val="single" w:sz="4" w:space="0" w:color="auto"/>
              <w:bottom w:val="single" w:sz="4" w:space="0" w:color="auto"/>
              <w:right w:val="single" w:sz="4" w:space="0" w:color="auto"/>
            </w:tcBorders>
            <w:shd w:val="clear" w:color="C6D9F0" w:fill="C6D9F0"/>
            <w:noWrap/>
            <w:vAlign w:val="center"/>
            <w:hideMark/>
          </w:tcPr>
          <w:p w14:paraId="3758A311" w14:textId="77777777" w:rsidR="00D33F7C" w:rsidRPr="00D33F7C" w:rsidRDefault="00D33F7C" w:rsidP="00D33F7C">
            <w:pPr>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 xml:space="preserve">  (iii) Stock Futures</w:t>
            </w:r>
          </w:p>
        </w:tc>
        <w:tc>
          <w:tcPr>
            <w:tcW w:w="1180" w:type="dxa"/>
            <w:tcBorders>
              <w:top w:val="nil"/>
              <w:left w:val="nil"/>
              <w:bottom w:val="single" w:sz="4" w:space="0" w:color="auto"/>
              <w:right w:val="single" w:sz="4" w:space="0" w:color="auto"/>
            </w:tcBorders>
            <w:shd w:val="clear" w:color="auto" w:fill="auto"/>
            <w:noWrap/>
            <w:vAlign w:val="center"/>
            <w:hideMark/>
          </w:tcPr>
          <w:p w14:paraId="5E748470"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2,23,45,925</w:t>
            </w:r>
          </w:p>
        </w:tc>
        <w:tc>
          <w:tcPr>
            <w:tcW w:w="1255" w:type="dxa"/>
            <w:tcBorders>
              <w:top w:val="nil"/>
              <w:left w:val="nil"/>
              <w:bottom w:val="single" w:sz="4" w:space="0" w:color="auto"/>
              <w:right w:val="single" w:sz="4" w:space="0" w:color="auto"/>
            </w:tcBorders>
            <w:shd w:val="clear" w:color="auto" w:fill="auto"/>
            <w:noWrap/>
            <w:vAlign w:val="center"/>
            <w:hideMark/>
          </w:tcPr>
          <w:p w14:paraId="37099E8B"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2,17,78,143</w:t>
            </w:r>
          </w:p>
        </w:tc>
        <w:tc>
          <w:tcPr>
            <w:tcW w:w="1245" w:type="dxa"/>
            <w:tcBorders>
              <w:top w:val="nil"/>
              <w:left w:val="nil"/>
              <w:bottom w:val="single" w:sz="4" w:space="0" w:color="auto"/>
              <w:right w:val="single" w:sz="4" w:space="0" w:color="auto"/>
            </w:tcBorders>
            <w:shd w:val="clear" w:color="auto" w:fill="auto"/>
            <w:noWrap/>
            <w:vAlign w:val="center"/>
            <w:hideMark/>
          </w:tcPr>
          <w:p w14:paraId="07141CE1"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-2.5</w:t>
            </w:r>
          </w:p>
        </w:tc>
        <w:tc>
          <w:tcPr>
            <w:tcW w:w="1340" w:type="dxa"/>
            <w:tcBorders>
              <w:top w:val="nil"/>
              <w:left w:val="nil"/>
              <w:bottom w:val="single" w:sz="4" w:space="0" w:color="auto"/>
              <w:right w:val="single" w:sz="4" w:space="0" w:color="auto"/>
            </w:tcBorders>
            <w:shd w:val="clear" w:color="auto" w:fill="auto"/>
            <w:noWrap/>
            <w:vAlign w:val="center"/>
            <w:hideMark/>
          </w:tcPr>
          <w:p w14:paraId="29A4AA2C"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0</w:t>
            </w:r>
          </w:p>
        </w:tc>
        <w:tc>
          <w:tcPr>
            <w:tcW w:w="1340" w:type="dxa"/>
            <w:tcBorders>
              <w:top w:val="nil"/>
              <w:left w:val="nil"/>
              <w:bottom w:val="single" w:sz="4" w:space="0" w:color="auto"/>
              <w:right w:val="single" w:sz="4" w:space="0" w:color="auto"/>
            </w:tcBorders>
            <w:shd w:val="clear" w:color="auto" w:fill="auto"/>
            <w:noWrap/>
            <w:vAlign w:val="center"/>
            <w:hideMark/>
          </w:tcPr>
          <w:p w14:paraId="2D2129EF"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0</w:t>
            </w:r>
          </w:p>
        </w:tc>
        <w:tc>
          <w:tcPr>
            <w:tcW w:w="1480" w:type="dxa"/>
            <w:tcBorders>
              <w:top w:val="nil"/>
              <w:left w:val="nil"/>
              <w:bottom w:val="single" w:sz="4" w:space="0" w:color="auto"/>
              <w:right w:val="single" w:sz="4" w:space="0" w:color="auto"/>
            </w:tcBorders>
            <w:shd w:val="clear" w:color="auto" w:fill="auto"/>
            <w:noWrap/>
            <w:vAlign w:val="center"/>
            <w:hideMark/>
          </w:tcPr>
          <w:p w14:paraId="6C528865"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NA</w:t>
            </w:r>
          </w:p>
        </w:tc>
      </w:tr>
      <w:tr w:rsidR="00D33F7C" w:rsidRPr="00D33F7C" w14:paraId="18E93DE6" w14:textId="77777777" w:rsidTr="00E213CE">
        <w:trPr>
          <w:trHeight w:val="255"/>
        </w:trPr>
        <w:tc>
          <w:tcPr>
            <w:tcW w:w="1960" w:type="dxa"/>
            <w:tcBorders>
              <w:top w:val="nil"/>
              <w:left w:val="single" w:sz="4" w:space="0" w:color="auto"/>
              <w:bottom w:val="single" w:sz="4" w:space="0" w:color="auto"/>
              <w:right w:val="single" w:sz="4" w:space="0" w:color="auto"/>
            </w:tcBorders>
            <w:shd w:val="clear" w:color="C6D9F0" w:fill="C6D9F0"/>
            <w:noWrap/>
            <w:vAlign w:val="center"/>
            <w:hideMark/>
          </w:tcPr>
          <w:p w14:paraId="0FDFBC09" w14:textId="77777777" w:rsidR="00D33F7C" w:rsidRPr="00D33F7C" w:rsidRDefault="00D33F7C" w:rsidP="00D33F7C">
            <w:pPr>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(iv) Options on Stock</w:t>
            </w:r>
          </w:p>
        </w:tc>
        <w:tc>
          <w:tcPr>
            <w:tcW w:w="1180" w:type="dxa"/>
            <w:tcBorders>
              <w:top w:val="nil"/>
              <w:left w:val="nil"/>
              <w:bottom w:val="single" w:sz="4" w:space="0" w:color="auto"/>
              <w:right w:val="single" w:sz="4" w:space="0" w:color="auto"/>
            </w:tcBorders>
            <w:shd w:val="clear" w:color="auto" w:fill="auto"/>
            <w:noWrap/>
            <w:vAlign w:val="center"/>
            <w:hideMark/>
          </w:tcPr>
          <w:p w14:paraId="153D5620"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 </w:t>
            </w:r>
          </w:p>
        </w:tc>
        <w:tc>
          <w:tcPr>
            <w:tcW w:w="1255" w:type="dxa"/>
            <w:tcBorders>
              <w:top w:val="nil"/>
              <w:left w:val="nil"/>
              <w:bottom w:val="single" w:sz="4" w:space="0" w:color="auto"/>
              <w:right w:val="single" w:sz="4" w:space="0" w:color="auto"/>
            </w:tcBorders>
            <w:shd w:val="clear" w:color="auto" w:fill="auto"/>
            <w:noWrap/>
            <w:vAlign w:val="center"/>
            <w:hideMark/>
          </w:tcPr>
          <w:p w14:paraId="6D1DCD95"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 </w:t>
            </w:r>
          </w:p>
        </w:tc>
        <w:tc>
          <w:tcPr>
            <w:tcW w:w="1245" w:type="dxa"/>
            <w:tcBorders>
              <w:top w:val="nil"/>
              <w:left w:val="nil"/>
              <w:bottom w:val="single" w:sz="4" w:space="0" w:color="auto"/>
              <w:right w:val="single" w:sz="4" w:space="0" w:color="auto"/>
            </w:tcBorders>
            <w:shd w:val="clear" w:color="auto" w:fill="auto"/>
            <w:noWrap/>
            <w:vAlign w:val="center"/>
            <w:hideMark/>
          </w:tcPr>
          <w:p w14:paraId="2B64C3AB"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 </w:t>
            </w:r>
          </w:p>
        </w:tc>
        <w:tc>
          <w:tcPr>
            <w:tcW w:w="1340" w:type="dxa"/>
            <w:tcBorders>
              <w:top w:val="nil"/>
              <w:left w:val="nil"/>
              <w:bottom w:val="single" w:sz="4" w:space="0" w:color="auto"/>
              <w:right w:val="single" w:sz="4" w:space="0" w:color="auto"/>
            </w:tcBorders>
            <w:shd w:val="clear" w:color="auto" w:fill="auto"/>
            <w:noWrap/>
            <w:vAlign w:val="center"/>
            <w:hideMark/>
          </w:tcPr>
          <w:p w14:paraId="53B33862"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 </w:t>
            </w:r>
          </w:p>
        </w:tc>
        <w:tc>
          <w:tcPr>
            <w:tcW w:w="1340" w:type="dxa"/>
            <w:tcBorders>
              <w:top w:val="nil"/>
              <w:left w:val="nil"/>
              <w:bottom w:val="single" w:sz="4" w:space="0" w:color="auto"/>
              <w:right w:val="single" w:sz="4" w:space="0" w:color="auto"/>
            </w:tcBorders>
            <w:shd w:val="clear" w:color="auto" w:fill="auto"/>
            <w:noWrap/>
            <w:vAlign w:val="center"/>
            <w:hideMark/>
          </w:tcPr>
          <w:p w14:paraId="1D86E976"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 </w:t>
            </w:r>
          </w:p>
        </w:tc>
        <w:tc>
          <w:tcPr>
            <w:tcW w:w="1480" w:type="dxa"/>
            <w:tcBorders>
              <w:top w:val="nil"/>
              <w:left w:val="nil"/>
              <w:bottom w:val="single" w:sz="4" w:space="0" w:color="auto"/>
              <w:right w:val="single" w:sz="4" w:space="0" w:color="auto"/>
            </w:tcBorders>
            <w:shd w:val="clear" w:color="auto" w:fill="auto"/>
            <w:noWrap/>
            <w:vAlign w:val="center"/>
            <w:hideMark/>
          </w:tcPr>
          <w:p w14:paraId="5BB70FE2"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 </w:t>
            </w:r>
          </w:p>
        </w:tc>
      </w:tr>
      <w:tr w:rsidR="00D33F7C" w:rsidRPr="00D33F7C" w14:paraId="058238D8" w14:textId="77777777" w:rsidTr="00E213CE">
        <w:trPr>
          <w:trHeight w:val="255"/>
        </w:trPr>
        <w:tc>
          <w:tcPr>
            <w:tcW w:w="1960" w:type="dxa"/>
            <w:tcBorders>
              <w:top w:val="nil"/>
              <w:left w:val="single" w:sz="4" w:space="0" w:color="auto"/>
              <w:bottom w:val="single" w:sz="4" w:space="0" w:color="auto"/>
              <w:right w:val="single" w:sz="4" w:space="0" w:color="auto"/>
            </w:tcBorders>
            <w:shd w:val="clear" w:color="C6D9F0" w:fill="C6D9F0"/>
            <w:noWrap/>
            <w:vAlign w:val="center"/>
            <w:hideMark/>
          </w:tcPr>
          <w:p w14:paraId="46F87081" w14:textId="77777777" w:rsidR="00D33F7C" w:rsidRPr="00D33F7C" w:rsidRDefault="00D33F7C" w:rsidP="00D33F7C">
            <w:pPr>
              <w:rPr>
                <w:rFonts w:ascii="Garamond" w:eastAsia="Times New Roman" w:hAnsi="Garamond"/>
                <w:i/>
                <w:iCs/>
                <w:sz w:val="20"/>
                <w:szCs w:val="20"/>
                <w:lang w:val="en-IN" w:eastAsia="en-IN" w:bidi="hi-IN"/>
              </w:rPr>
            </w:pPr>
            <w:r w:rsidRPr="00D33F7C">
              <w:rPr>
                <w:rFonts w:ascii="Garamond" w:eastAsia="Times New Roman" w:hAnsi="Garamond"/>
                <w:i/>
                <w:iCs/>
                <w:sz w:val="20"/>
                <w:szCs w:val="20"/>
                <w:lang w:val="en-IN" w:eastAsia="en-IN" w:bidi="hi-IN"/>
              </w:rPr>
              <w:t xml:space="preserve">            Put</w:t>
            </w:r>
          </w:p>
        </w:tc>
        <w:tc>
          <w:tcPr>
            <w:tcW w:w="1180" w:type="dxa"/>
            <w:tcBorders>
              <w:top w:val="nil"/>
              <w:left w:val="nil"/>
              <w:bottom w:val="single" w:sz="4" w:space="0" w:color="auto"/>
              <w:right w:val="single" w:sz="4" w:space="0" w:color="auto"/>
            </w:tcBorders>
            <w:shd w:val="clear" w:color="auto" w:fill="auto"/>
            <w:noWrap/>
            <w:vAlign w:val="center"/>
            <w:hideMark/>
          </w:tcPr>
          <w:p w14:paraId="4400D76F"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1,32,41,206</w:t>
            </w:r>
          </w:p>
        </w:tc>
        <w:tc>
          <w:tcPr>
            <w:tcW w:w="1255" w:type="dxa"/>
            <w:tcBorders>
              <w:top w:val="nil"/>
              <w:left w:val="nil"/>
              <w:bottom w:val="single" w:sz="4" w:space="0" w:color="auto"/>
              <w:right w:val="single" w:sz="4" w:space="0" w:color="auto"/>
            </w:tcBorders>
            <w:shd w:val="clear" w:color="auto" w:fill="auto"/>
            <w:noWrap/>
            <w:vAlign w:val="center"/>
            <w:hideMark/>
          </w:tcPr>
          <w:p w14:paraId="6F559D9B"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1,42,32,131</w:t>
            </w:r>
          </w:p>
        </w:tc>
        <w:tc>
          <w:tcPr>
            <w:tcW w:w="1245" w:type="dxa"/>
            <w:tcBorders>
              <w:top w:val="nil"/>
              <w:left w:val="nil"/>
              <w:bottom w:val="single" w:sz="4" w:space="0" w:color="auto"/>
              <w:right w:val="single" w:sz="4" w:space="0" w:color="auto"/>
            </w:tcBorders>
            <w:shd w:val="clear" w:color="auto" w:fill="auto"/>
            <w:noWrap/>
            <w:vAlign w:val="center"/>
            <w:hideMark/>
          </w:tcPr>
          <w:p w14:paraId="428C2CCF"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7.5</w:t>
            </w:r>
          </w:p>
        </w:tc>
        <w:tc>
          <w:tcPr>
            <w:tcW w:w="1340" w:type="dxa"/>
            <w:tcBorders>
              <w:top w:val="nil"/>
              <w:left w:val="nil"/>
              <w:bottom w:val="single" w:sz="4" w:space="0" w:color="auto"/>
              <w:right w:val="single" w:sz="4" w:space="0" w:color="auto"/>
            </w:tcBorders>
            <w:shd w:val="clear" w:color="auto" w:fill="auto"/>
            <w:noWrap/>
            <w:vAlign w:val="center"/>
            <w:hideMark/>
          </w:tcPr>
          <w:p w14:paraId="169FD173"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0</w:t>
            </w:r>
          </w:p>
        </w:tc>
        <w:tc>
          <w:tcPr>
            <w:tcW w:w="1340" w:type="dxa"/>
            <w:tcBorders>
              <w:top w:val="nil"/>
              <w:left w:val="nil"/>
              <w:bottom w:val="single" w:sz="4" w:space="0" w:color="auto"/>
              <w:right w:val="single" w:sz="4" w:space="0" w:color="auto"/>
            </w:tcBorders>
            <w:shd w:val="clear" w:color="auto" w:fill="auto"/>
            <w:noWrap/>
            <w:vAlign w:val="center"/>
            <w:hideMark/>
          </w:tcPr>
          <w:p w14:paraId="0C32F0DD"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0</w:t>
            </w:r>
          </w:p>
        </w:tc>
        <w:tc>
          <w:tcPr>
            <w:tcW w:w="1480" w:type="dxa"/>
            <w:tcBorders>
              <w:top w:val="nil"/>
              <w:left w:val="nil"/>
              <w:bottom w:val="single" w:sz="4" w:space="0" w:color="auto"/>
              <w:right w:val="single" w:sz="4" w:space="0" w:color="auto"/>
            </w:tcBorders>
            <w:shd w:val="clear" w:color="auto" w:fill="auto"/>
            <w:noWrap/>
            <w:vAlign w:val="center"/>
            <w:hideMark/>
          </w:tcPr>
          <w:p w14:paraId="194EF7B9"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NA</w:t>
            </w:r>
          </w:p>
        </w:tc>
      </w:tr>
      <w:tr w:rsidR="00D33F7C" w:rsidRPr="00D33F7C" w14:paraId="190B9E93" w14:textId="77777777" w:rsidTr="00E213CE">
        <w:trPr>
          <w:trHeight w:val="255"/>
        </w:trPr>
        <w:tc>
          <w:tcPr>
            <w:tcW w:w="1960" w:type="dxa"/>
            <w:tcBorders>
              <w:top w:val="nil"/>
              <w:left w:val="single" w:sz="4" w:space="0" w:color="auto"/>
              <w:bottom w:val="single" w:sz="4" w:space="0" w:color="auto"/>
              <w:right w:val="single" w:sz="4" w:space="0" w:color="auto"/>
            </w:tcBorders>
            <w:shd w:val="clear" w:color="C6D9F0" w:fill="C6D9F0"/>
            <w:noWrap/>
            <w:vAlign w:val="center"/>
            <w:hideMark/>
          </w:tcPr>
          <w:p w14:paraId="6FCB78A1" w14:textId="77777777" w:rsidR="00D33F7C" w:rsidRPr="00D33F7C" w:rsidRDefault="00D33F7C" w:rsidP="00D33F7C">
            <w:pPr>
              <w:rPr>
                <w:rFonts w:ascii="Garamond" w:eastAsia="Times New Roman" w:hAnsi="Garamond"/>
                <w:i/>
                <w:iCs/>
                <w:sz w:val="20"/>
                <w:szCs w:val="20"/>
                <w:lang w:val="en-IN" w:eastAsia="en-IN" w:bidi="hi-IN"/>
              </w:rPr>
            </w:pPr>
            <w:r w:rsidRPr="00D33F7C">
              <w:rPr>
                <w:rFonts w:ascii="Garamond" w:eastAsia="Times New Roman" w:hAnsi="Garamond"/>
                <w:i/>
                <w:iCs/>
                <w:sz w:val="20"/>
                <w:szCs w:val="20"/>
                <w:lang w:val="en-IN" w:eastAsia="en-IN" w:bidi="hi-IN"/>
              </w:rPr>
              <w:t xml:space="preserve">          Call</w:t>
            </w:r>
          </w:p>
        </w:tc>
        <w:tc>
          <w:tcPr>
            <w:tcW w:w="1180" w:type="dxa"/>
            <w:tcBorders>
              <w:top w:val="nil"/>
              <w:left w:val="nil"/>
              <w:bottom w:val="single" w:sz="4" w:space="0" w:color="auto"/>
              <w:right w:val="single" w:sz="4" w:space="0" w:color="auto"/>
            </w:tcBorders>
            <w:shd w:val="clear" w:color="auto" w:fill="auto"/>
            <w:noWrap/>
            <w:vAlign w:val="center"/>
            <w:hideMark/>
          </w:tcPr>
          <w:p w14:paraId="6BDFA13C"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3,27,64,110</w:t>
            </w:r>
          </w:p>
        </w:tc>
        <w:tc>
          <w:tcPr>
            <w:tcW w:w="1255" w:type="dxa"/>
            <w:tcBorders>
              <w:top w:val="nil"/>
              <w:left w:val="nil"/>
              <w:bottom w:val="single" w:sz="4" w:space="0" w:color="auto"/>
              <w:right w:val="single" w:sz="4" w:space="0" w:color="auto"/>
            </w:tcBorders>
            <w:shd w:val="clear" w:color="auto" w:fill="auto"/>
            <w:noWrap/>
            <w:vAlign w:val="center"/>
            <w:hideMark/>
          </w:tcPr>
          <w:p w14:paraId="7D397899"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3,93,45,165</w:t>
            </w:r>
          </w:p>
        </w:tc>
        <w:tc>
          <w:tcPr>
            <w:tcW w:w="1245" w:type="dxa"/>
            <w:tcBorders>
              <w:top w:val="nil"/>
              <w:left w:val="nil"/>
              <w:bottom w:val="single" w:sz="4" w:space="0" w:color="auto"/>
              <w:right w:val="single" w:sz="4" w:space="0" w:color="auto"/>
            </w:tcBorders>
            <w:shd w:val="clear" w:color="auto" w:fill="auto"/>
            <w:noWrap/>
            <w:vAlign w:val="center"/>
            <w:hideMark/>
          </w:tcPr>
          <w:p w14:paraId="20D484E3"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20.1</w:t>
            </w:r>
          </w:p>
        </w:tc>
        <w:tc>
          <w:tcPr>
            <w:tcW w:w="1340" w:type="dxa"/>
            <w:tcBorders>
              <w:top w:val="nil"/>
              <w:left w:val="nil"/>
              <w:bottom w:val="single" w:sz="4" w:space="0" w:color="auto"/>
              <w:right w:val="single" w:sz="4" w:space="0" w:color="auto"/>
            </w:tcBorders>
            <w:shd w:val="clear" w:color="auto" w:fill="auto"/>
            <w:noWrap/>
            <w:vAlign w:val="center"/>
            <w:hideMark/>
          </w:tcPr>
          <w:p w14:paraId="13FAC352"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0</w:t>
            </w:r>
          </w:p>
        </w:tc>
        <w:tc>
          <w:tcPr>
            <w:tcW w:w="1340" w:type="dxa"/>
            <w:tcBorders>
              <w:top w:val="nil"/>
              <w:left w:val="nil"/>
              <w:bottom w:val="single" w:sz="4" w:space="0" w:color="auto"/>
              <w:right w:val="single" w:sz="4" w:space="0" w:color="auto"/>
            </w:tcBorders>
            <w:shd w:val="clear" w:color="auto" w:fill="auto"/>
            <w:noWrap/>
            <w:vAlign w:val="center"/>
            <w:hideMark/>
          </w:tcPr>
          <w:p w14:paraId="1623E5E0"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0</w:t>
            </w:r>
          </w:p>
        </w:tc>
        <w:tc>
          <w:tcPr>
            <w:tcW w:w="1480" w:type="dxa"/>
            <w:tcBorders>
              <w:top w:val="nil"/>
              <w:left w:val="nil"/>
              <w:bottom w:val="single" w:sz="4" w:space="0" w:color="auto"/>
              <w:right w:val="single" w:sz="4" w:space="0" w:color="auto"/>
            </w:tcBorders>
            <w:shd w:val="clear" w:color="auto" w:fill="auto"/>
            <w:noWrap/>
            <w:vAlign w:val="center"/>
            <w:hideMark/>
          </w:tcPr>
          <w:p w14:paraId="7A3687FB"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NA</w:t>
            </w:r>
          </w:p>
        </w:tc>
      </w:tr>
      <w:tr w:rsidR="00D33F7C" w:rsidRPr="00D33F7C" w14:paraId="252137FC" w14:textId="77777777" w:rsidTr="00E213CE">
        <w:trPr>
          <w:trHeight w:val="255"/>
        </w:trPr>
        <w:tc>
          <w:tcPr>
            <w:tcW w:w="1960" w:type="dxa"/>
            <w:tcBorders>
              <w:top w:val="nil"/>
              <w:left w:val="single" w:sz="4" w:space="0" w:color="auto"/>
              <w:bottom w:val="single" w:sz="4" w:space="0" w:color="auto"/>
              <w:right w:val="single" w:sz="4" w:space="0" w:color="auto"/>
            </w:tcBorders>
            <w:shd w:val="clear" w:color="C6D9F0" w:fill="C6D9F0"/>
            <w:noWrap/>
            <w:vAlign w:val="center"/>
            <w:hideMark/>
          </w:tcPr>
          <w:p w14:paraId="6DCF2093" w14:textId="77777777" w:rsidR="00D33F7C" w:rsidRPr="00D33F7C" w:rsidRDefault="00D33F7C" w:rsidP="00D33F7C">
            <w:pPr>
              <w:rPr>
                <w:rFonts w:ascii="Garamond" w:eastAsia="Times New Roman" w:hAnsi="Garamond"/>
                <w:b/>
                <w:bCs/>
                <w:sz w:val="20"/>
                <w:szCs w:val="20"/>
                <w:lang w:val="en-IN" w:eastAsia="en-IN" w:bidi="hi-IN"/>
              </w:rPr>
            </w:pPr>
            <w:r w:rsidRPr="00D33F7C">
              <w:rPr>
                <w:rFonts w:ascii="Garamond" w:eastAsia="Times New Roman" w:hAnsi="Garamond"/>
                <w:b/>
                <w:bCs/>
                <w:sz w:val="20"/>
                <w:szCs w:val="20"/>
                <w:lang w:val="en-IN" w:eastAsia="en-IN" w:bidi="hi-IN"/>
              </w:rPr>
              <w:t xml:space="preserve">         Total</w:t>
            </w:r>
          </w:p>
        </w:tc>
        <w:tc>
          <w:tcPr>
            <w:tcW w:w="1180" w:type="dxa"/>
            <w:tcBorders>
              <w:top w:val="nil"/>
              <w:left w:val="nil"/>
              <w:bottom w:val="single" w:sz="4" w:space="0" w:color="auto"/>
              <w:right w:val="single" w:sz="4" w:space="0" w:color="auto"/>
            </w:tcBorders>
            <w:shd w:val="clear" w:color="C6D9F0" w:fill="C6D9F0"/>
            <w:noWrap/>
            <w:vAlign w:val="center"/>
            <w:hideMark/>
          </w:tcPr>
          <w:p w14:paraId="3E21A9EE" w14:textId="77777777" w:rsidR="00D33F7C" w:rsidRPr="00D33F7C" w:rsidRDefault="00D33F7C" w:rsidP="00D33F7C">
            <w:pPr>
              <w:jc w:val="right"/>
              <w:rPr>
                <w:rFonts w:ascii="Garamond" w:eastAsia="Times New Roman" w:hAnsi="Garamond"/>
                <w:b/>
                <w:bCs/>
                <w:sz w:val="20"/>
                <w:szCs w:val="20"/>
                <w:lang w:val="en-IN" w:eastAsia="en-IN" w:bidi="hi-IN"/>
              </w:rPr>
            </w:pPr>
            <w:r w:rsidRPr="00D33F7C">
              <w:rPr>
                <w:rFonts w:ascii="Garamond" w:eastAsia="Times New Roman" w:hAnsi="Garamond"/>
                <w:b/>
                <w:bCs/>
                <w:sz w:val="20"/>
                <w:szCs w:val="20"/>
                <w:lang w:val="en-IN" w:eastAsia="en-IN" w:bidi="hi-IN"/>
              </w:rPr>
              <w:t>93,09,94,430</w:t>
            </w:r>
          </w:p>
        </w:tc>
        <w:tc>
          <w:tcPr>
            <w:tcW w:w="1255" w:type="dxa"/>
            <w:tcBorders>
              <w:top w:val="nil"/>
              <w:left w:val="nil"/>
              <w:bottom w:val="single" w:sz="4" w:space="0" w:color="auto"/>
              <w:right w:val="single" w:sz="4" w:space="0" w:color="auto"/>
            </w:tcBorders>
            <w:shd w:val="clear" w:color="C6D9F0" w:fill="C6D9F0"/>
            <w:noWrap/>
            <w:vAlign w:val="center"/>
            <w:hideMark/>
          </w:tcPr>
          <w:p w14:paraId="2C80D31F" w14:textId="77777777" w:rsidR="00D33F7C" w:rsidRPr="00D33F7C" w:rsidRDefault="00D33F7C" w:rsidP="00D33F7C">
            <w:pPr>
              <w:jc w:val="right"/>
              <w:rPr>
                <w:rFonts w:ascii="Garamond" w:eastAsia="Times New Roman" w:hAnsi="Garamond"/>
                <w:b/>
                <w:bCs/>
                <w:sz w:val="20"/>
                <w:szCs w:val="20"/>
                <w:lang w:val="en-IN" w:eastAsia="en-IN" w:bidi="hi-IN"/>
              </w:rPr>
            </w:pPr>
            <w:r w:rsidRPr="00D33F7C">
              <w:rPr>
                <w:rFonts w:ascii="Garamond" w:eastAsia="Times New Roman" w:hAnsi="Garamond"/>
                <w:b/>
                <w:bCs/>
                <w:sz w:val="20"/>
                <w:szCs w:val="20"/>
                <w:lang w:val="en-IN" w:eastAsia="en-IN" w:bidi="hi-IN"/>
              </w:rPr>
              <w:t>104,58,81,875</w:t>
            </w:r>
          </w:p>
        </w:tc>
        <w:tc>
          <w:tcPr>
            <w:tcW w:w="1245" w:type="dxa"/>
            <w:tcBorders>
              <w:top w:val="nil"/>
              <w:left w:val="nil"/>
              <w:bottom w:val="single" w:sz="4" w:space="0" w:color="auto"/>
              <w:right w:val="single" w:sz="4" w:space="0" w:color="auto"/>
            </w:tcBorders>
            <w:shd w:val="clear" w:color="C6D9F0" w:fill="C6D9F0"/>
            <w:noWrap/>
            <w:vAlign w:val="center"/>
            <w:hideMark/>
          </w:tcPr>
          <w:p w14:paraId="653026EC" w14:textId="77777777" w:rsidR="00D33F7C" w:rsidRPr="00D33F7C" w:rsidRDefault="00D33F7C" w:rsidP="00D33F7C">
            <w:pPr>
              <w:jc w:val="right"/>
              <w:rPr>
                <w:rFonts w:ascii="Garamond" w:eastAsia="Times New Roman" w:hAnsi="Garamond"/>
                <w:b/>
                <w:bCs/>
                <w:sz w:val="20"/>
                <w:szCs w:val="20"/>
                <w:lang w:val="en-IN" w:eastAsia="en-IN" w:bidi="hi-IN"/>
              </w:rPr>
            </w:pPr>
            <w:r w:rsidRPr="00D33F7C">
              <w:rPr>
                <w:rFonts w:ascii="Garamond" w:eastAsia="Times New Roman" w:hAnsi="Garamond"/>
                <w:b/>
                <w:bCs/>
                <w:sz w:val="20"/>
                <w:szCs w:val="20"/>
                <w:lang w:val="en-IN" w:eastAsia="en-IN" w:bidi="hi-IN"/>
              </w:rPr>
              <w:t>12.3</w:t>
            </w:r>
          </w:p>
        </w:tc>
        <w:tc>
          <w:tcPr>
            <w:tcW w:w="1340" w:type="dxa"/>
            <w:tcBorders>
              <w:top w:val="nil"/>
              <w:left w:val="nil"/>
              <w:bottom w:val="single" w:sz="4" w:space="0" w:color="auto"/>
              <w:right w:val="single" w:sz="4" w:space="0" w:color="auto"/>
            </w:tcBorders>
            <w:shd w:val="clear" w:color="C6D9F0" w:fill="C6D9F0"/>
            <w:noWrap/>
            <w:vAlign w:val="center"/>
            <w:hideMark/>
          </w:tcPr>
          <w:p w14:paraId="035223B3" w14:textId="77777777" w:rsidR="00D33F7C" w:rsidRPr="00D33F7C" w:rsidRDefault="00D33F7C" w:rsidP="00D33F7C">
            <w:pPr>
              <w:jc w:val="right"/>
              <w:rPr>
                <w:rFonts w:ascii="Garamond" w:eastAsia="Times New Roman" w:hAnsi="Garamond"/>
                <w:b/>
                <w:bCs/>
                <w:sz w:val="20"/>
                <w:szCs w:val="20"/>
                <w:lang w:val="en-IN" w:eastAsia="en-IN" w:bidi="hi-IN"/>
              </w:rPr>
            </w:pPr>
            <w:r w:rsidRPr="00D33F7C">
              <w:rPr>
                <w:rFonts w:ascii="Garamond" w:eastAsia="Times New Roman" w:hAnsi="Garamond"/>
                <w:b/>
                <w:bCs/>
                <w:sz w:val="20"/>
                <w:szCs w:val="20"/>
                <w:lang w:val="en-IN" w:eastAsia="en-IN" w:bidi="hi-IN"/>
              </w:rPr>
              <w:t>5,50,11,001</w:t>
            </w:r>
          </w:p>
        </w:tc>
        <w:tc>
          <w:tcPr>
            <w:tcW w:w="1340" w:type="dxa"/>
            <w:tcBorders>
              <w:top w:val="nil"/>
              <w:left w:val="nil"/>
              <w:bottom w:val="single" w:sz="4" w:space="0" w:color="auto"/>
              <w:right w:val="single" w:sz="4" w:space="0" w:color="auto"/>
            </w:tcBorders>
            <w:shd w:val="clear" w:color="C6D9F0" w:fill="C6D9F0"/>
            <w:noWrap/>
            <w:vAlign w:val="center"/>
            <w:hideMark/>
          </w:tcPr>
          <w:p w14:paraId="01303617" w14:textId="77777777" w:rsidR="00D33F7C" w:rsidRPr="00D33F7C" w:rsidRDefault="00D33F7C" w:rsidP="00D33F7C">
            <w:pPr>
              <w:jc w:val="right"/>
              <w:rPr>
                <w:rFonts w:ascii="Garamond" w:eastAsia="Times New Roman" w:hAnsi="Garamond"/>
                <w:b/>
                <w:bCs/>
                <w:sz w:val="20"/>
                <w:szCs w:val="20"/>
                <w:lang w:val="en-IN" w:eastAsia="en-IN" w:bidi="hi-IN"/>
              </w:rPr>
            </w:pPr>
            <w:r w:rsidRPr="00D33F7C">
              <w:rPr>
                <w:rFonts w:ascii="Garamond" w:eastAsia="Times New Roman" w:hAnsi="Garamond"/>
                <w:b/>
                <w:bCs/>
                <w:sz w:val="20"/>
                <w:szCs w:val="20"/>
                <w:lang w:val="en-IN" w:eastAsia="en-IN" w:bidi="hi-IN"/>
              </w:rPr>
              <w:t>5,89,70,000</w:t>
            </w:r>
          </w:p>
        </w:tc>
        <w:tc>
          <w:tcPr>
            <w:tcW w:w="1480" w:type="dxa"/>
            <w:tcBorders>
              <w:top w:val="nil"/>
              <w:left w:val="nil"/>
              <w:bottom w:val="single" w:sz="4" w:space="0" w:color="auto"/>
              <w:right w:val="single" w:sz="4" w:space="0" w:color="auto"/>
            </w:tcBorders>
            <w:shd w:val="clear" w:color="C6D9F0" w:fill="C6D9F0"/>
            <w:noWrap/>
            <w:vAlign w:val="center"/>
            <w:hideMark/>
          </w:tcPr>
          <w:p w14:paraId="3197BC58" w14:textId="77777777" w:rsidR="00D33F7C" w:rsidRPr="00D33F7C" w:rsidRDefault="00D33F7C" w:rsidP="00D33F7C">
            <w:pPr>
              <w:jc w:val="right"/>
              <w:rPr>
                <w:rFonts w:ascii="Garamond" w:eastAsia="Times New Roman" w:hAnsi="Garamond"/>
                <w:b/>
                <w:bCs/>
                <w:sz w:val="20"/>
                <w:szCs w:val="20"/>
                <w:lang w:val="en-IN" w:eastAsia="en-IN" w:bidi="hi-IN"/>
              </w:rPr>
            </w:pPr>
            <w:r w:rsidRPr="00D33F7C">
              <w:rPr>
                <w:rFonts w:ascii="Garamond" w:eastAsia="Times New Roman" w:hAnsi="Garamond"/>
                <w:b/>
                <w:bCs/>
                <w:sz w:val="20"/>
                <w:szCs w:val="20"/>
                <w:lang w:val="en-IN" w:eastAsia="en-IN" w:bidi="hi-IN"/>
              </w:rPr>
              <w:t>7.2</w:t>
            </w:r>
          </w:p>
        </w:tc>
      </w:tr>
      <w:tr w:rsidR="00D33F7C" w:rsidRPr="00D33F7C" w14:paraId="2FB4F22D" w14:textId="77777777" w:rsidTr="00E213CE">
        <w:trPr>
          <w:trHeight w:val="255"/>
        </w:trPr>
        <w:tc>
          <w:tcPr>
            <w:tcW w:w="9800" w:type="dxa"/>
            <w:gridSpan w:val="7"/>
            <w:tcBorders>
              <w:top w:val="single" w:sz="4" w:space="0" w:color="auto"/>
              <w:left w:val="single" w:sz="4" w:space="0" w:color="auto"/>
              <w:bottom w:val="single" w:sz="4" w:space="0" w:color="auto"/>
              <w:right w:val="single" w:sz="4" w:space="0" w:color="auto"/>
            </w:tcBorders>
            <w:shd w:val="clear" w:color="FFFFCC" w:fill="FFFFCC"/>
            <w:vAlign w:val="center"/>
            <w:hideMark/>
          </w:tcPr>
          <w:p w14:paraId="066D71D7" w14:textId="77777777" w:rsidR="00D33F7C" w:rsidRPr="00D33F7C" w:rsidRDefault="00D33F7C" w:rsidP="00D33F7C">
            <w:pPr>
              <w:rPr>
                <w:rFonts w:ascii="Garamond" w:eastAsia="Times New Roman" w:hAnsi="Garamond"/>
                <w:b/>
                <w:bCs/>
                <w:sz w:val="20"/>
                <w:szCs w:val="20"/>
                <w:lang w:val="en-IN" w:eastAsia="en-IN" w:bidi="hi-IN"/>
              </w:rPr>
            </w:pPr>
            <w:r w:rsidRPr="00D33F7C">
              <w:rPr>
                <w:rFonts w:ascii="Garamond" w:eastAsia="Times New Roman" w:hAnsi="Garamond"/>
                <w:b/>
                <w:bCs/>
                <w:sz w:val="20"/>
                <w:szCs w:val="20"/>
                <w:lang w:val="en-IN" w:eastAsia="en-IN" w:bidi="hi-IN"/>
              </w:rPr>
              <w:t xml:space="preserve">C.  Open Interest in Terms of Value ( </w:t>
            </w:r>
            <w:r w:rsidRPr="00D33F7C">
              <w:rPr>
                <w:rFonts w:ascii="Rupee Foradian" w:eastAsia="Times New Roman" w:hAnsi="Rupee Foradian"/>
                <w:b/>
                <w:bCs/>
                <w:sz w:val="20"/>
                <w:szCs w:val="20"/>
                <w:lang w:val="en-IN" w:eastAsia="en-IN" w:bidi="hi-IN"/>
              </w:rPr>
              <w:t>`</w:t>
            </w:r>
            <w:r w:rsidRPr="00D33F7C">
              <w:rPr>
                <w:rFonts w:ascii="Garamond" w:eastAsia="Times New Roman" w:hAnsi="Garamond"/>
                <w:b/>
                <w:bCs/>
                <w:sz w:val="20"/>
                <w:szCs w:val="20"/>
                <w:lang w:val="en-IN" w:eastAsia="en-IN" w:bidi="hi-IN"/>
              </w:rPr>
              <w:t xml:space="preserve"> crore)</w:t>
            </w:r>
          </w:p>
        </w:tc>
      </w:tr>
      <w:tr w:rsidR="00D33F7C" w:rsidRPr="00D33F7C" w14:paraId="51E3BD2D" w14:textId="77777777" w:rsidTr="00E213CE">
        <w:trPr>
          <w:trHeight w:val="255"/>
        </w:trPr>
        <w:tc>
          <w:tcPr>
            <w:tcW w:w="1960" w:type="dxa"/>
            <w:tcBorders>
              <w:top w:val="nil"/>
              <w:left w:val="single" w:sz="4" w:space="0" w:color="auto"/>
              <w:bottom w:val="single" w:sz="4" w:space="0" w:color="auto"/>
              <w:right w:val="single" w:sz="4" w:space="0" w:color="auto"/>
            </w:tcBorders>
            <w:shd w:val="clear" w:color="C6D9F0" w:fill="C6D9F0"/>
            <w:noWrap/>
            <w:vAlign w:val="center"/>
            <w:hideMark/>
          </w:tcPr>
          <w:p w14:paraId="4BBB78DC" w14:textId="77777777" w:rsidR="00D33F7C" w:rsidRPr="00D33F7C" w:rsidRDefault="00D33F7C" w:rsidP="00D33F7C">
            <w:pPr>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 xml:space="preserve">   (i) Index  Futures</w:t>
            </w:r>
          </w:p>
        </w:tc>
        <w:tc>
          <w:tcPr>
            <w:tcW w:w="1180" w:type="dxa"/>
            <w:tcBorders>
              <w:top w:val="nil"/>
              <w:left w:val="nil"/>
              <w:bottom w:val="single" w:sz="4" w:space="0" w:color="auto"/>
              <w:right w:val="single" w:sz="4" w:space="0" w:color="auto"/>
            </w:tcBorders>
            <w:shd w:val="clear" w:color="auto" w:fill="auto"/>
            <w:noWrap/>
            <w:vAlign w:val="center"/>
            <w:hideMark/>
          </w:tcPr>
          <w:p w14:paraId="72185D35"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24,130</w:t>
            </w:r>
          </w:p>
        </w:tc>
        <w:tc>
          <w:tcPr>
            <w:tcW w:w="1255" w:type="dxa"/>
            <w:tcBorders>
              <w:top w:val="nil"/>
              <w:left w:val="nil"/>
              <w:bottom w:val="single" w:sz="4" w:space="0" w:color="auto"/>
              <w:right w:val="single" w:sz="4" w:space="0" w:color="auto"/>
            </w:tcBorders>
            <w:shd w:val="clear" w:color="auto" w:fill="auto"/>
            <w:noWrap/>
            <w:vAlign w:val="center"/>
            <w:hideMark/>
          </w:tcPr>
          <w:p w14:paraId="2BBCB523"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23,957</w:t>
            </w:r>
          </w:p>
        </w:tc>
        <w:tc>
          <w:tcPr>
            <w:tcW w:w="1245" w:type="dxa"/>
            <w:tcBorders>
              <w:top w:val="nil"/>
              <w:left w:val="nil"/>
              <w:bottom w:val="single" w:sz="4" w:space="0" w:color="auto"/>
              <w:right w:val="single" w:sz="4" w:space="0" w:color="auto"/>
            </w:tcBorders>
            <w:shd w:val="clear" w:color="auto" w:fill="auto"/>
            <w:noWrap/>
            <w:vAlign w:val="center"/>
            <w:hideMark/>
          </w:tcPr>
          <w:p w14:paraId="017DD55D"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-0.7</w:t>
            </w:r>
          </w:p>
        </w:tc>
        <w:tc>
          <w:tcPr>
            <w:tcW w:w="1340" w:type="dxa"/>
            <w:tcBorders>
              <w:top w:val="nil"/>
              <w:left w:val="nil"/>
              <w:bottom w:val="single" w:sz="4" w:space="0" w:color="auto"/>
              <w:right w:val="single" w:sz="4" w:space="0" w:color="auto"/>
            </w:tcBorders>
            <w:shd w:val="clear" w:color="auto" w:fill="auto"/>
            <w:noWrap/>
            <w:vAlign w:val="center"/>
            <w:hideMark/>
          </w:tcPr>
          <w:p w14:paraId="536EF580"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11</w:t>
            </w:r>
          </w:p>
        </w:tc>
        <w:tc>
          <w:tcPr>
            <w:tcW w:w="1340" w:type="dxa"/>
            <w:tcBorders>
              <w:top w:val="nil"/>
              <w:left w:val="nil"/>
              <w:bottom w:val="single" w:sz="4" w:space="0" w:color="auto"/>
              <w:right w:val="single" w:sz="4" w:space="0" w:color="auto"/>
            </w:tcBorders>
            <w:shd w:val="clear" w:color="auto" w:fill="auto"/>
            <w:noWrap/>
            <w:vAlign w:val="center"/>
            <w:hideMark/>
          </w:tcPr>
          <w:p w14:paraId="62CD097D"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5</w:t>
            </w:r>
          </w:p>
        </w:tc>
        <w:tc>
          <w:tcPr>
            <w:tcW w:w="1480" w:type="dxa"/>
            <w:tcBorders>
              <w:top w:val="nil"/>
              <w:left w:val="nil"/>
              <w:bottom w:val="single" w:sz="4" w:space="0" w:color="auto"/>
              <w:right w:val="single" w:sz="4" w:space="0" w:color="auto"/>
            </w:tcBorders>
            <w:shd w:val="clear" w:color="auto" w:fill="auto"/>
            <w:noWrap/>
            <w:vAlign w:val="center"/>
            <w:hideMark/>
          </w:tcPr>
          <w:p w14:paraId="6EF1EB7B"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-48.3</w:t>
            </w:r>
          </w:p>
        </w:tc>
      </w:tr>
      <w:tr w:rsidR="00D33F7C" w:rsidRPr="00D33F7C" w14:paraId="7C0B5B02" w14:textId="77777777" w:rsidTr="00E213CE">
        <w:trPr>
          <w:trHeight w:val="255"/>
        </w:trPr>
        <w:tc>
          <w:tcPr>
            <w:tcW w:w="1960" w:type="dxa"/>
            <w:tcBorders>
              <w:top w:val="nil"/>
              <w:left w:val="single" w:sz="4" w:space="0" w:color="auto"/>
              <w:bottom w:val="single" w:sz="4" w:space="0" w:color="auto"/>
              <w:right w:val="single" w:sz="4" w:space="0" w:color="auto"/>
            </w:tcBorders>
            <w:shd w:val="clear" w:color="C6D9F0" w:fill="C6D9F0"/>
            <w:noWrap/>
            <w:vAlign w:val="center"/>
            <w:hideMark/>
          </w:tcPr>
          <w:p w14:paraId="28DD4BFA" w14:textId="77777777" w:rsidR="00D33F7C" w:rsidRPr="00D33F7C" w:rsidRDefault="00D33F7C" w:rsidP="00D33F7C">
            <w:pPr>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 xml:space="preserve">   (ii) Options on Index</w:t>
            </w:r>
          </w:p>
        </w:tc>
        <w:tc>
          <w:tcPr>
            <w:tcW w:w="1180" w:type="dxa"/>
            <w:tcBorders>
              <w:top w:val="nil"/>
              <w:left w:val="nil"/>
              <w:bottom w:val="single" w:sz="4" w:space="0" w:color="auto"/>
              <w:right w:val="single" w:sz="4" w:space="0" w:color="auto"/>
            </w:tcBorders>
            <w:shd w:val="clear" w:color="auto" w:fill="auto"/>
            <w:noWrap/>
            <w:vAlign w:val="center"/>
            <w:hideMark/>
          </w:tcPr>
          <w:p w14:paraId="4CB88D7C"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 </w:t>
            </w:r>
          </w:p>
        </w:tc>
        <w:tc>
          <w:tcPr>
            <w:tcW w:w="1255" w:type="dxa"/>
            <w:tcBorders>
              <w:top w:val="nil"/>
              <w:left w:val="nil"/>
              <w:bottom w:val="single" w:sz="4" w:space="0" w:color="auto"/>
              <w:right w:val="single" w:sz="4" w:space="0" w:color="auto"/>
            </w:tcBorders>
            <w:shd w:val="clear" w:color="auto" w:fill="auto"/>
            <w:noWrap/>
            <w:vAlign w:val="center"/>
            <w:hideMark/>
          </w:tcPr>
          <w:p w14:paraId="5F18BBD1"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 </w:t>
            </w:r>
          </w:p>
        </w:tc>
        <w:tc>
          <w:tcPr>
            <w:tcW w:w="1245" w:type="dxa"/>
            <w:tcBorders>
              <w:top w:val="nil"/>
              <w:left w:val="nil"/>
              <w:bottom w:val="single" w:sz="4" w:space="0" w:color="auto"/>
              <w:right w:val="single" w:sz="4" w:space="0" w:color="auto"/>
            </w:tcBorders>
            <w:shd w:val="clear" w:color="auto" w:fill="auto"/>
            <w:noWrap/>
            <w:vAlign w:val="center"/>
            <w:hideMark/>
          </w:tcPr>
          <w:p w14:paraId="52EA1EBC"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 </w:t>
            </w:r>
          </w:p>
        </w:tc>
        <w:tc>
          <w:tcPr>
            <w:tcW w:w="1340" w:type="dxa"/>
            <w:tcBorders>
              <w:top w:val="nil"/>
              <w:left w:val="nil"/>
              <w:bottom w:val="single" w:sz="4" w:space="0" w:color="auto"/>
              <w:right w:val="single" w:sz="4" w:space="0" w:color="auto"/>
            </w:tcBorders>
            <w:shd w:val="clear" w:color="auto" w:fill="auto"/>
            <w:noWrap/>
            <w:vAlign w:val="center"/>
            <w:hideMark/>
          </w:tcPr>
          <w:p w14:paraId="7AA9FC04"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 </w:t>
            </w:r>
          </w:p>
        </w:tc>
        <w:tc>
          <w:tcPr>
            <w:tcW w:w="1340" w:type="dxa"/>
            <w:tcBorders>
              <w:top w:val="nil"/>
              <w:left w:val="nil"/>
              <w:bottom w:val="single" w:sz="4" w:space="0" w:color="auto"/>
              <w:right w:val="single" w:sz="4" w:space="0" w:color="auto"/>
            </w:tcBorders>
            <w:shd w:val="clear" w:color="auto" w:fill="auto"/>
            <w:noWrap/>
            <w:vAlign w:val="center"/>
            <w:hideMark/>
          </w:tcPr>
          <w:p w14:paraId="663630F8"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 </w:t>
            </w:r>
          </w:p>
        </w:tc>
        <w:tc>
          <w:tcPr>
            <w:tcW w:w="1480" w:type="dxa"/>
            <w:tcBorders>
              <w:top w:val="nil"/>
              <w:left w:val="nil"/>
              <w:bottom w:val="single" w:sz="4" w:space="0" w:color="auto"/>
              <w:right w:val="single" w:sz="4" w:space="0" w:color="auto"/>
            </w:tcBorders>
            <w:shd w:val="clear" w:color="auto" w:fill="auto"/>
            <w:noWrap/>
            <w:vAlign w:val="center"/>
            <w:hideMark/>
          </w:tcPr>
          <w:p w14:paraId="48017C53"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 </w:t>
            </w:r>
          </w:p>
        </w:tc>
      </w:tr>
      <w:tr w:rsidR="00D33F7C" w:rsidRPr="00D33F7C" w14:paraId="046FEDA6" w14:textId="77777777" w:rsidTr="00E213CE">
        <w:trPr>
          <w:trHeight w:val="255"/>
        </w:trPr>
        <w:tc>
          <w:tcPr>
            <w:tcW w:w="1960" w:type="dxa"/>
            <w:tcBorders>
              <w:top w:val="nil"/>
              <w:left w:val="single" w:sz="4" w:space="0" w:color="auto"/>
              <w:bottom w:val="single" w:sz="4" w:space="0" w:color="auto"/>
              <w:right w:val="single" w:sz="4" w:space="0" w:color="auto"/>
            </w:tcBorders>
            <w:shd w:val="clear" w:color="C6D9F0" w:fill="C6D9F0"/>
            <w:noWrap/>
            <w:vAlign w:val="center"/>
            <w:hideMark/>
          </w:tcPr>
          <w:p w14:paraId="5AAF5A47" w14:textId="77777777" w:rsidR="00D33F7C" w:rsidRPr="00D33F7C" w:rsidRDefault="00D33F7C" w:rsidP="00D33F7C">
            <w:pPr>
              <w:rPr>
                <w:rFonts w:ascii="Garamond" w:eastAsia="Times New Roman" w:hAnsi="Garamond"/>
                <w:i/>
                <w:iCs/>
                <w:sz w:val="20"/>
                <w:szCs w:val="20"/>
                <w:lang w:val="en-IN" w:eastAsia="en-IN" w:bidi="hi-IN"/>
              </w:rPr>
            </w:pPr>
            <w:r w:rsidRPr="00D33F7C">
              <w:rPr>
                <w:rFonts w:ascii="Garamond" w:eastAsia="Times New Roman" w:hAnsi="Garamond"/>
                <w:i/>
                <w:iCs/>
                <w:sz w:val="20"/>
                <w:szCs w:val="20"/>
                <w:lang w:val="en-IN" w:eastAsia="en-IN" w:bidi="hi-IN"/>
              </w:rPr>
              <w:t xml:space="preserve">            Put</w:t>
            </w:r>
          </w:p>
        </w:tc>
        <w:tc>
          <w:tcPr>
            <w:tcW w:w="1180" w:type="dxa"/>
            <w:tcBorders>
              <w:top w:val="nil"/>
              <w:left w:val="nil"/>
              <w:bottom w:val="single" w:sz="4" w:space="0" w:color="auto"/>
              <w:right w:val="single" w:sz="4" w:space="0" w:color="auto"/>
            </w:tcBorders>
            <w:shd w:val="clear" w:color="auto" w:fill="auto"/>
            <w:noWrap/>
            <w:vAlign w:val="center"/>
            <w:hideMark/>
          </w:tcPr>
          <w:p w14:paraId="14274E0E"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1,95,046</w:t>
            </w:r>
          </w:p>
        </w:tc>
        <w:tc>
          <w:tcPr>
            <w:tcW w:w="1255" w:type="dxa"/>
            <w:tcBorders>
              <w:top w:val="nil"/>
              <w:left w:val="nil"/>
              <w:bottom w:val="single" w:sz="4" w:space="0" w:color="auto"/>
              <w:right w:val="single" w:sz="4" w:space="0" w:color="auto"/>
            </w:tcBorders>
            <w:shd w:val="clear" w:color="auto" w:fill="auto"/>
            <w:noWrap/>
            <w:vAlign w:val="center"/>
            <w:hideMark/>
          </w:tcPr>
          <w:p w14:paraId="42EA3704"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1,82,203</w:t>
            </w:r>
          </w:p>
        </w:tc>
        <w:tc>
          <w:tcPr>
            <w:tcW w:w="1245" w:type="dxa"/>
            <w:tcBorders>
              <w:top w:val="nil"/>
              <w:left w:val="nil"/>
              <w:bottom w:val="single" w:sz="4" w:space="0" w:color="auto"/>
              <w:right w:val="single" w:sz="4" w:space="0" w:color="auto"/>
            </w:tcBorders>
            <w:shd w:val="clear" w:color="auto" w:fill="auto"/>
            <w:noWrap/>
            <w:vAlign w:val="center"/>
            <w:hideMark/>
          </w:tcPr>
          <w:p w14:paraId="2E4D7CAE"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-6.6</w:t>
            </w:r>
          </w:p>
        </w:tc>
        <w:tc>
          <w:tcPr>
            <w:tcW w:w="1340" w:type="dxa"/>
            <w:tcBorders>
              <w:top w:val="nil"/>
              <w:left w:val="nil"/>
              <w:bottom w:val="single" w:sz="4" w:space="0" w:color="auto"/>
              <w:right w:val="single" w:sz="4" w:space="0" w:color="auto"/>
            </w:tcBorders>
            <w:shd w:val="clear" w:color="auto" w:fill="auto"/>
            <w:noWrap/>
            <w:vAlign w:val="center"/>
            <w:hideMark/>
          </w:tcPr>
          <w:p w14:paraId="6DB4EC16"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31</w:t>
            </w:r>
          </w:p>
        </w:tc>
        <w:tc>
          <w:tcPr>
            <w:tcW w:w="1340" w:type="dxa"/>
            <w:tcBorders>
              <w:top w:val="nil"/>
              <w:left w:val="nil"/>
              <w:bottom w:val="single" w:sz="4" w:space="0" w:color="auto"/>
              <w:right w:val="single" w:sz="4" w:space="0" w:color="auto"/>
            </w:tcBorders>
            <w:shd w:val="clear" w:color="auto" w:fill="auto"/>
            <w:noWrap/>
            <w:vAlign w:val="center"/>
            <w:hideMark/>
          </w:tcPr>
          <w:p w14:paraId="50D1EFC4"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50</w:t>
            </w:r>
          </w:p>
        </w:tc>
        <w:tc>
          <w:tcPr>
            <w:tcW w:w="1480" w:type="dxa"/>
            <w:tcBorders>
              <w:top w:val="nil"/>
              <w:left w:val="nil"/>
              <w:bottom w:val="single" w:sz="4" w:space="0" w:color="auto"/>
              <w:right w:val="single" w:sz="4" w:space="0" w:color="auto"/>
            </w:tcBorders>
            <w:shd w:val="clear" w:color="auto" w:fill="auto"/>
            <w:noWrap/>
            <w:vAlign w:val="center"/>
            <w:hideMark/>
          </w:tcPr>
          <w:p w14:paraId="20E82213"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60.1</w:t>
            </w:r>
          </w:p>
        </w:tc>
      </w:tr>
      <w:tr w:rsidR="00D33F7C" w:rsidRPr="00D33F7C" w14:paraId="3B596930" w14:textId="77777777" w:rsidTr="00E213CE">
        <w:trPr>
          <w:trHeight w:val="255"/>
        </w:trPr>
        <w:tc>
          <w:tcPr>
            <w:tcW w:w="1960" w:type="dxa"/>
            <w:tcBorders>
              <w:top w:val="nil"/>
              <w:left w:val="single" w:sz="4" w:space="0" w:color="auto"/>
              <w:bottom w:val="single" w:sz="4" w:space="0" w:color="auto"/>
              <w:right w:val="single" w:sz="4" w:space="0" w:color="auto"/>
            </w:tcBorders>
            <w:shd w:val="clear" w:color="C6D9F0" w:fill="C6D9F0"/>
            <w:noWrap/>
            <w:vAlign w:val="center"/>
            <w:hideMark/>
          </w:tcPr>
          <w:p w14:paraId="54FCBC5D" w14:textId="77777777" w:rsidR="00D33F7C" w:rsidRPr="00D33F7C" w:rsidRDefault="00D33F7C" w:rsidP="00D33F7C">
            <w:pPr>
              <w:rPr>
                <w:rFonts w:ascii="Garamond" w:eastAsia="Times New Roman" w:hAnsi="Garamond"/>
                <w:i/>
                <w:iCs/>
                <w:sz w:val="20"/>
                <w:szCs w:val="20"/>
                <w:lang w:val="en-IN" w:eastAsia="en-IN" w:bidi="hi-IN"/>
              </w:rPr>
            </w:pPr>
            <w:r w:rsidRPr="00D33F7C">
              <w:rPr>
                <w:rFonts w:ascii="Garamond" w:eastAsia="Times New Roman" w:hAnsi="Garamond"/>
                <w:i/>
                <w:iCs/>
                <w:sz w:val="20"/>
                <w:szCs w:val="20"/>
                <w:lang w:val="en-IN" w:eastAsia="en-IN" w:bidi="hi-IN"/>
              </w:rPr>
              <w:t xml:space="preserve">           Call</w:t>
            </w:r>
          </w:p>
        </w:tc>
        <w:tc>
          <w:tcPr>
            <w:tcW w:w="1180" w:type="dxa"/>
            <w:tcBorders>
              <w:top w:val="nil"/>
              <w:left w:val="nil"/>
              <w:bottom w:val="single" w:sz="4" w:space="0" w:color="auto"/>
              <w:right w:val="single" w:sz="4" w:space="0" w:color="auto"/>
            </w:tcBorders>
            <w:shd w:val="clear" w:color="auto" w:fill="auto"/>
            <w:noWrap/>
            <w:vAlign w:val="center"/>
            <w:hideMark/>
          </w:tcPr>
          <w:p w14:paraId="7ED32B6D"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1,51,066</w:t>
            </w:r>
          </w:p>
        </w:tc>
        <w:tc>
          <w:tcPr>
            <w:tcW w:w="1255" w:type="dxa"/>
            <w:tcBorders>
              <w:top w:val="nil"/>
              <w:left w:val="nil"/>
              <w:bottom w:val="single" w:sz="4" w:space="0" w:color="auto"/>
              <w:right w:val="single" w:sz="4" w:space="0" w:color="auto"/>
            </w:tcBorders>
            <w:shd w:val="clear" w:color="auto" w:fill="auto"/>
            <w:noWrap/>
            <w:vAlign w:val="center"/>
            <w:hideMark/>
          </w:tcPr>
          <w:p w14:paraId="0635E72B"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2,33,102</w:t>
            </w:r>
          </w:p>
        </w:tc>
        <w:tc>
          <w:tcPr>
            <w:tcW w:w="1245" w:type="dxa"/>
            <w:tcBorders>
              <w:top w:val="nil"/>
              <w:left w:val="nil"/>
              <w:bottom w:val="single" w:sz="4" w:space="0" w:color="auto"/>
              <w:right w:val="single" w:sz="4" w:space="0" w:color="auto"/>
            </w:tcBorders>
            <w:shd w:val="clear" w:color="auto" w:fill="auto"/>
            <w:noWrap/>
            <w:vAlign w:val="center"/>
            <w:hideMark/>
          </w:tcPr>
          <w:p w14:paraId="5CF205C1"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54.3</w:t>
            </w:r>
          </w:p>
        </w:tc>
        <w:tc>
          <w:tcPr>
            <w:tcW w:w="1340" w:type="dxa"/>
            <w:tcBorders>
              <w:top w:val="nil"/>
              <w:left w:val="nil"/>
              <w:bottom w:val="single" w:sz="4" w:space="0" w:color="auto"/>
              <w:right w:val="single" w:sz="4" w:space="0" w:color="auto"/>
            </w:tcBorders>
            <w:shd w:val="clear" w:color="auto" w:fill="auto"/>
            <w:noWrap/>
            <w:vAlign w:val="center"/>
            <w:hideMark/>
          </w:tcPr>
          <w:p w14:paraId="4BD3B29A"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24</w:t>
            </w:r>
          </w:p>
        </w:tc>
        <w:tc>
          <w:tcPr>
            <w:tcW w:w="1340" w:type="dxa"/>
            <w:tcBorders>
              <w:top w:val="nil"/>
              <w:left w:val="nil"/>
              <w:bottom w:val="single" w:sz="4" w:space="0" w:color="auto"/>
              <w:right w:val="single" w:sz="4" w:space="0" w:color="auto"/>
            </w:tcBorders>
            <w:shd w:val="clear" w:color="auto" w:fill="auto"/>
            <w:noWrap/>
            <w:vAlign w:val="center"/>
            <w:hideMark/>
          </w:tcPr>
          <w:p w14:paraId="13779098"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55</w:t>
            </w:r>
          </w:p>
        </w:tc>
        <w:tc>
          <w:tcPr>
            <w:tcW w:w="1480" w:type="dxa"/>
            <w:tcBorders>
              <w:top w:val="nil"/>
              <w:left w:val="nil"/>
              <w:bottom w:val="single" w:sz="4" w:space="0" w:color="auto"/>
              <w:right w:val="single" w:sz="4" w:space="0" w:color="auto"/>
            </w:tcBorders>
            <w:shd w:val="clear" w:color="auto" w:fill="auto"/>
            <w:noWrap/>
            <w:vAlign w:val="center"/>
            <w:hideMark/>
          </w:tcPr>
          <w:p w14:paraId="6CF2D81B"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133.4</w:t>
            </w:r>
          </w:p>
        </w:tc>
      </w:tr>
      <w:tr w:rsidR="00D33F7C" w:rsidRPr="00D33F7C" w14:paraId="43EAA39D" w14:textId="77777777" w:rsidTr="00E213CE">
        <w:trPr>
          <w:trHeight w:val="255"/>
        </w:trPr>
        <w:tc>
          <w:tcPr>
            <w:tcW w:w="1960" w:type="dxa"/>
            <w:tcBorders>
              <w:top w:val="nil"/>
              <w:left w:val="single" w:sz="4" w:space="0" w:color="auto"/>
              <w:bottom w:val="single" w:sz="4" w:space="0" w:color="auto"/>
              <w:right w:val="single" w:sz="4" w:space="0" w:color="auto"/>
            </w:tcBorders>
            <w:shd w:val="clear" w:color="C6D9F0" w:fill="C6D9F0"/>
            <w:noWrap/>
            <w:vAlign w:val="center"/>
            <w:hideMark/>
          </w:tcPr>
          <w:p w14:paraId="70252722" w14:textId="77777777" w:rsidR="00D33F7C" w:rsidRPr="00D33F7C" w:rsidRDefault="00D33F7C" w:rsidP="00D33F7C">
            <w:pPr>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 xml:space="preserve">  (iii) Stock Futures</w:t>
            </w:r>
          </w:p>
        </w:tc>
        <w:tc>
          <w:tcPr>
            <w:tcW w:w="1180" w:type="dxa"/>
            <w:tcBorders>
              <w:top w:val="nil"/>
              <w:left w:val="nil"/>
              <w:bottom w:val="single" w:sz="4" w:space="0" w:color="auto"/>
              <w:right w:val="single" w:sz="4" w:space="0" w:color="auto"/>
            </w:tcBorders>
            <w:shd w:val="clear" w:color="auto" w:fill="auto"/>
            <w:noWrap/>
            <w:vAlign w:val="center"/>
            <w:hideMark/>
          </w:tcPr>
          <w:p w14:paraId="5C5B353E"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1,58,885</w:t>
            </w:r>
          </w:p>
        </w:tc>
        <w:tc>
          <w:tcPr>
            <w:tcW w:w="1255" w:type="dxa"/>
            <w:tcBorders>
              <w:top w:val="nil"/>
              <w:left w:val="nil"/>
              <w:bottom w:val="single" w:sz="4" w:space="0" w:color="auto"/>
              <w:right w:val="single" w:sz="4" w:space="0" w:color="auto"/>
            </w:tcBorders>
            <w:shd w:val="clear" w:color="auto" w:fill="auto"/>
            <w:noWrap/>
            <w:vAlign w:val="center"/>
            <w:hideMark/>
          </w:tcPr>
          <w:p w14:paraId="321668F6"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1,65,093</w:t>
            </w:r>
          </w:p>
        </w:tc>
        <w:tc>
          <w:tcPr>
            <w:tcW w:w="1245" w:type="dxa"/>
            <w:tcBorders>
              <w:top w:val="nil"/>
              <w:left w:val="nil"/>
              <w:bottom w:val="single" w:sz="4" w:space="0" w:color="auto"/>
              <w:right w:val="single" w:sz="4" w:space="0" w:color="auto"/>
            </w:tcBorders>
            <w:shd w:val="clear" w:color="auto" w:fill="auto"/>
            <w:noWrap/>
            <w:vAlign w:val="center"/>
            <w:hideMark/>
          </w:tcPr>
          <w:p w14:paraId="20C56C40"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3.9</w:t>
            </w:r>
          </w:p>
        </w:tc>
        <w:tc>
          <w:tcPr>
            <w:tcW w:w="1340" w:type="dxa"/>
            <w:tcBorders>
              <w:top w:val="nil"/>
              <w:left w:val="nil"/>
              <w:bottom w:val="single" w:sz="4" w:space="0" w:color="auto"/>
              <w:right w:val="single" w:sz="4" w:space="0" w:color="auto"/>
            </w:tcBorders>
            <w:shd w:val="clear" w:color="auto" w:fill="auto"/>
            <w:noWrap/>
            <w:vAlign w:val="center"/>
            <w:hideMark/>
          </w:tcPr>
          <w:p w14:paraId="50D6A6A5"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0.0</w:t>
            </w:r>
          </w:p>
        </w:tc>
        <w:tc>
          <w:tcPr>
            <w:tcW w:w="1340" w:type="dxa"/>
            <w:tcBorders>
              <w:top w:val="nil"/>
              <w:left w:val="nil"/>
              <w:bottom w:val="single" w:sz="4" w:space="0" w:color="auto"/>
              <w:right w:val="single" w:sz="4" w:space="0" w:color="auto"/>
            </w:tcBorders>
            <w:shd w:val="clear" w:color="auto" w:fill="auto"/>
            <w:noWrap/>
            <w:vAlign w:val="center"/>
            <w:hideMark/>
          </w:tcPr>
          <w:p w14:paraId="55C3E826"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0.0</w:t>
            </w:r>
          </w:p>
        </w:tc>
        <w:tc>
          <w:tcPr>
            <w:tcW w:w="1480" w:type="dxa"/>
            <w:tcBorders>
              <w:top w:val="nil"/>
              <w:left w:val="nil"/>
              <w:bottom w:val="single" w:sz="4" w:space="0" w:color="auto"/>
              <w:right w:val="single" w:sz="4" w:space="0" w:color="auto"/>
            </w:tcBorders>
            <w:shd w:val="clear" w:color="auto" w:fill="auto"/>
            <w:noWrap/>
            <w:vAlign w:val="center"/>
            <w:hideMark/>
          </w:tcPr>
          <w:p w14:paraId="57ADDC56"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NA</w:t>
            </w:r>
          </w:p>
        </w:tc>
      </w:tr>
      <w:tr w:rsidR="00D33F7C" w:rsidRPr="00D33F7C" w14:paraId="04184B78" w14:textId="77777777" w:rsidTr="00E213CE">
        <w:trPr>
          <w:trHeight w:val="255"/>
        </w:trPr>
        <w:tc>
          <w:tcPr>
            <w:tcW w:w="1960" w:type="dxa"/>
            <w:tcBorders>
              <w:top w:val="nil"/>
              <w:left w:val="single" w:sz="4" w:space="0" w:color="auto"/>
              <w:bottom w:val="single" w:sz="4" w:space="0" w:color="auto"/>
              <w:right w:val="single" w:sz="4" w:space="0" w:color="auto"/>
            </w:tcBorders>
            <w:shd w:val="clear" w:color="C6D9F0" w:fill="C6D9F0"/>
            <w:noWrap/>
            <w:vAlign w:val="center"/>
            <w:hideMark/>
          </w:tcPr>
          <w:p w14:paraId="1B9385BE" w14:textId="77777777" w:rsidR="00D33F7C" w:rsidRPr="00D33F7C" w:rsidRDefault="00D33F7C" w:rsidP="00D33F7C">
            <w:pPr>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(iv) Options on Stock</w:t>
            </w:r>
          </w:p>
        </w:tc>
        <w:tc>
          <w:tcPr>
            <w:tcW w:w="1180" w:type="dxa"/>
            <w:tcBorders>
              <w:top w:val="nil"/>
              <w:left w:val="nil"/>
              <w:bottom w:val="single" w:sz="4" w:space="0" w:color="auto"/>
              <w:right w:val="single" w:sz="4" w:space="0" w:color="auto"/>
            </w:tcBorders>
            <w:shd w:val="clear" w:color="auto" w:fill="auto"/>
            <w:noWrap/>
            <w:vAlign w:val="center"/>
            <w:hideMark/>
          </w:tcPr>
          <w:p w14:paraId="057E9D59"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 </w:t>
            </w:r>
          </w:p>
        </w:tc>
        <w:tc>
          <w:tcPr>
            <w:tcW w:w="1255" w:type="dxa"/>
            <w:tcBorders>
              <w:top w:val="nil"/>
              <w:left w:val="nil"/>
              <w:bottom w:val="single" w:sz="4" w:space="0" w:color="auto"/>
              <w:right w:val="single" w:sz="4" w:space="0" w:color="auto"/>
            </w:tcBorders>
            <w:shd w:val="clear" w:color="auto" w:fill="auto"/>
            <w:noWrap/>
            <w:vAlign w:val="center"/>
            <w:hideMark/>
          </w:tcPr>
          <w:p w14:paraId="65671235"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 </w:t>
            </w:r>
          </w:p>
        </w:tc>
        <w:tc>
          <w:tcPr>
            <w:tcW w:w="1245" w:type="dxa"/>
            <w:tcBorders>
              <w:top w:val="nil"/>
              <w:left w:val="nil"/>
              <w:bottom w:val="single" w:sz="4" w:space="0" w:color="auto"/>
              <w:right w:val="single" w:sz="4" w:space="0" w:color="auto"/>
            </w:tcBorders>
            <w:shd w:val="clear" w:color="auto" w:fill="auto"/>
            <w:noWrap/>
            <w:vAlign w:val="center"/>
            <w:hideMark/>
          </w:tcPr>
          <w:p w14:paraId="3E3261E8"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 </w:t>
            </w:r>
          </w:p>
        </w:tc>
        <w:tc>
          <w:tcPr>
            <w:tcW w:w="1340" w:type="dxa"/>
            <w:tcBorders>
              <w:top w:val="nil"/>
              <w:left w:val="nil"/>
              <w:bottom w:val="single" w:sz="4" w:space="0" w:color="auto"/>
              <w:right w:val="single" w:sz="4" w:space="0" w:color="auto"/>
            </w:tcBorders>
            <w:shd w:val="clear" w:color="auto" w:fill="auto"/>
            <w:noWrap/>
            <w:vAlign w:val="center"/>
            <w:hideMark/>
          </w:tcPr>
          <w:p w14:paraId="2DE2D547"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 </w:t>
            </w:r>
          </w:p>
        </w:tc>
        <w:tc>
          <w:tcPr>
            <w:tcW w:w="1340" w:type="dxa"/>
            <w:tcBorders>
              <w:top w:val="nil"/>
              <w:left w:val="nil"/>
              <w:bottom w:val="single" w:sz="4" w:space="0" w:color="auto"/>
              <w:right w:val="single" w:sz="4" w:space="0" w:color="auto"/>
            </w:tcBorders>
            <w:shd w:val="clear" w:color="auto" w:fill="auto"/>
            <w:noWrap/>
            <w:vAlign w:val="center"/>
            <w:hideMark/>
          </w:tcPr>
          <w:p w14:paraId="721CD005"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 </w:t>
            </w:r>
          </w:p>
        </w:tc>
        <w:tc>
          <w:tcPr>
            <w:tcW w:w="1480" w:type="dxa"/>
            <w:tcBorders>
              <w:top w:val="nil"/>
              <w:left w:val="nil"/>
              <w:bottom w:val="single" w:sz="4" w:space="0" w:color="auto"/>
              <w:right w:val="single" w:sz="4" w:space="0" w:color="auto"/>
            </w:tcBorders>
            <w:shd w:val="clear" w:color="auto" w:fill="auto"/>
            <w:noWrap/>
            <w:vAlign w:val="center"/>
            <w:hideMark/>
          </w:tcPr>
          <w:p w14:paraId="566537BE"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 </w:t>
            </w:r>
          </w:p>
        </w:tc>
      </w:tr>
      <w:tr w:rsidR="00D33F7C" w:rsidRPr="00D33F7C" w14:paraId="4C415AD4" w14:textId="77777777" w:rsidTr="00E213CE">
        <w:trPr>
          <w:trHeight w:val="255"/>
        </w:trPr>
        <w:tc>
          <w:tcPr>
            <w:tcW w:w="1960" w:type="dxa"/>
            <w:tcBorders>
              <w:top w:val="nil"/>
              <w:left w:val="single" w:sz="4" w:space="0" w:color="auto"/>
              <w:bottom w:val="single" w:sz="4" w:space="0" w:color="auto"/>
              <w:right w:val="single" w:sz="4" w:space="0" w:color="auto"/>
            </w:tcBorders>
            <w:shd w:val="clear" w:color="C6D9F0" w:fill="C6D9F0"/>
            <w:noWrap/>
            <w:vAlign w:val="center"/>
            <w:hideMark/>
          </w:tcPr>
          <w:p w14:paraId="3313ED19" w14:textId="77777777" w:rsidR="00D33F7C" w:rsidRPr="00D33F7C" w:rsidRDefault="00D33F7C" w:rsidP="00D33F7C">
            <w:pPr>
              <w:rPr>
                <w:rFonts w:ascii="Garamond" w:eastAsia="Times New Roman" w:hAnsi="Garamond"/>
                <w:i/>
                <w:iCs/>
                <w:sz w:val="20"/>
                <w:szCs w:val="20"/>
                <w:lang w:val="en-IN" w:eastAsia="en-IN" w:bidi="hi-IN"/>
              </w:rPr>
            </w:pPr>
            <w:r w:rsidRPr="00D33F7C">
              <w:rPr>
                <w:rFonts w:ascii="Garamond" w:eastAsia="Times New Roman" w:hAnsi="Garamond"/>
                <w:i/>
                <w:iCs/>
                <w:sz w:val="20"/>
                <w:szCs w:val="20"/>
                <w:lang w:val="en-IN" w:eastAsia="en-IN" w:bidi="hi-IN"/>
              </w:rPr>
              <w:t xml:space="preserve">            Put</w:t>
            </w:r>
          </w:p>
        </w:tc>
        <w:tc>
          <w:tcPr>
            <w:tcW w:w="1180" w:type="dxa"/>
            <w:tcBorders>
              <w:top w:val="nil"/>
              <w:left w:val="nil"/>
              <w:bottom w:val="single" w:sz="4" w:space="0" w:color="auto"/>
              <w:right w:val="single" w:sz="4" w:space="0" w:color="auto"/>
            </w:tcBorders>
            <w:shd w:val="clear" w:color="auto" w:fill="auto"/>
            <w:noWrap/>
            <w:vAlign w:val="center"/>
            <w:hideMark/>
          </w:tcPr>
          <w:p w14:paraId="1E7B9BE5"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28,554</w:t>
            </w:r>
          </w:p>
        </w:tc>
        <w:tc>
          <w:tcPr>
            <w:tcW w:w="1255" w:type="dxa"/>
            <w:tcBorders>
              <w:top w:val="nil"/>
              <w:left w:val="nil"/>
              <w:bottom w:val="single" w:sz="4" w:space="0" w:color="auto"/>
              <w:right w:val="single" w:sz="4" w:space="0" w:color="auto"/>
            </w:tcBorders>
            <w:shd w:val="clear" w:color="auto" w:fill="auto"/>
            <w:noWrap/>
            <w:vAlign w:val="center"/>
            <w:hideMark/>
          </w:tcPr>
          <w:p w14:paraId="0718626F"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35,312</w:t>
            </w:r>
          </w:p>
        </w:tc>
        <w:tc>
          <w:tcPr>
            <w:tcW w:w="1245" w:type="dxa"/>
            <w:tcBorders>
              <w:top w:val="nil"/>
              <w:left w:val="nil"/>
              <w:bottom w:val="single" w:sz="4" w:space="0" w:color="auto"/>
              <w:right w:val="single" w:sz="4" w:space="0" w:color="auto"/>
            </w:tcBorders>
            <w:shd w:val="clear" w:color="auto" w:fill="auto"/>
            <w:noWrap/>
            <w:vAlign w:val="center"/>
            <w:hideMark/>
          </w:tcPr>
          <w:p w14:paraId="4D84DF51"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23.7</w:t>
            </w:r>
          </w:p>
        </w:tc>
        <w:tc>
          <w:tcPr>
            <w:tcW w:w="1340" w:type="dxa"/>
            <w:tcBorders>
              <w:top w:val="nil"/>
              <w:left w:val="nil"/>
              <w:bottom w:val="single" w:sz="4" w:space="0" w:color="auto"/>
              <w:right w:val="single" w:sz="4" w:space="0" w:color="auto"/>
            </w:tcBorders>
            <w:shd w:val="clear" w:color="auto" w:fill="auto"/>
            <w:noWrap/>
            <w:vAlign w:val="center"/>
            <w:hideMark/>
          </w:tcPr>
          <w:p w14:paraId="7D77F998"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0</w:t>
            </w:r>
          </w:p>
        </w:tc>
        <w:tc>
          <w:tcPr>
            <w:tcW w:w="1340" w:type="dxa"/>
            <w:tcBorders>
              <w:top w:val="nil"/>
              <w:left w:val="nil"/>
              <w:bottom w:val="single" w:sz="4" w:space="0" w:color="auto"/>
              <w:right w:val="single" w:sz="4" w:space="0" w:color="auto"/>
            </w:tcBorders>
            <w:shd w:val="clear" w:color="auto" w:fill="auto"/>
            <w:noWrap/>
            <w:vAlign w:val="center"/>
            <w:hideMark/>
          </w:tcPr>
          <w:p w14:paraId="7EAF2DE2"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0.0</w:t>
            </w:r>
          </w:p>
        </w:tc>
        <w:tc>
          <w:tcPr>
            <w:tcW w:w="1480" w:type="dxa"/>
            <w:tcBorders>
              <w:top w:val="nil"/>
              <w:left w:val="nil"/>
              <w:bottom w:val="single" w:sz="4" w:space="0" w:color="auto"/>
              <w:right w:val="single" w:sz="4" w:space="0" w:color="auto"/>
            </w:tcBorders>
            <w:shd w:val="clear" w:color="auto" w:fill="auto"/>
            <w:noWrap/>
            <w:vAlign w:val="center"/>
            <w:hideMark/>
          </w:tcPr>
          <w:p w14:paraId="21802613"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NA</w:t>
            </w:r>
          </w:p>
        </w:tc>
      </w:tr>
      <w:tr w:rsidR="00D33F7C" w:rsidRPr="00D33F7C" w14:paraId="372F1C7F" w14:textId="77777777" w:rsidTr="00E213CE">
        <w:trPr>
          <w:trHeight w:val="255"/>
        </w:trPr>
        <w:tc>
          <w:tcPr>
            <w:tcW w:w="1960" w:type="dxa"/>
            <w:tcBorders>
              <w:top w:val="nil"/>
              <w:left w:val="single" w:sz="4" w:space="0" w:color="auto"/>
              <w:bottom w:val="single" w:sz="4" w:space="0" w:color="auto"/>
              <w:right w:val="single" w:sz="4" w:space="0" w:color="auto"/>
            </w:tcBorders>
            <w:shd w:val="clear" w:color="C6D9F0" w:fill="C6D9F0"/>
            <w:noWrap/>
            <w:vAlign w:val="center"/>
            <w:hideMark/>
          </w:tcPr>
          <w:p w14:paraId="02464C23" w14:textId="77777777" w:rsidR="00D33F7C" w:rsidRPr="00D33F7C" w:rsidRDefault="00D33F7C" w:rsidP="00D33F7C">
            <w:pPr>
              <w:rPr>
                <w:rFonts w:ascii="Garamond" w:eastAsia="Times New Roman" w:hAnsi="Garamond"/>
                <w:i/>
                <w:iCs/>
                <w:sz w:val="20"/>
                <w:szCs w:val="20"/>
                <w:lang w:val="en-IN" w:eastAsia="en-IN" w:bidi="hi-IN"/>
              </w:rPr>
            </w:pPr>
            <w:r w:rsidRPr="00D33F7C">
              <w:rPr>
                <w:rFonts w:ascii="Garamond" w:eastAsia="Times New Roman" w:hAnsi="Garamond"/>
                <w:i/>
                <w:iCs/>
                <w:sz w:val="20"/>
                <w:szCs w:val="20"/>
                <w:lang w:val="en-IN" w:eastAsia="en-IN" w:bidi="hi-IN"/>
              </w:rPr>
              <w:t xml:space="preserve">          Call</w:t>
            </w:r>
          </w:p>
        </w:tc>
        <w:tc>
          <w:tcPr>
            <w:tcW w:w="1180" w:type="dxa"/>
            <w:tcBorders>
              <w:top w:val="nil"/>
              <w:left w:val="nil"/>
              <w:bottom w:val="single" w:sz="4" w:space="0" w:color="auto"/>
              <w:right w:val="single" w:sz="4" w:space="0" w:color="auto"/>
            </w:tcBorders>
            <w:shd w:val="clear" w:color="auto" w:fill="auto"/>
            <w:noWrap/>
            <w:vAlign w:val="center"/>
            <w:hideMark/>
          </w:tcPr>
          <w:p w14:paraId="5DE39B60"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52,552</w:t>
            </w:r>
          </w:p>
        </w:tc>
        <w:tc>
          <w:tcPr>
            <w:tcW w:w="1255" w:type="dxa"/>
            <w:tcBorders>
              <w:top w:val="nil"/>
              <w:left w:val="nil"/>
              <w:bottom w:val="single" w:sz="4" w:space="0" w:color="auto"/>
              <w:right w:val="single" w:sz="4" w:space="0" w:color="auto"/>
            </w:tcBorders>
            <w:shd w:val="clear" w:color="auto" w:fill="auto"/>
            <w:noWrap/>
            <w:vAlign w:val="center"/>
            <w:hideMark/>
          </w:tcPr>
          <w:p w14:paraId="7FCCA8B6"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63,047</w:t>
            </w:r>
          </w:p>
        </w:tc>
        <w:tc>
          <w:tcPr>
            <w:tcW w:w="1245" w:type="dxa"/>
            <w:tcBorders>
              <w:top w:val="nil"/>
              <w:left w:val="nil"/>
              <w:bottom w:val="single" w:sz="4" w:space="0" w:color="auto"/>
              <w:right w:val="single" w:sz="4" w:space="0" w:color="auto"/>
            </w:tcBorders>
            <w:shd w:val="clear" w:color="auto" w:fill="auto"/>
            <w:noWrap/>
            <w:vAlign w:val="center"/>
            <w:hideMark/>
          </w:tcPr>
          <w:p w14:paraId="6971421B"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20.0</w:t>
            </w:r>
          </w:p>
        </w:tc>
        <w:tc>
          <w:tcPr>
            <w:tcW w:w="1340" w:type="dxa"/>
            <w:tcBorders>
              <w:top w:val="nil"/>
              <w:left w:val="nil"/>
              <w:bottom w:val="single" w:sz="4" w:space="0" w:color="auto"/>
              <w:right w:val="single" w:sz="4" w:space="0" w:color="auto"/>
            </w:tcBorders>
            <w:shd w:val="clear" w:color="auto" w:fill="auto"/>
            <w:noWrap/>
            <w:vAlign w:val="center"/>
            <w:hideMark/>
          </w:tcPr>
          <w:p w14:paraId="3901E68B"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0</w:t>
            </w:r>
          </w:p>
        </w:tc>
        <w:tc>
          <w:tcPr>
            <w:tcW w:w="1340" w:type="dxa"/>
            <w:tcBorders>
              <w:top w:val="nil"/>
              <w:left w:val="nil"/>
              <w:bottom w:val="single" w:sz="4" w:space="0" w:color="auto"/>
              <w:right w:val="single" w:sz="4" w:space="0" w:color="auto"/>
            </w:tcBorders>
            <w:shd w:val="clear" w:color="auto" w:fill="auto"/>
            <w:noWrap/>
            <w:vAlign w:val="center"/>
            <w:hideMark/>
          </w:tcPr>
          <w:p w14:paraId="18F62915"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0.0</w:t>
            </w:r>
          </w:p>
        </w:tc>
        <w:tc>
          <w:tcPr>
            <w:tcW w:w="1480" w:type="dxa"/>
            <w:tcBorders>
              <w:top w:val="nil"/>
              <w:left w:val="nil"/>
              <w:bottom w:val="single" w:sz="4" w:space="0" w:color="auto"/>
              <w:right w:val="single" w:sz="4" w:space="0" w:color="auto"/>
            </w:tcBorders>
            <w:shd w:val="clear" w:color="auto" w:fill="auto"/>
            <w:noWrap/>
            <w:vAlign w:val="center"/>
            <w:hideMark/>
          </w:tcPr>
          <w:p w14:paraId="3692C227"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NA</w:t>
            </w:r>
          </w:p>
        </w:tc>
      </w:tr>
      <w:tr w:rsidR="00D33F7C" w:rsidRPr="00D33F7C" w14:paraId="35B49B4B" w14:textId="77777777" w:rsidTr="00E213CE">
        <w:trPr>
          <w:trHeight w:val="255"/>
        </w:trPr>
        <w:tc>
          <w:tcPr>
            <w:tcW w:w="1960" w:type="dxa"/>
            <w:tcBorders>
              <w:top w:val="nil"/>
              <w:left w:val="single" w:sz="4" w:space="0" w:color="auto"/>
              <w:bottom w:val="single" w:sz="4" w:space="0" w:color="auto"/>
              <w:right w:val="single" w:sz="4" w:space="0" w:color="auto"/>
            </w:tcBorders>
            <w:shd w:val="clear" w:color="C6D9F0" w:fill="C6D9F0"/>
            <w:noWrap/>
            <w:vAlign w:val="center"/>
            <w:hideMark/>
          </w:tcPr>
          <w:p w14:paraId="2565152C" w14:textId="77777777" w:rsidR="00D33F7C" w:rsidRPr="00D33F7C" w:rsidRDefault="00D33F7C" w:rsidP="00D33F7C">
            <w:pPr>
              <w:rPr>
                <w:rFonts w:ascii="Garamond" w:eastAsia="Times New Roman" w:hAnsi="Garamond"/>
                <w:b/>
                <w:bCs/>
                <w:sz w:val="20"/>
                <w:szCs w:val="20"/>
                <w:lang w:val="en-IN" w:eastAsia="en-IN" w:bidi="hi-IN"/>
              </w:rPr>
            </w:pPr>
            <w:r w:rsidRPr="00D33F7C">
              <w:rPr>
                <w:rFonts w:ascii="Garamond" w:eastAsia="Times New Roman" w:hAnsi="Garamond"/>
                <w:b/>
                <w:bCs/>
                <w:sz w:val="20"/>
                <w:szCs w:val="20"/>
                <w:lang w:val="en-IN" w:eastAsia="en-IN" w:bidi="hi-IN"/>
              </w:rPr>
              <w:t xml:space="preserve">         Total</w:t>
            </w:r>
          </w:p>
        </w:tc>
        <w:tc>
          <w:tcPr>
            <w:tcW w:w="1180" w:type="dxa"/>
            <w:tcBorders>
              <w:top w:val="nil"/>
              <w:left w:val="nil"/>
              <w:bottom w:val="single" w:sz="4" w:space="0" w:color="auto"/>
              <w:right w:val="single" w:sz="4" w:space="0" w:color="auto"/>
            </w:tcBorders>
            <w:shd w:val="clear" w:color="C6D9F0" w:fill="C6D9F0"/>
            <w:noWrap/>
            <w:vAlign w:val="center"/>
            <w:hideMark/>
          </w:tcPr>
          <w:p w14:paraId="31E9F514" w14:textId="77777777" w:rsidR="00D33F7C" w:rsidRPr="00D33F7C" w:rsidRDefault="00D33F7C" w:rsidP="00D33F7C">
            <w:pPr>
              <w:jc w:val="right"/>
              <w:rPr>
                <w:rFonts w:ascii="Garamond" w:eastAsia="Times New Roman" w:hAnsi="Garamond"/>
                <w:b/>
                <w:bCs/>
                <w:sz w:val="20"/>
                <w:szCs w:val="20"/>
                <w:lang w:val="en-IN" w:eastAsia="en-IN" w:bidi="hi-IN"/>
              </w:rPr>
            </w:pPr>
            <w:r w:rsidRPr="00D33F7C">
              <w:rPr>
                <w:rFonts w:ascii="Garamond" w:eastAsia="Times New Roman" w:hAnsi="Garamond"/>
                <w:b/>
                <w:bCs/>
                <w:sz w:val="20"/>
                <w:szCs w:val="20"/>
                <w:lang w:val="en-IN" w:eastAsia="en-IN" w:bidi="hi-IN"/>
              </w:rPr>
              <w:t>6,10,233</w:t>
            </w:r>
          </w:p>
        </w:tc>
        <w:tc>
          <w:tcPr>
            <w:tcW w:w="1255" w:type="dxa"/>
            <w:tcBorders>
              <w:top w:val="nil"/>
              <w:left w:val="nil"/>
              <w:bottom w:val="single" w:sz="4" w:space="0" w:color="auto"/>
              <w:right w:val="single" w:sz="4" w:space="0" w:color="auto"/>
            </w:tcBorders>
            <w:shd w:val="clear" w:color="C6D9F0" w:fill="C6D9F0"/>
            <w:noWrap/>
            <w:vAlign w:val="center"/>
            <w:hideMark/>
          </w:tcPr>
          <w:p w14:paraId="776BCDAA" w14:textId="77777777" w:rsidR="00D33F7C" w:rsidRPr="00D33F7C" w:rsidRDefault="00D33F7C" w:rsidP="00D33F7C">
            <w:pPr>
              <w:jc w:val="right"/>
              <w:rPr>
                <w:rFonts w:ascii="Garamond" w:eastAsia="Times New Roman" w:hAnsi="Garamond"/>
                <w:b/>
                <w:bCs/>
                <w:sz w:val="20"/>
                <w:szCs w:val="20"/>
                <w:lang w:val="en-IN" w:eastAsia="en-IN" w:bidi="hi-IN"/>
              </w:rPr>
            </w:pPr>
            <w:r w:rsidRPr="00D33F7C">
              <w:rPr>
                <w:rFonts w:ascii="Garamond" w:eastAsia="Times New Roman" w:hAnsi="Garamond"/>
                <w:b/>
                <w:bCs/>
                <w:sz w:val="20"/>
                <w:szCs w:val="20"/>
                <w:lang w:val="en-IN" w:eastAsia="en-IN" w:bidi="hi-IN"/>
              </w:rPr>
              <w:t>7,02,714</w:t>
            </w:r>
          </w:p>
        </w:tc>
        <w:tc>
          <w:tcPr>
            <w:tcW w:w="1245" w:type="dxa"/>
            <w:tcBorders>
              <w:top w:val="nil"/>
              <w:left w:val="nil"/>
              <w:bottom w:val="single" w:sz="4" w:space="0" w:color="auto"/>
              <w:right w:val="single" w:sz="4" w:space="0" w:color="auto"/>
            </w:tcBorders>
            <w:shd w:val="clear" w:color="C6D9F0" w:fill="C6D9F0"/>
            <w:noWrap/>
            <w:vAlign w:val="center"/>
            <w:hideMark/>
          </w:tcPr>
          <w:p w14:paraId="7DBDE4F2" w14:textId="77777777" w:rsidR="00D33F7C" w:rsidRPr="00D33F7C" w:rsidRDefault="00D33F7C" w:rsidP="00D33F7C">
            <w:pPr>
              <w:jc w:val="right"/>
              <w:rPr>
                <w:rFonts w:ascii="Garamond" w:eastAsia="Times New Roman" w:hAnsi="Garamond"/>
                <w:b/>
                <w:bCs/>
                <w:sz w:val="20"/>
                <w:szCs w:val="20"/>
                <w:lang w:val="en-IN" w:eastAsia="en-IN" w:bidi="hi-IN"/>
              </w:rPr>
            </w:pPr>
            <w:r w:rsidRPr="00D33F7C">
              <w:rPr>
                <w:rFonts w:ascii="Garamond" w:eastAsia="Times New Roman" w:hAnsi="Garamond"/>
                <w:b/>
                <w:bCs/>
                <w:sz w:val="20"/>
                <w:szCs w:val="20"/>
                <w:lang w:val="en-IN" w:eastAsia="en-IN" w:bidi="hi-IN"/>
              </w:rPr>
              <w:t>15.2</w:t>
            </w:r>
          </w:p>
        </w:tc>
        <w:tc>
          <w:tcPr>
            <w:tcW w:w="1340" w:type="dxa"/>
            <w:tcBorders>
              <w:top w:val="nil"/>
              <w:left w:val="nil"/>
              <w:bottom w:val="single" w:sz="4" w:space="0" w:color="auto"/>
              <w:right w:val="single" w:sz="4" w:space="0" w:color="auto"/>
            </w:tcBorders>
            <w:shd w:val="clear" w:color="C6D9F0" w:fill="C6D9F0"/>
            <w:noWrap/>
            <w:vAlign w:val="center"/>
            <w:hideMark/>
          </w:tcPr>
          <w:p w14:paraId="79051138" w14:textId="77777777" w:rsidR="00D33F7C" w:rsidRPr="00D33F7C" w:rsidRDefault="00D33F7C" w:rsidP="00D33F7C">
            <w:pPr>
              <w:jc w:val="right"/>
              <w:rPr>
                <w:rFonts w:ascii="Garamond" w:eastAsia="Times New Roman" w:hAnsi="Garamond"/>
                <w:b/>
                <w:bCs/>
                <w:sz w:val="20"/>
                <w:szCs w:val="20"/>
                <w:lang w:val="en-IN" w:eastAsia="en-IN" w:bidi="hi-IN"/>
              </w:rPr>
            </w:pPr>
            <w:r w:rsidRPr="00D33F7C">
              <w:rPr>
                <w:rFonts w:ascii="Garamond" w:eastAsia="Times New Roman" w:hAnsi="Garamond"/>
                <w:b/>
                <w:bCs/>
                <w:sz w:val="20"/>
                <w:szCs w:val="20"/>
                <w:lang w:val="en-IN" w:eastAsia="en-IN" w:bidi="hi-IN"/>
              </w:rPr>
              <w:t>65.2</w:t>
            </w:r>
          </w:p>
        </w:tc>
        <w:tc>
          <w:tcPr>
            <w:tcW w:w="1340" w:type="dxa"/>
            <w:tcBorders>
              <w:top w:val="nil"/>
              <w:left w:val="nil"/>
              <w:bottom w:val="single" w:sz="4" w:space="0" w:color="auto"/>
              <w:right w:val="single" w:sz="4" w:space="0" w:color="auto"/>
            </w:tcBorders>
            <w:shd w:val="clear" w:color="C6D9F0" w:fill="C6D9F0"/>
            <w:noWrap/>
            <w:vAlign w:val="center"/>
            <w:hideMark/>
          </w:tcPr>
          <w:p w14:paraId="5272948B" w14:textId="77777777" w:rsidR="00D33F7C" w:rsidRPr="00D33F7C" w:rsidRDefault="00D33F7C" w:rsidP="00D33F7C">
            <w:pPr>
              <w:jc w:val="right"/>
              <w:rPr>
                <w:rFonts w:ascii="Garamond" w:eastAsia="Times New Roman" w:hAnsi="Garamond"/>
                <w:b/>
                <w:bCs/>
                <w:sz w:val="20"/>
                <w:szCs w:val="20"/>
                <w:lang w:val="en-IN" w:eastAsia="en-IN" w:bidi="hi-IN"/>
              </w:rPr>
            </w:pPr>
            <w:r w:rsidRPr="00D33F7C">
              <w:rPr>
                <w:rFonts w:ascii="Garamond" w:eastAsia="Times New Roman" w:hAnsi="Garamond"/>
                <w:b/>
                <w:bCs/>
                <w:sz w:val="20"/>
                <w:szCs w:val="20"/>
                <w:lang w:val="en-IN" w:eastAsia="en-IN" w:bidi="hi-IN"/>
              </w:rPr>
              <w:t>110.4</w:t>
            </w:r>
          </w:p>
        </w:tc>
        <w:tc>
          <w:tcPr>
            <w:tcW w:w="1480" w:type="dxa"/>
            <w:tcBorders>
              <w:top w:val="nil"/>
              <w:left w:val="nil"/>
              <w:bottom w:val="single" w:sz="4" w:space="0" w:color="auto"/>
              <w:right w:val="single" w:sz="4" w:space="0" w:color="auto"/>
            </w:tcBorders>
            <w:shd w:val="clear" w:color="C6D9F0" w:fill="C6D9F0"/>
            <w:noWrap/>
            <w:vAlign w:val="center"/>
            <w:hideMark/>
          </w:tcPr>
          <w:p w14:paraId="10B97470" w14:textId="77777777" w:rsidR="00D33F7C" w:rsidRPr="00D33F7C" w:rsidRDefault="00D33F7C" w:rsidP="00D33F7C">
            <w:pPr>
              <w:jc w:val="right"/>
              <w:rPr>
                <w:rFonts w:ascii="Garamond" w:eastAsia="Times New Roman" w:hAnsi="Garamond"/>
                <w:b/>
                <w:bCs/>
                <w:sz w:val="20"/>
                <w:szCs w:val="20"/>
                <w:lang w:val="en-IN" w:eastAsia="en-IN" w:bidi="hi-IN"/>
              </w:rPr>
            </w:pPr>
            <w:r w:rsidRPr="00D33F7C">
              <w:rPr>
                <w:rFonts w:ascii="Garamond" w:eastAsia="Times New Roman" w:hAnsi="Garamond"/>
                <w:b/>
                <w:bCs/>
                <w:sz w:val="20"/>
                <w:szCs w:val="20"/>
                <w:lang w:val="en-IN" w:eastAsia="en-IN" w:bidi="hi-IN"/>
              </w:rPr>
              <w:t>69.1</w:t>
            </w:r>
          </w:p>
        </w:tc>
      </w:tr>
      <w:tr w:rsidR="00D33F7C" w:rsidRPr="00D33F7C" w14:paraId="2C5A6CF5" w14:textId="77777777" w:rsidTr="00E213CE">
        <w:trPr>
          <w:trHeight w:val="255"/>
        </w:trPr>
        <w:tc>
          <w:tcPr>
            <w:tcW w:w="9800" w:type="dxa"/>
            <w:gridSpan w:val="7"/>
            <w:tcBorders>
              <w:top w:val="single" w:sz="4" w:space="0" w:color="auto"/>
              <w:left w:val="single" w:sz="4" w:space="0" w:color="auto"/>
              <w:bottom w:val="single" w:sz="4" w:space="0" w:color="auto"/>
              <w:right w:val="single" w:sz="4" w:space="0" w:color="auto"/>
            </w:tcBorders>
            <w:shd w:val="clear" w:color="FFFFCC" w:fill="FFFFCC"/>
            <w:vAlign w:val="center"/>
            <w:hideMark/>
          </w:tcPr>
          <w:p w14:paraId="6CB66555" w14:textId="77777777" w:rsidR="00D33F7C" w:rsidRPr="00D33F7C" w:rsidRDefault="00D33F7C" w:rsidP="00D33F7C">
            <w:pPr>
              <w:rPr>
                <w:rFonts w:ascii="Garamond" w:eastAsia="Times New Roman" w:hAnsi="Garamond"/>
                <w:b/>
                <w:bCs/>
                <w:sz w:val="20"/>
                <w:szCs w:val="20"/>
                <w:lang w:val="en-IN" w:eastAsia="en-IN" w:bidi="hi-IN"/>
              </w:rPr>
            </w:pPr>
            <w:r w:rsidRPr="00D33F7C">
              <w:rPr>
                <w:rFonts w:ascii="Garamond" w:eastAsia="Times New Roman" w:hAnsi="Garamond"/>
                <w:b/>
                <w:bCs/>
                <w:sz w:val="20"/>
                <w:szCs w:val="20"/>
                <w:lang w:val="en-IN" w:eastAsia="en-IN" w:bidi="hi-IN"/>
              </w:rPr>
              <w:t>D.  Open Interest in Terms of No</w:t>
            </w:r>
            <w:r w:rsidR="00AC244F">
              <w:rPr>
                <w:rFonts w:ascii="Garamond" w:eastAsia="Times New Roman" w:hAnsi="Garamond"/>
                <w:b/>
                <w:bCs/>
                <w:sz w:val="20"/>
                <w:szCs w:val="20"/>
                <w:lang w:val="en-IN" w:eastAsia="en-IN" w:bidi="hi-IN"/>
              </w:rPr>
              <w:t>.</w:t>
            </w:r>
            <w:r w:rsidRPr="00D33F7C">
              <w:rPr>
                <w:rFonts w:ascii="Garamond" w:eastAsia="Times New Roman" w:hAnsi="Garamond"/>
                <w:b/>
                <w:bCs/>
                <w:sz w:val="20"/>
                <w:szCs w:val="20"/>
                <w:lang w:val="en-IN" w:eastAsia="en-IN" w:bidi="hi-IN"/>
              </w:rPr>
              <w:t xml:space="preserve"> of Contracts</w:t>
            </w:r>
          </w:p>
        </w:tc>
      </w:tr>
      <w:tr w:rsidR="00D33F7C" w:rsidRPr="00D33F7C" w14:paraId="7B432FAF" w14:textId="77777777" w:rsidTr="00E213CE">
        <w:trPr>
          <w:trHeight w:val="255"/>
        </w:trPr>
        <w:tc>
          <w:tcPr>
            <w:tcW w:w="1960" w:type="dxa"/>
            <w:tcBorders>
              <w:top w:val="nil"/>
              <w:left w:val="single" w:sz="4" w:space="0" w:color="auto"/>
              <w:bottom w:val="single" w:sz="4" w:space="0" w:color="auto"/>
              <w:right w:val="single" w:sz="4" w:space="0" w:color="auto"/>
            </w:tcBorders>
            <w:shd w:val="clear" w:color="C6D9F0" w:fill="C6D9F0"/>
            <w:noWrap/>
            <w:vAlign w:val="center"/>
            <w:hideMark/>
          </w:tcPr>
          <w:p w14:paraId="2412CF3E" w14:textId="77777777" w:rsidR="00D33F7C" w:rsidRPr="00D33F7C" w:rsidRDefault="00D33F7C" w:rsidP="00D33F7C">
            <w:pPr>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 xml:space="preserve">   (i) Index  Futures</w:t>
            </w:r>
          </w:p>
        </w:tc>
        <w:tc>
          <w:tcPr>
            <w:tcW w:w="1180" w:type="dxa"/>
            <w:tcBorders>
              <w:top w:val="nil"/>
              <w:left w:val="nil"/>
              <w:bottom w:val="single" w:sz="4" w:space="0" w:color="auto"/>
              <w:right w:val="single" w:sz="4" w:space="0" w:color="auto"/>
            </w:tcBorders>
            <w:shd w:val="clear" w:color="auto" w:fill="auto"/>
            <w:noWrap/>
            <w:vAlign w:val="center"/>
            <w:hideMark/>
          </w:tcPr>
          <w:p w14:paraId="00A54802"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2,29,373</w:t>
            </w:r>
          </w:p>
        </w:tc>
        <w:tc>
          <w:tcPr>
            <w:tcW w:w="1255" w:type="dxa"/>
            <w:tcBorders>
              <w:top w:val="nil"/>
              <w:left w:val="nil"/>
              <w:bottom w:val="single" w:sz="4" w:space="0" w:color="auto"/>
              <w:right w:val="single" w:sz="4" w:space="0" w:color="auto"/>
            </w:tcBorders>
            <w:shd w:val="clear" w:color="auto" w:fill="auto"/>
            <w:noWrap/>
            <w:vAlign w:val="center"/>
            <w:hideMark/>
          </w:tcPr>
          <w:p w14:paraId="5FC816F8"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2,95,125</w:t>
            </w:r>
          </w:p>
        </w:tc>
        <w:tc>
          <w:tcPr>
            <w:tcW w:w="1245" w:type="dxa"/>
            <w:tcBorders>
              <w:top w:val="nil"/>
              <w:left w:val="nil"/>
              <w:bottom w:val="single" w:sz="4" w:space="0" w:color="auto"/>
              <w:right w:val="single" w:sz="4" w:space="0" w:color="auto"/>
            </w:tcBorders>
            <w:shd w:val="clear" w:color="auto" w:fill="auto"/>
            <w:noWrap/>
            <w:vAlign w:val="center"/>
            <w:hideMark/>
          </w:tcPr>
          <w:p w14:paraId="1A260250"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28.7</w:t>
            </w:r>
          </w:p>
        </w:tc>
        <w:tc>
          <w:tcPr>
            <w:tcW w:w="1340" w:type="dxa"/>
            <w:tcBorders>
              <w:top w:val="nil"/>
              <w:left w:val="nil"/>
              <w:bottom w:val="single" w:sz="4" w:space="0" w:color="auto"/>
              <w:right w:val="single" w:sz="4" w:space="0" w:color="auto"/>
            </w:tcBorders>
            <w:shd w:val="clear" w:color="auto" w:fill="auto"/>
            <w:noWrap/>
            <w:vAlign w:val="center"/>
            <w:hideMark/>
          </w:tcPr>
          <w:p w14:paraId="3F336A50"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86</w:t>
            </w:r>
          </w:p>
        </w:tc>
        <w:tc>
          <w:tcPr>
            <w:tcW w:w="1340" w:type="dxa"/>
            <w:tcBorders>
              <w:top w:val="nil"/>
              <w:left w:val="nil"/>
              <w:bottom w:val="single" w:sz="4" w:space="0" w:color="auto"/>
              <w:right w:val="single" w:sz="4" w:space="0" w:color="auto"/>
            </w:tcBorders>
            <w:shd w:val="clear" w:color="auto" w:fill="auto"/>
            <w:noWrap/>
            <w:vAlign w:val="center"/>
            <w:hideMark/>
          </w:tcPr>
          <w:p w14:paraId="32826232"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66</w:t>
            </w:r>
          </w:p>
        </w:tc>
        <w:tc>
          <w:tcPr>
            <w:tcW w:w="1480" w:type="dxa"/>
            <w:tcBorders>
              <w:top w:val="nil"/>
              <w:left w:val="nil"/>
              <w:bottom w:val="single" w:sz="4" w:space="0" w:color="auto"/>
              <w:right w:val="single" w:sz="4" w:space="0" w:color="auto"/>
            </w:tcBorders>
            <w:shd w:val="clear" w:color="auto" w:fill="auto"/>
            <w:noWrap/>
            <w:vAlign w:val="center"/>
            <w:hideMark/>
          </w:tcPr>
          <w:p w14:paraId="4EFDD78E"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-23.3</w:t>
            </w:r>
          </w:p>
        </w:tc>
      </w:tr>
      <w:tr w:rsidR="00D33F7C" w:rsidRPr="00D33F7C" w14:paraId="38D0738C" w14:textId="77777777" w:rsidTr="00E213CE">
        <w:trPr>
          <w:trHeight w:val="255"/>
        </w:trPr>
        <w:tc>
          <w:tcPr>
            <w:tcW w:w="1960" w:type="dxa"/>
            <w:tcBorders>
              <w:top w:val="nil"/>
              <w:left w:val="single" w:sz="4" w:space="0" w:color="auto"/>
              <w:bottom w:val="single" w:sz="4" w:space="0" w:color="auto"/>
              <w:right w:val="single" w:sz="4" w:space="0" w:color="auto"/>
            </w:tcBorders>
            <w:shd w:val="clear" w:color="C6D9F0" w:fill="C6D9F0"/>
            <w:noWrap/>
            <w:vAlign w:val="center"/>
            <w:hideMark/>
          </w:tcPr>
          <w:p w14:paraId="5B894941" w14:textId="77777777" w:rsidR="00D33F7C" w:rsidRPr="00D33F7C" w:rsidRDefault="00D33F7C" w:rsidP="00D33F7C">
            <w:pPr>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 xml:space="preserve">   (ii) Options on Index</w:t>
            </w:r>
          </w:p>
        </w:tc>
        <w:tc>
          <w:tcPr>
            <w:tcW w:w="1180" w:type="dxa"/>
            <w:tcBorders>
              <w:top w:val="nil"/>
              <w:left w:val="nil"/>
              <w:bottom w:val="single" w:sz="4" w:space="0" w:color="auto"/>
              <w:right w:val="single" w:sz="4" w:space="0" w:color="auto"/>
            </w:tcBorders>
            <w:shd w:val="clear" w:color="auto" w:fill="auto"/>
            <w:noWrap/>
            <w:vAlign w:val="center"/>
            <w:hideMark/>
          </w:tcPr>
          <w:p w14:paraId="3CCC260B"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 </w:t>
            </w:r>
          </w:p>
        </w:tc>
        <w:tc>
          <w:tcPr>
            <w:tcW w:w="1255" w:type="dxa"/>
            <w:tcBorders>
              <w:top w:val="nil"/>
              <w:left w:val="nil"/>
              <w:bottom w:val="single" w:sz="4" w:space="0" w:color="auto"/>
              <w:right w:val="single" w:sz="4" w:space="0" w:color="auto"/>
            </w:tcBorders>
            <w:shd w:val="clear" w:color="auto" w:fill="auto"/>
            <w:noWrap/>
            <w:vAlign w:val="center"/>
            <w:hideMark/>
          </w:tcPr>
          <w:p w14:paraId="7EDC4F41"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 </w:t>
            </w:r>
          </w:p>
        </w:tc>
        <w:tc>
          <w:tcPr>
            <w:tcW w:w="1245" w:type="dxa"/>
            <w:tcBorders>
              <w:top w:val="nil"/>
              <w:left w:val="nil"/>
              <w:bottom w:val="single" w:sz="4" w:space="0" w:color="auto"/>
              <w:right w:val="single" w:sz="4" w:space="0" w:color="auto"/>
            </w:tcBorders>
            <w:shd w:val="clear" w:color="auto" w:fill="auto"/>
            <w:noWrap/>
            <w:vAlign w:val="center"/>
            <w:hideMark/>
          </w:tcPr>
          <w:p w14:paraId="64D979F4"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 </w:t>
            </w:r>
          </w:p>
        </w:tc>
        <w:tc>
          <w:tcPr>
            <w:tcW w:w="1340" w:type="dxa"/>
            <w:tcBorders>
              <w:top w:val="nil"/>
              <w:left w:val="nil"/>
              <w:bottom w:val="single" w:sz="4" w:space="0" w:color="auto"/>
              <w:right w:val="single" w:sz="4" w:space="0" w:color="auto"/>
            </w:tcBorders>
            <w:shd w:val="clear" w:color="auto" w:fill="auto"/>
            <w:noWrap/>
            <w:vAlign w:val="center"/>
            <w:hideMark/>
          </w:tcPr>
          <w:p w14:paraId="062883E6"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 </w:t>
            </w:r>
          </w:p>
        </w:tc>
        <w:tc>
          <w:tcPr>
            <w:tcW w:w="1340" w:type="dxa"/>
            <w:tcBorders>
              <w:top w:val="nil"/>
              <w:left w:val="nil"/>
              <w:bottom w:val="single" w:sz="4" w:space="0" w:color="auto"/>
              <w:right w:val="single" w:sz="4" w:space="0" w:color="auto"/>
            </w:tcBorders>
            <w:shd w:val="clear" w:color="auto" w:fill="auto"/>
            <w:noWrap/>
            <w:vAlign w:val="center"/>
            <w:hideMark/>
          </w:tcPr>
          <w:p w14:paraId="5B58C480"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 </w:t>
            </w:r>
          </w:p>
        </w:tc>
        <w:tc>
          <w:tcPr>
            <w:tcW w:w="1480" w:type="dxa"/>
            <w:tcBorders>
              <w:top w:val="nil"/>
              <w:left w:val="nil"/>
              <w:bottom w:val="single" w:sz="4" w:space="0" w:color="auto"/>
              <w:right w:val="single" w:sz="4" w:space="0" w:color="auto"/>
            </w:tcBorders>
            <w:shd w:val="clear" w:color="auto" w:fill="auto"/>
            <w:noWrap/>
            <w:vAlign w:val="center"/>
            <w:hideMark/>
          </w:tcPr>
          <w:p w14:paraId="77775A4F"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 </w:t>
            </w:r>
          </w:p>
        </w:tc>
      </w:tr>
      <w:tr w:rsidR="00D33F7C" w:rsidRPr="00D33F7C" w14:paraId="24B64B2B" w14:textId="77777777" w:rsidTr="00E213CE">
        <w:trPr>
          <w:trHeight w:val="255"/>
        </w:trPr>
        <w:tc>
          <w:tcPr>
            <w:tcW w:w="1960" w:type="dxa"/>
            <w:tcBorders>
              <w:top w:val="nil"/>
              <w:left w:val="single" w:sz="4" w:space="0" w:color="auto"/>
              <w:bottom w:val="single" w:sz="4" w:space="0" w:color="auto"/>
              <w:right w:val="single" w:sz="4" w:space="0" w:color="auto"/>
            </w:tcBorders>
            <w:shd w:val="clear" w:color="C6D9F0" w:fill="C6D9F0"/>
            <w:noWrap/>
            <w:vAlign w:val="center"/>
            <w:hideMark/>
          </w:tcPr>
          <w:p w14:paraId="2FED9C99" w14:textId="77777777" w:rsidR="00D33F7C" w:rsidRPr="00D33F7C" w:rsidRDefault="00D33F7C" w:rsidP="00D33F7C">
            <w:pPr>
              <w:rPr>
                <w:rFonts w:ascii="Garamond" w:eastAsia="Times New Roman" w:hAnsi="Garamond"/>
                <w:i/>
                <w:iCs/>
                <w:sz w:val="20"/>
                <w:szCs w:val="20"/>
                <w:lang w:val="en-IN" w:eastAsia="en-IN" w:bidi="hi-IN"/>
              </w:rPr>
            </w:pPr>
            <w:r w:rsidRPr="00D33F7C">
              <w:rPr>
                <w:rFonts w:ascii="Garamond" w:eastAsia="Times New Roman" w:hAnsi="Garamond"/>
                <w:i/>
                <w:iCs/>
                <w:sz w:val="20"/>
                <w:szCs w:val="20"/>
                <w:lang w:val="en-IN" w:eastAsia="en-IN" w:bidi="hi-IN"/>
              </w:rPr>
              <w:t xml:space="preserve">            Put</w:t>
            </w:r>
          </w:p>
        </w:tc>
        <w:tc>
          <w:tcPr>
            <w:tcW w:w="1180" w:type="dxa"/>
            <w:tcBorders>
              <w:top w:val="nil"/>
              <w:left w:val="nil"/>
              <w:bottom w:val="single" w:sz="4" w:space="0" w:color="auto"/>
              <w:right w:val="single" w:sz="4" w:space="0" w:color="auto"/>
            </w:tcBorders>
            <w:shd w:val="clear" w:color="auto" w:fill="auto"/>
            <w:noWrap/>
            <w:vAlign w:val="center"/>
            <w:hideMark/>
          </w:tcPr>
          <w:p w14:paraId="499D7226"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18,37,320</w:t>
            </w:r>
          </w:p>
        </w:tc>
        <w:tc>
          <w:tcPr>
            <w:tcW w:w="1255" w:type="dxa"/>
            <w:tcBorders>
              <w:top w:val="nil"/>
              <w:left w:val="nil"/>
              <w:bottom w:val="single" w:sz="4" w:space="0" w:color="auto"/>
              <w:right w:val="single" w:sz="4" w:space="0" w:color="auto"/>
            </w:tcBorders>
            <w:shd w:val="clear" w:color="auto" w:fill="auto"/>
            <w:noWrap/>
            <w:vAlign w:val="center"/>
            <w:hideMark/>
          </w:tcPr>
          <w:p w14:paraId="3830EA1B"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19,69,939</w:t>
            </w:r>
          </w:p>
        </w:tc>
        <w:tc>
          <w:tcPr>
            <w:tcW w:w="1245" w:type="dxa"/>
            <w:tcBorders>
              <w:top w:val="nil"/>
              <w:left w:val="nil"/>
              <w:bottom w:val="single" w:sz="4" w:space="0" w:color="auto"/>
              <w:right w:val="single" w:sz="4" w:space="0" w:color="auto"/>
            </w:tcBorders>
            <w:shd w:val="clear" w:color="auto" w:fill="auto"/>
            <w:noWrap/>
            <w:vAlign w:val="center"/>
            <w:hideMark/>
          </w:tcPr>
          <w:p w14:paraId="4791E087"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7.2</w:t>
            </w:r>
          </w:p>
        </w:tc>
        <w:tc>
          <w:tcPr>
            <w:tcW w:w="1340" w:type="dxa"/>
            <w:tcBorders>
              <w:top w:val="nil"/>
              <w:left w:val="nil"/>
              <w:bottom w:val="single" w:sz="4" w:space="0" w:color="auto"/>
              <w:right w:val="single" w:sz="4" w:space="0" w:color="auto"/>
            </w:tcBorders>
            <w:shd w:val="clear" w:color="auto" w:fill="auto"/>
            <w:noWrap/>
            <w:vAlign w:val="center"/>
            <w:hideMark/>
          </w:tcPr>
          <w:p w14:paraId="425F8943"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254</w:t>
            </w:r>
          </w:p>
        </w:tc>
        <w:tc>
          <w:tcPr>
            <w:tcW w:w="1340" w:type="dxa"/>
            <w:tcBorders>
              <w:top w:val="nil"/>
              <w:left w:val="nil"/>
              <w:bottom w:val="single" w:sz="4" w:space="0" w:color="auto"/>
              <w:right w:val="single" w:sz="4" w:space="0" w:color="auto"/>
            </w:tcBorders>
            <w:shd w:val="clear" w:color="auto" w:fill="auto"/>
            <w:noWrap/>
            <w:vAlign w:val="center"/>
            <w:hideMark/>
          </w:tcPr>
          <w:p w14:paraId="6621B098"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604</w:t>
            </w:r>
          </w:p>
        </w:tc>
        <w:tc>
          <w:tcPr>
            <w:tcW w:w="1480" w:type="dxa"/>
            <w:tcBorders>
              <w:top w:val="nil"/>
              <w:left w:val="nil"/>
              <w:bottom w:val="single" w:sz="4" w:space="0" w:color="auto"/>
              <w:right w:val="single" w:sz="4" w:space="0" w:color="auto"/>
            </w:tcBorders>
            <w:shd w:val="clear" w:color="auto" w:fill="auto"/>
            <w:noWrap/>
            <w:vAlign w:val="center"/>
            <w:hideMark/>
          </w:tcPr>
          <w:p w14:paraId="3580AE95"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137.8</w:t>
            </w:r>
          </w:p>
        </w:tc>
      </w:tr>
      <w:tr w:rsidR="00D33F7C" w:rsidRPr="00D33F7C" w14:paraId="69FEBF59" w14:textId="77777777" w:rsidTr="00E213CE">
        <w:trPr>
          <w:trHeight w:val="255"/>
        </w:trPr>
        <w:tc>
          <w:tcPr>
            <w:tcW w:w="1960" w:type="dxa"/>
            <w:tcBorders>
              <w:top w:val="nil"/>
              <w:left w:val="single" w:sz="4" w:space="0" w:color="auto"/>
              <w:bottom w:val="single" w:sz="4" w:space="0" w:color="auto"/>
              <w:right w:val="single" w:sz="4" w:space="0" w:color="auto"/>
            </w:tcBorders>
            <w:shd w:val="clear" w:color="C6D9F0" w:fill="C6D9F0"/>
            <w:noWrap/>
            <w:vAlign w:val="center"/>
            <w:hideMark/>
          </w:tcPr>
          <w:p w14:paraId="006E7D94" w14:textId="77777777" w:rsidR="00D33F7C" w:rsidRPr="00D33F7C" w:rsidRDefault="00D33F7C" w:rsidP="00D33F7C">
            <w:pPr>
              <w:rPr>
                <w:rFonts w:ascii="Garamond" w:eastAsia="Times New Roman" w:hAnsi="Garamond"/>
                <w:i/>
                <w:iCs/>
                <w:sz w:val="20"/>
                <w:szCs w:val="20"/>
                <w:lang w:val="en-IN" w:eastAsia="en-IN" w:bidi="hi-IN"/>
              </w:rPr>
            </w:pPr>
            <w:r w:rsidRPr="00D33F7C">
              <w:rPr>
                <w:rFonts w:ascii="Garamond" w:eastAsia="Times New Roman" w:hAnsi="Garamond"/>
                <w:i/>
                <w:iCs/>
                <w:sz w:val="20"/>
                <w:szCs w:val="20"/>
                <w:lang w:val="en-IN" w:eastAsia="en-IN" w:bidi="hi-IN"/>
              </w:rPr>
              <w:t xml:space="preserve">           Call</w:t>
            </w:r>
          </w:p>
        </w:tc>
        <w:tc>
          <w:tcPr>
            <w:tcW w:w="1180" w:type="dxa"/>
            <w:tcBorders>
              <w:top w:val="nil"/>
              <w:left w:val="nil"/>
              <w:bottom w:val="single" w:sz="4" w:space="0" w:color="auto"/>
              <w:right w:val="single" w:sz="4" w:space="0" w:color="auto"/>
            </w:tcBorders>
            <w:shd w:val="clear" w:color="auto" w:fill="auto"/>
            <w:noWrap/>
            <w:vAlign w:val="center"/>
            <w:hideMark/>
          </w:tcPr>
          <w:p w14:paraId="29D438C9"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14,65,196</w:t>
            </w:r>
          </w:p>
        </w:tc>
        <w:tc>
          <w:tcPr>
            <w:tcW w:w="1255" w:type="dxa"/>
            <w:tcBorders>
              <w:top w:val="nil"/>
              <w:left w:val="nil"/>
              <w:bottom w:val="single" w:sz="4" w:space="0" w:color="auto"/>
              <w:right w:val="single" w:sz="4" w:space="0" w:color="auto"/>
            </w:tcBorders>
            <w:shd w:val="clear" w:color="auto" w:fill="auto"/>
            <w:noWrap/>
            <w:vAlign w:val="center"/>
            <w:hideMark/>
          </w:tcPr>
          <w:p w14:paraId="4D933C54"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24,43,295</w:t>
            </w:r>
          </w:p>
        </w:tc>
        <w:tc>
          <w:tcPr>
            <w:tcW w:w="1245" w:type="dxa"/>
            <w:tcBorders>
              <w:top w:val="nil"/>
              <w:left w:val="nil"/>
              <w:bottom w:val="single" w:sz="4" w:space="0" w:color="auto"/>
              <w:right w:val="single" w:sz="4" w:space="0" w:color="auto"/>
            </w:tcBorders>
            <w:shd w:val="clear" w:color="auto" w:fill="auto"/>
            <w:noWrap/>
            <w:vAlign w:val="center"/>
            <w:hideMark/>
          </w:tcPr>
          <w:p w14:paraId="247E4888"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66.8</w:t>
            </w:r>
          </w:p>
        </w:tc>
        <w:tc>
          <w:tcPr>
            <w:tcW w:w="1340" w:type="dxa"/>
            <w:tcBorders>
              <w:top w:val="nil"/>
              <w:left w:val="nil"/>
              <w:bottom w:val="single" w:sz="4" w:space="0" w:color="auto"/>
              <w:right w:val="single" w:sz="4" w:space="0" w:color="auto"/>
            </w:tcBorders>
            <w:shd w:val="clear" w:color="auto" w:fill="auto"/>
            <w:noWrap/>
            <w:vAlign w:val="center"/>
            <w:hideMark/>
          </w:tcPr>
          <w:p w14:paraId="1BB15BAE"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193</w:t>
            </w:r>
          </w:p>
        </w:tc>
        <w:tc>
          <w:tcPr>
            <w:tcW w:w="1340" w:type="dxa"/>
            <w:tcBorders>
              <w:top w:val="nil"/>
              <w:left w:val="nil"/>
              <w:bottom w:val="single" w:sz="4" w:space="0" w:color="auto"/>
              <w:right w:val="single" w:sz="4" w:space="0" w:color="auto"/>
            </w:tcBorders>
            <w:shd w:val="clear" w:color="auto" w:fill="auto"/>
            <w:noWrap/>
            <w:vAlign w:val="center"/>
            <w:hideMark/>
          </w:tcPr>
          <w:p w14:paraId="7E16E69E"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669</w:t>
            </w:r>
          </w:p>
        </w:tc>
        <w:tc>
          <w:tcPr>
            <w:tcW w:w="1480" w:type="dxa"/>
            <w:tcBorders>
              <w:top w:val="nil"/>
              <w:left w:val="nil"/>
              <w:bottom w:val="single" w:sz="4" w:space="0" w:color="auto"/>
              <w:right w:val="single" w:sz="4" w:space="0" w:color="auto"/>
            </w:tcBorders>
            <w:shd w:val="clear" w:color="auto" w:fill="auto"/>
            <w:noWrap/>
            <w:vAlign w:val="center"/>
            <w:hideMark/>
          </w:tcPr>
          <w:p w14:paraId="4F9A3562"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246.6</w:t>
            </w:r>
          </w:p>
        </w:tc>
      </w:tr>
      <w:tr w:rsidR="00D33F7C" w:rsidRPr="00D33F7C" w14:paraId="435B2014" w14:textId="77777777" w:rsidTr="00E213CE">
        <w:trPr>
          <w:trHeight w:val="255"/>
        </w:trPr>
        <w:tc>
          <w:tcPr>
            <w:tcW w:w="1960" w:type="dxa"/>
            <w:tcBorders>
              <w:top w:val="nil"/>
              <w:left w:val="single" w:sz="4" w:space="0" w:color="auto"/>
              <w:bottom w:val="single" w:sz="4" w:space="0" w:color="auto"/>
              <w:right w:val="single" w:sz="4" w:space="0" w:color="auto"/>
            </w:tcBorders>
            <w:shd w:val="clear" w:color="C6D9F0" w:fill="C6D9F0"/>
            <w:noWrap/>
            <w:vAlign w:val="center"/>
            <w:hideMark/>
          </w:tcPr>
          <w:p w14:paraId="6CFFB5DC" w14:textId="77777777" w:rsidR="00D33F7C" w:rsidRPr="00D33F7C" w:rsidRDefault="00D33F7C" w:rsidP="00D33F7C">
            <w:pPr>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 xml:space="preserve">  (iii) Stock Futures</w:t>
            </w:r>
          </w:p>
        </w:tc>
        <w:tc>
          <w:tcPr>
            <w:tcW w:w="1180" w:type="dxa"/>
            <w:tcBorders>
              <w:top w:val="nil"/>
              <w:left w:val="nil"/>
              <w:bottom w:val="single" w:sz="4" w:space="0" w:color="auto"/>
              <w:right w:val="single" w:sz="4" w:space="0" w:color="auto"/>
            </w:tcBorders>
            <w:shd w:val="clear" w:color="auto" w:fill="auto"/>
            <w:noWrap/>
            <w:vAlign w:val="center"/>
            <w:hideMark/>
          </w:tcPr>
          <w:p w14:paraId="28F0B4C8"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20,16,498</w:t>
            </w:r>
          </w:p>
        </w:tc>
        <w:tc>
          <w:tcPr>
            <w:tcW w:w="1255" w:type="dxa"/>
            <w:tcBorders>
              <w:top w:val="nil"/>
              <w:left w:val="nil"/>
              <w:bottom w:val="single" w:sz="4" w:space="0" w:color="auto"/>
              <w:right w:val="single" w:sz="4" w:space="0" w:color="auto"/>
            </w:tcBorders>
            <w:shd w:val="clear" w:color="auto" w:fill="auto"/>
            <w:noWrap/>
            <w:vAlign w:val="center"/>
            <w:hideMark/>
          </w:tcPr>
          <w:p w14:paraId="355419E0"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21,02,186</w:t>
            </w:r>
          </w:p>
        </w:tc>
        <w:tc>
          <w:tcPr>
            <w:tcW w:w="1245" w:type="dxa"/>
            <w:tcBorders>
              <w:top w:val="nil"/>
              <w:left w:val="nil"/>
              <w:bottom w:val="single" w:sz="4" w:space="0" w:color="auto"/>
              <w:right w:val="single" w:sz="4" w:space="0" w:color="auto"/>
            </w:tcBorders>
            <w:shd w:val="clear" w:color="auto" w:fill="auto"/>
            <w:noWrap/>
            <w:vAlign w:val="center"/>
            <w:hideMark/>
          </w:tcPr>
          <w:p w14:paraId="76716935"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4.2</w:t>
            </w:r>
          </w:p>
        </w:tc>
        <w:tc>
          <w:tcPr>
            <w:tcW w:w="1340" w:type="dxa"/>
            <w:tcBorders>
              <w:top w:val="nil"/>
              <w:left w:val="nil"/>
              <w:bottom w:val="single" w:sz="4" w:space="0" w:color="auto"/>
              <w:right w:val="single" w:sz="4" w:space="0" w:color="auto"/>
            </w:tcBorders>
            <w:shd w:val="clear" w:color="auto" w:fill="auto"/>
            <w:noWrap/>
            <w:vAlign w:val="center"/>
            <w:hideMark/>
          </w:tcPr>
          <w:p w14:paraId="77DE175A"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0</w:t>
            </w:r>
          </w:p>
        </w:tc>
        <w:tc>
          <w:tcPr>
            <w:tcW w:w="1340" w:type="dxa"/>
            <w:tcBorders>
              <w:top w:val="nil"/>
              <w:left w:val="nil"/>
              <w:bottom w:val="single" w:sz="4" w:space="0" w:color="auto"/>
              <w:right w:val="single" w:sz="4" w:space="0" w:color="auto"/>
            </w:tcBorders>
            <w:shd w:val="clear" w:color="auto" w:fill="auto"/>
            <w:noWrap/>
            <w:vAlign w:val="center"/>
            <w:hideMark/>
          </w:tcPr>
          <w:p w14:paraId="1E32D6B3"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0</w:t>
            </w:r>
          </w:p>
        </w:tc>
        <w:tc>
          <w:tcPr>
            <w:tcW w:w="1480" w:type="dxa"/>
            <w:tcBorders>
              <w:top w:val="nil"/>
              <w:left w:val="nil"/>
              <w:bottom w:val="single" w:sz="4" w:space="0" w:color="auto"/>
              <w:right w:val="single" w:sz="4" w:space="0" w:color="auto"/>
            </w:tcBorders>
            <w:shd w:val="clear" w:color="auto" w:fill="auto"/>
            <w:noWrap/>
            <w:vAlign w:val="center"/>
            <w:hideMark/>
          </w:tcPr>
          <w:p w14:paraId="1F63665F"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NA</w:t>
            </w:r>
          </w:p>
        </w:tc>
      </w:tr>
      <w:tr w:rsidR="00D33F7C" w:rsidRPr="00D33F7C" w14:paraId="3BE9D071" w14:textId="77777777" w:rsidTr="00E213CE">
        <w:trPr>
          <w:trHeight w:val="255"/>
        </w:trPr>
        <w:tc>
          <w:tcPr>
            <w:tcW w:w="1960" w:type="dxa"/>
            <w:tcBorders>
              <w:top w:val="nil"/>
              <w:left w:val="single" w:sz="4" w:space="0" w:color="auto"/>
              <w:bottom w:val="single" w:sz="4" w:space="0" w:color="auto"/>
              <w:right w:val="single" w:sz="4" w:space="0" w:color="auto"/>
            </w:tcBorders>
            <w:shd w:val="clear" w:color="C6D9F0" w:fill="C6D9F0"/>
            <w:noWrap/>
            <w:vAlign w:val="center"/>
            <w:hideMark/>
          </w:tcPr>
          <w:p w14:paraId="19EA89BE" w14:textId="77777777" w:rsidR="00D33F7C" w:rsidRPr="00D33F7C" w:rsidRDefault="00D33F7C" w:rsidP="00D33F7C">
            <w:pPr>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(iv) Options on Stock</w:t>
            </w:r>
          </w:p>
        </w:tc>
        <w:tc>
          <w:tcPr>
            <w:tcW w:w="1180" w:type="dxa"/>
            <w:tcBorders>
              <w:top w:val="nil"/>
              <w:left w:val="nil"/>
              <w:bottom w:val="single" w:sz="4" w:space="0" w:color="auto"/>
              <w:right w:val="single" w:sz="4" w:space="0" w:color="auto"/>
            </w:tcBorders>
            <w:shd w:val="clear" w:color="auto" w:fill="auto"/>
            <w:noWrap/>
            <w:vAlign w:val="center"/>
            <w:hideMark/>
          </w:tcPr>
          <w:p w14:paraId="55B2F5C5"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 </w:t>
            </w:r>
          </w:p>
        </w:tc>
        <w:tc>
          <w:tcPr>
            <w:tcW w:w="1255" w:type="dxa"/>
            <w:tcBorders>
              <w:top w:val="nil"/>
              <w:left w:val="nil"/>
              <w:bottom w:val="single" w:sz="4" w:space="0" w:color="auto"/>
              <w:right w:val="single" w:sz="4" w:space="0" w:color="auto"/>
            </w:tcBorders>
            <w:shd w:val="clear" w:color="auto" w:fill="auto"/>
            <w:noWrap/>
            <w:vAlign w:val="center"/>
            <w:hideMark/>
          </w:tcPr>
          <w:p w14:paraId="4D8B65CD"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 </w:t>
            </w:r>
          </w:p>
        </w:tc>
        <w:tc>
          <w:tcPr>
            <w:tcW w:w="1245" w:type="dxa"/>
            <w:tcBorders>
              <w:top w:val="nil"/>
              <w:left w:val="nil"/>
              <w:bottom w:val="single" w:sz="4" w:space="0" w:color="auto"/>
              <w:right w:val="single" w:sz="4" w:space="0" w:color="auto"/>
            </w:tcBorders>
            <w:shd w:val="clear" w:color="auto" w:fill="auto"/>
            <w:noWrap/>
            <w:vAlign w:val="center"/>
            <w:hideMark/>
          </w:tcPr>
          <w:p w14:paraId="77CD3E23"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 </w:t>
            </w:r>
          </w:p>
        </w:tc>
        <w:tc>
          <w:tcPr>
            <w:tcW w:w="1340" w:type="dxa"/>
            <w:tcBorders>
              <w:top w:val="nil"/>
              <w:left w:val="nil"/>
              <w:bottom w:val="single" w:sz="4" w:space="0" w:color="auto"/>
              <w:right w:val="single" w:sz="4" w:space="0" w:color="auto"/>
            </w:tcBorders>
            <w:shd w:val="clear" w:color="auto" w:fill="auto"/>
            <w:noWrap/>
            <w:vAlign w:val="center"/>
            <w:hideMark/>
          </w:tcPr>
          <w:p w14:paraId="17D5CEA9"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 </w:t>
            </w:r>
          </w:p>
        </w:tc>
        <w:tc>
          <w:tcPr>
            <w:tcW w:w="1340" w:type="dxa"/>
            <w:tcBorders>
              <w:top w:val="nil"/>
              <w:left w:val="nil"/>
              <w:bottom w:val="single" w:sz="4" w:space="0" w:color="auto"/>
              <w:right w:val="single" w:sz="4" w:space="0" w:color="auto"/>
            </w:tcBorders>
            <w:shd w:val="clear" w:color="auto" w:fill="auto"/>
            <w:noWrap/>
            <w:vAlign w:val="center"/>
            <w:hideMark/>
          </w:tcPr>
          <w:p w14:paraId="0065EC4F"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 </w:t>
            </w:r>
          </w:p>
        </w:tc>
        <w:tc>
          <w:tcPr>
            <w:tcW w:w="1480" w:type="dxa"/>
            <w:tcBorders>
              <w:top w:val="nil"/>
              <w:left w:val="nil"/>
              <w:bottom w:val="single" w:sz="4" w:space="0" w:color="auto"/>
              <w:right w:val="single" w:sz="4" w:space="0" w:color="auto"/>
            </w:tcBorders>
            <w:shd w:val="clear" w:color="auto" w:fill="auto"/>
            <w:noWrap/>
            <w:vAlign w:val="center"/>
            <w:hideMark/>
          </w:tcPr>
          <w:p w14:paraId="61274E0A"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 </w:t>
            </w:r>
          </w:p>
        </w:tc>
      </w:tr>
      <w:tr w:rsidR="00D33F7C" w:rsidRPr="00D33F7C" w14:paraId="781AB395" w14:textId="77777777" w:rsidTr="00E213CE">
        <w:trPr>
          <w:trHeight w:val="255"/>
        </w:trPr>
        <w:tc>
          <w:tcPr>
            <w:tcW w:w="1960" w:type="dxa"/>
            <w:tcBorders>
              <w:top w:val="nil"/>
              <w:left w:val="single" w:sz="4" w:space="0" w:color="auto"/>
              <w:bottom w:val="single" w:sz="4" w:space="0" w:color="auto"/>
              <w:right w:val="single" w:sz="4" w:space="0" w:color="auto"/>
            </w:tcBorders>
            <w:shd w:val="clear" w:color="C6D9F0" w:fill="C6D9F0"/>
            <w:noWrap/>
            <w:vAlign w:val="center"/>
            <w:hideMark/>
          </w:tcPr>
          <w:p w14:paraId="13EE5C1D" w14:textId="77777777" w:rsidR="00D33F7C" w:rsidRPr="00D33F7C" w:rsidRDefault="00D33F7C" w:rsidP="00D33F7C">
            <w:pPr>
              <w:rPr>
                <w:rFonts w:ascii="Garamond" w:eastAsia="Times New Roman" w:hAnsi="Garamond"/>
                <w:i/>
                <w:iCs/>
                <w:sz w:val="20"/>
                <w:szCs w:val="20"/>
                <w:lang w:val="en-IN" w:eastAsia="en-IN" w:bidi="hi-IN"/>
              </w:rPr>
            </w:pPr>
            <w:r w:rsidRPr="00D33F7C">
              <w:rPr>
                <w:rFonts w:ascii="Garamond" w:eastAsia="Times New Roman" w:hAnsi="Garamond"/>
                <w:i/>
                <w:iCs/>
                <w:sz w:val="20"/>
                <w:szCs w:val="20"/>
                <w:lang w:val="en-IN" w:eastAsia="en-IN" w:bidi="hi-IN"/>
              </w:rPr>
              <w:t xml:space="preserve">            Put</w:t>
            </w:r>
          </w:p>
        </w:tc>
        <w:tc>
          <w:tcPr>
            <w:tcW w:w="1180" w:type="dxa"/>
            <w:tcBorders>
              <w:top w:val="nil"/>
              <w:left w:val="nil"/>
              <w:bottom w:val="single" w:sz="4" w:space="0" w:color="auto"/>
              <w:right w:val="single" w:sz="4" w:space="0" w:color="auto"/>
            </w:tcBorders>
            <w:shd w:val="clear" w:color="auto" w:fill="auto"/>
            <w:noWrap/>
            <w:vAlign w:val="center"/>
            <w:hideMark/>
          </w:tcPr>
          <w:p w14:paraId="3A508EF1"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3,72,028</w:t>
            </w:r>
          </w:p>
        </w:tc>
        <w:tc>
          <w:tcPr>
            <w:tcW w:w="1255" w:type="dxa"/>
            <w:tcBorders>
              <w:top w:val="nil"/>
              <w:left w:val="nil"/>
              <w:bottom w:val="single" w:sz="4" w:space="0" w:color="auto"/>
              <w:right w:val="single" w:sz="4" w:space="0" w:color="auto"/>
            </w:tcBorders>
            <w:shd w:val="clear" w:color="auto" w:fill="auto"/>
            <w:noWrap/>
            <w:vAlign w:val="center"/>
            <w:hideMark/>
          </w:tcPr>
          <w:p w14:paraId="3F887530"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4,62,888</w:t>
            </w:r>
          </w:p>
        </w:tc>
        <w:tc>
          <w:tcPr>
            <w:tcW w:w="1245" w:type="dxa"/>
            <w:tcBorders>
              <w:top w:val="nil"/>
              <w:left w:val="nil"/>
              <w:bottom w:val="single" w:sz="4" w:space="0" w:color="auto"/>
              <w:right w:val="single" w:sz="4" w:space="0" w:color="auto"/>
            </w:tcBorders>
            <w:shd w:val="clear" w:color="auto" w:fill="auto"/>
            <w:noWrap/>
            <w:vAlign w:val="center"/>
            <w:hideMark/>
          </w:tcPr>
          <w:p w14:paraId="710490C5"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24.4</w:t>
            </w:r>
          </w:p>
        </w:tc>
        <w:tc>
          <w:tcPr>
            <w:tcW w:w="1340" w:type="dxa"/>
            <w:tcBorders>
              <w:top w:val="nil"/>
              <w:left w:val="nil"/>
              <w:bottom w:val="single" w:sz="4" w:space="0" w:color="auto"/>
              <w:right w:val="single" w:sz="4" w:space="0" w:color="auto"/>
            </w:tcBorders>
            <w:shd w:val="clear" w:color="auto" w:fill="auto"/>
            <w:noWrap/>
            <w:vAlign w:val="center"/>
            <w:hideMark/>
          </w:tcPr>
          <w:p w14:paraId="5732C9B4"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0</w:t>
            </w:r>
          </w:p>
        </w:tc>
        <w:tc>
          <w:tcPr>
            <w:tcW w:w="1340" w:type="dxa"/>
            <w:tcBorders>
              <w:top w:val="nil"/>
              <w:left w:val="nil"/>
              <w:bottom w:val="single" w:sz="4" w:space="0" w:color="auto"/>
              <w:right w:val="single" w:sz="4" w:space="0" w:color="auto"/>
            </w:tcBorders>
            <w:shd w:val="clear" w:color="auto" w:fill="auto"/>
            <w:noWrap/>
            <w:vAlign w:val="center"/>
            <w:hideMark/>
          </w:tcPr>
          <w:p w14:paraId="5270ED35"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0</w:t>
            </w:r>
          </w:p>
        </w:tc>
        <w:tc>
          <w:tcPr>
            <w:tcW w:w="1480" w:type="dxa"/>
            <w:tcBorders>
              <w:top w:val="nil"/>
              <w:left w:val="nil"/>
              <w:bottom w:val="single" w:sz="4" w:space="0" w:color="auto"/>
              <w:right w:val="single" w:sz="4" w:space="0" w:color="auto"/>
            </w:tcBorders>
            <w:shd w:val="clear" w:color="auto" w:fill="auto"/>
            <w:noWrap/>
            <w:vAlign w:val="center"/>
            <w:hideMark/>
          </w:tcPr>
          <w:p w14:paraId="5148FCE5"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NA</w:t>
            </w:r>
          </w:p>
        </w:tc>
      </w:tr>
      <w:tr w:rsidR="00D33F7C" w:rsidRPr="00D33F7C" w14:paraId="3A5D55E8" w14:textId="77777777" w:rsidTr="00E213CE">
        <w:trPr>
          <w:trHeight w:val="255"/>
        </w:trPr>
        <w:tc>
          <w:tcPr>
            <w:tcW w:w="1960" w:type="dxa"/>
            <w:tcBorders>
              <w:top w:val="nil"/>
              <w:left w:val="single" w:sz="4" w:space="0" w:color="auto"/>
              <w:bottom w:val="single" w:sz="4" w:space="0" w:color="auto"/>
              <w:right w:val="single" w:sz="4" w:space="0" w:color="auto"/>
            </w:tcBorders>
            <w:shd w:val="clear" w:color="C6D9F0" w:fill="C6D9F0"/>
            <w:noWrap/>
            <w:vAlign w:val="center"/>
            <w:hideMark/>
          </w:tcPr>
          <w:p w14:paraId="33684587" w14:textId="77777777" w:rsidR="00D33F7C" w:rsidRPr="00D33F7C" w:rsidRDefault="00D33F7C" w:rsidP="00D33F7C">
            <w:pPr>
              <w:rPr>
                <w:rFonts w:ascii="Garamond" w:eastAsia="Times New Roman" w:hAnsi="Garamond"/>
                <w:i/>
                <w:iCs/>
                <w:sz w:val="20"/>
                <w:szCs w:val="20"/>
                <w:lang w:val="en-IN" w:eastAsia="en-IN" w:bidi="hi-IN"/>
              </w:rPr>
            </w:pPr>
            <w:r w:rsidRPr="00D33F7C">
              <w:rPr>
                <w:rFonts w:ascii="Garamond" w:eastAsia="Times New Roman" w:hAnsi="Garamond"/>
                <w:i/>
                <w:iCs/>
                <w:sz w:val="20"/>
                <w:szCs w:val="20"/>
                <w:lang w:val="en-IN" w:eastAsia="en-IN" w:bidi="hi-IN"/>
              </w:rPr>
              <w:t xml:space="preserve">          Call</w:t>
            </w:r>
          </w:p>
        </w:tc>
        <w:tc>
          <w:tcPr>
            <w:tcW w:w="1180" w:type="dxa"/>
            <w:tcBorders>
              <w:top w:val="nil"/>
              <w:left w:val="nil"/>
              <w:bottom w:val="single" w:sz="4" w:space="0" w:color="auto"/>
              <w:right w:val="single" w:sz="4" w:space="0" w:color="auto"/>
            </w:tcBorders>
            <w:shd w:val="clear" w:color="auto" w:fill="auto"/>
            <w:noWrap/>
            <w:vAlign w:val="center"/>
            <w:hideMark/>
          </w:tcPr>
          <w:p w14:paraId="4240232F"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6,92,186</w:t>
            </w:r>
          </w:p>
        </w:tc>
        <w:tc>
          <w:tcPr>
            <w:tcW w:w="1255" w:type="dxa"/>
            <w:tcBorders>
              <w:top w:val="nil"/>
              <w:left w:val="nil"/>
              <w:bottom w:val="single" w:sz="4" w:space="0" w:color="auto"/>
              <w:right w:val="single" w:sz="4" w:space="0" w:color="auto"/>
            </w:tcBorders>
            <w:shd w:val="clear" w:color="auto" w:fill="auto"/>
            <w:noWrap/>
            <w:vAlign w:val="center"/>
            <w:hideMark/>
          </w:tcPr>
          <w:p w14:paraId="3192A56E"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8,43,940</w:t>
            </w:r>
          </w:p>
        </w:tc>
        <w:tc>
          <w:tcPr>
            <w:tcW w:w="1245" w:type="dxa"/>
            <w:tcBorders>
              <w:top w:val="nil"/>
              <w:left w:val="nil"/>
              <w:bottom w:val="single" w:sz="4" w:space="0" w:color="auto"/>
              <w:right w:val="single" w:sz="4" w:space="0" w:color="auto"/>
            </w:tcBorders>
            <w:shd w:val="clear" w:color="auto" w:fill="auto"/>
            <w:noWrap/>
            <w:vAlign w:val="center"/>
            <w:hideMark/>
          </w:tcPr>
          <w:p w14:paraId="61E14141"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21.9</w:t>
            </w:r>
          </w:p>
        </w:tc>
        <w:tc>
          <w:tcPr>
            <w:tcW w:w="1340" w:type="dxa"/>
            <w:tcBorders>
              <w:top w:val="nil"/>
              <w:left w:val="nil"/>
              <w:bottom w:val="single" w:sz="4" w:space="0" w:color="auto"/>
              <w:right w:val="single" w:sz="4" w:space="0" w:color="auto"/>
            </w:tcBorders>
            <w:shd w:val="clear" w:color="auto" w:fill="auto"/>
            <w:noWrap/>
            <w:vAlign w:val="center"/>
            <w:hideMark/>
          </w:tcPr>
          <w:p w14:paraId="199141B8"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0</w:t>
            </w:r>
          </w:p>
        </w:tc>
        <w:tc>
          <w:tcPr>
            <w:tcW w:w="1340" w:type="dxa"/>
            <w:tcBorders>
              <w:top w:val="nil"/>
              <w:left w:val="nil"/>
              <w:bottom w:val="single" w:sz="4" w:space="0" w:color="auto"/>
              <w:right w:val="single" w:sz="4" w:space="0" w:color="auto"/>
            </w:tcBorders>
            <w:shd w:val="clear" w:color="auto" w:fill="auto"/>
            <w:noWrap/>
            <w:vAlign w:val="center"/>
            <w:hideMark/>
          </w:tcPr>
          <w:p w14:paraId="7492E0EB"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0</w:t>
            </w:r>
          </w:p>
        </w:tc>
        <w:tc>
          <w:tcPr>
            <w:tcW w:w="1480" w:type="dxa"/>
            <w:tcBorders>
              <w:top w:val="nil"/>
              <w:left w:val="nil"/>
              <w:bottom w:val="single" w:sz="4" w:space="0" w:color="auto"/>
              <w:right w:val="single" w:sz="4" w:space="0" w:color="auto"/>
            </w:tcBorders>
            <w:shd w:val="clear" w:color="auto" w:fill="auto"/>
            <w:noWrap/>
            <w:vAlign w:val="center"/>
            <w:hideMark/>
          </w:tcPr>
          <w:p w14:paraId="41CB9699" w14:textId="77777777" w:rsidR="00D33F7C" w:rsidRPr="00D33F7C" w:rsidRDefault="00D33F7C" w:rsidP="00D33F7C">
            <w:pPr>
              <w:jc w:val="right"/>
              <w:rPr>
                <w:rFonts w:ascii="Garamond" w:eastAsia="Times New Roman" w:hAnsi="Garamond"/>
                <w:sz w:val="20"/>
                <w:szCs w:val="20"/>
                <w:lang w:val="en-IN" w:eastAsia="en-IN" w:bidi="hi-IN"/>
              </w:rPr>
            </w:pPr>
            <w:r w:rsidRPr="00D33F7C">
              <w:rPr>
                <w:rFonts w:ascii="Garamond" w:eastAsia="Times New Roman" w:hAnsi="Garamond"/>
                <w:sz w:val="20"/>
                <w:szCs w:val="20"/>
                <w:lang w:val="en-IN" w:eastAsia="en-IN" w:bidi="hi-IN"/>
              </w:rPr>
              <w:t>NA</w:t>
            </w:r>
          </w:p>
        </w:tc>
      </w:tr>
      <w:tr w:rsidR="00D33F7C" w:rsidRPr="00D33F7C" w14:paraId="0266D15F" w14:textId="77777777" w:rsidTr="00E213CE">
        <w:trPr>
          <w:trHeight w:val="255"/>
        </w:trPr>
        <w:tc>
          <w:tcPr>
            <w:tcW w:w="1960" w:type="dxa"/>
            <w:tcBorders>
              <w:top w:val="nil"/>
              <w:left w:val="single" w:sz="4" w:space="0" w:color="auto"/>
              <w:bottom w:val="single" w:sz="4" w:space="0" w:color="auto"/>
              <w:right w:val="single" w:sz="4" w:space="0" w:color="auto"/>
            </w:tcBorders>
            <w:shd w:val="clear" w:color="C6D9F0" w:fill="C6D9F0"/>
            <w:noWrap/>
            <w:vAlign w:val="center"/>
            <w:hideMark/>
          </w:tcPr>
          <w:p w14:paraId="29B57575" w14:textId="77777777" w:rsidR="00D33F7C" w:rsidRPr="00D33F7C" w:rsidRDefault="00D33F7C" w:rsidP="00D33F7C">
            <w:pPr>
              <w:rPr>
                <w:rFonts w:ascii="Garamond" w:eastAsia="Times New Roman" w:hAnsi="Garamond"/>
                <w:b/>
                <w:bCs/>
                <w:sz w:val="20"/>
                <w:szCs w:val="20"/>
                <w:lang w:val="en-IN" w:eastAsia="en-IN" w:bidi="hi-IN"/>
              </w:rPr>
            </w:pPr>
            <w:r w:rsidRPr="00D33F7C">
              <w:rPr>
                <w:rFonts w:ascii="Garamond" w:eastAsia="Times New Roman" w:hAnsi="Garamond"/>
                <w:b/>
                <w:bCs/>
                <w:sz w:val="20"/>
                <w:szCs w:val="20"/>
                <w:lang w:val="en-IN" w:eastAsia="en-IN" w:bidi="hi-IN"/>
              </w:rPr>
              <w:t xml:space="preserve">         Total</w:t>
            </w:r>
          </w:p>
        </w:tc>
        <w:tc>
          <w:tcPr>
            <w:tcW w:w="1180" w:type="dxa"/>
            <w:tcBorders>
              <w:top w:val="nil"/>
              <w:left w:val="nil"/>
              <w:bottom w:val="single" w:sz="4" w:space="0" w:color="auto"/>
              <w:right w:val="single" w:sz="4" w:space="0" w:color="auto"/>
            </w:tcBorders>
            <w:shd w:val="clear" w:color="C6D9F0" w:fill="C6D9F0"/>
            <w:noWrap/>
            <w:vAlign w:val="center"/>
            <w:hideMark/>
          </w:tcPr>
          <w:p w14:paraId="3167CA9E" w14:textId="77777777" w:rsidR="00D33F7C" w:rsidRPr="00D33F7C" w:rsidRDefault="00D33F7C" w:rsidP="00D33F7C">
            <w:pPr>
              <w:jc w:val="right"/>
              <w:rPr>
                <w:rFonts w:ascii="Garamond" w:eastAsia="Times New Roman" w:hAnsi="Garamond"/>
                <w:b/>
                <w:bCs/>
                <w:sz w:val="20"/>
                <w:szCs w:val="20"/>
                <w:lang w:val="en-IN" w:eastAsia="en-IN" w:bidi="hi-IN"/>
              </w:rPr>
            </w:pPr>
            <w:r w:rsidRPr="00D33F7C">
              <w:rPr>
                <w:rFonts w:ascii="Garamond" w:eastAsia="Times New Roman" w:hAnsi="Garamond"/>
                <w:b/>
                <w:bCs/>
                <w:sz w:val="20"/>
                <w:szCs w:val="20"/>
                <w:lang w:val="en-IN" w:eastAsia="en-IN" w:bidi="hi-IN"/>
              </w:rPr>
              <w:t>66,12,601</w:t>
            </w:r>
          </w:p>
        </w:tc>
        <w:tc>
          <w:tcPr>
            <w:tcW w:w="1255" w:type="dxa"/>
            <w:tcBorders>
              <w:top w:val="nil"/>
              <w:left w:val="nil"/>
              <w:bottom w:val="single" w:sz="4" w:space="0" w:color="auto"/>
              <w:right w:val="single" w:sz="4" w:space="0" w:color="auto"/>
            </w:tcBorders>
            <w:shd w:val="clear" w:color="C6D9F0" w:fill="C6D9F0"/>
            <w:noWrap/>
            <w:vAlign w:val="center"/>
            <w:hideMark/>
          </w:tcPr>
          <w:p w14:paraId="75D4E351" w14:textId="77777777" w:rsidR="00D33F7C" w:rsidRPr="00D33F7C" w:rsidRDefault="00D33F7C" w:rsidP="00D33F7C">
            <w:pPr>
              <w:jc w:val="right"/>
              <w:rPr>
                <w:rFonts w:ascii="Garamond" w:eastAsia="Times New Roman" w:hAnsi="Garamond"/>
                <w:b/>
                <w:bCs/>
                <w:sz w:val="20"/>
                <w:szCs w:val="20"/>
                <w:lang w:val="en-IN" w:eastAsia="en-IN" w:bidi="hi-IN"/>
              </w:rPr>
            </w:pPr>
            <w:r w:rsidRPr="00D33F7C">
              <w:rPr>
                <w:rFonts w:ascii="Garamond" w:eastAsia="Times New Roman" w:hAnsi="Garamond"/>
                <w:b/>
                <w:bCs/>
                <w:sz w:val="20"/>
                <w:szCs w:val="20"/>
                <w:lang w:val="en-IN" w:eastAsia="en-IN" w:bidi="hi-IN"/>
              </w:rPr>
              <w:t>81,17,373</w:t>
            </w:r>
          </w:p>
        </w:tc>
        <w:tc>
          <w:tcPr>
            <w:tcW w:w="1245" w:type="dxa"/>
            <w:tcBorders>
              <w:top w:val="nil"/>
              <w:left w:val="nil"/>
              <w:bottom w:val="single" w:sz="4" w:space="0" w:color="auto"/>
              <w:right w:val="single" w:sz="4" w:space="0" w:color="auto"/>
            </w:tcBorders>
            <w:shd w:val="clear" w:color="C6D9F0" w:fill="C6D9F0"/>
            <w:noWrap/>
            <w:vAlign w:val="center"/>
            <w:hideMark/>
          </w:tcPr>
          <w:p w14:paraId="0321850E" w14:textId="77777777" w:rsidR="00D33F7C" w:rsidRPr="00D33F7C" w:rsidRDefault="00D33F7C" w:rsidP="00D33F7C">
            <w:pPr>
              <w:jc w:val="right"/>
              <w:rPr>
                <w:rFonts w:ascii="Garamond" w:eastAsia="Times New Roman" w:hAnsi="Garamond"/>
                <w:b/>
                <w:bCs/>
                <w:sz w:val="20"/>
                <w:szCs w:val="20"/>
                <w:lang w:val="en-IN" w:eastAsia="en-IN" w:bidi="hi-IN"/>
              </w:rPr>
            </w:pPr>
            <w:r w:rsidRPr="00D33F7C">
              <w:rPr>
                <w:rFonts w:ascii="Garamond" w:eastAsia="Times New Roman" w:hAnsi="Garamond"/>
                <w:b/>
                <w:bCs/>
                <w:sz w:val="20"/>
                <w:szCs w:val="20"/>
                <w:lang w:val="en-IN" w:eastAsia="en-IN" w:bidi="hi-IN"/>
              </w:rPr>
              <w:t>22.8</w:t>
            </w:r>
          </w:p>
        </w:tc>
        <w:tc>
          <w:tcPr>
            <w:tcW w:w="1340" w:type="dxa"/>
            <w:tcBorders>
              <w:top w:val="nil"/>
              <w:left w:val="nil"/>
              <w:bottom w:val="single" w:sz="4" w:space="0" w:color="auto"/>
              <w:right w:val="single" w:sz="4" w:space="0" w:color="auto"/>
            </w:tcBorders>
            <w:shd w:val="clear" w:color="C6D9F0" w:fill="C6D9F0"/>
            <w:noWrap/>
            <w:vAlign w:val="center"/>
            <w:hideMark/>
          </w:tcPr>
          <w:p w14:paraId="37FA097B" w14:textId="77777777" w:rsidR="00D33F7C" w:rsidRPr="00D33F7C" w:rsidRDefault="00D33F7C" w:rsidP="00D33F7C">
            <w:pPr>
              <w:jc w:val="right"/>
              <w:rPr>
                <w:rFonts w:ascii="Garamond" w:eastAsia="Times New Roman" w:hAnsi="Garamond"/>
                <w:b/>
                <w:bCs/>
                <w:sz w:val="20"/>
                <w:szCs w:val="20"/>
                <w:lang w:val="en-IN" w:eastAsia="en-IN" w:bidi="hi-IN"/>
              </w:rPr>
            </w:pPr>
            <w:r w:rsidRPr="00D33F7C">
              <w:rPr>
                <w:rFonts w:ascii="Garamond" w:eastAsia="Times New Roman" w:hAnsi="Garamond"/>
                <w:b/>
                <w:bCs/>
                <w:sz w:val="20"/>
                <w:szCs w:val="20"/>
                <w:lang w:val="en-IN" w:eastAsia="en-IN" w:bidi="hi-IN"/>
              </w:rPr>
              <w:t>533</w:t>
            </w:r>
          </w:p>
        </w:tc>
        <w:tc>
          <w:tcPr>
            <w:tcW w:w="1340" w:type="dxa"/>
            <w:tcBorders>
              <w:top w:val="nil"/>
              <w:left w:val="nil"/>
              <w:bottom w:val="single" w:sz="4" w:space="0" w:color="auto"/>
              <w:right w:val="single" w:sz="4" w:space="0" w:color="auto"/>
            </w:tcBorders>
            <w:shd w:val="clear" w:color="C6D9F0" w:fill="C6D9F0"/>
            <w:noWrap/>
            <w:vAlign w:val="center"/>
            <w:hideMark/>
          </w:tcPr>
          <w:p w14:paraId="0E4A91A6" w14:textId="77777777" w:rsidR="00D33F7C" w:rsidRPr="00D33F7C" w:rsidRDefault="00D33F7C" w:rsidP="00D33F7C">
            <w:pPr>
              <w:jc w:val="right"/>
              <w:rPr>
                <w:rFonts w:ascii="Garamond" w:eastAsia="Times New Roman" w:hAnsi="Garamond"/>
                <w:b/>
                <w:bCs/>
                <w:sz w:val="20"/>
                <w:szCs w:val="20"/>
                <w:lang w:val="en-IN" w:eastAsia="en-IN" w:bidi="hi-IN"/>
              </w:rPr>
            </w:pPr>
            <w:r w:rsidRPr="00D33F7C">
              <w:rPr>
                <w:rFonts w:ascii="Garamond" w:eastAsia="Times New Roman" w:hAnsi="Garamond"/>
                <w:b/>
                <w:bCs/>
                <w:sz w:val="20"/>
                <w:szCs w:val="20"/>
                <w:lang w:val="en-IN" w:eastAsia="en-IN" w:bidi="hi-IN"/>
              </w:rPr>
              <w:t>1,339</w:t>
            </w:r>
          </w:p>
        </w:tc>
        <w:tc>
          <w:tcPr>
            <w:tcW w:w="1480" w:type="dxa"/>
            <w:tcBorders>
              <w:top w:val="nil"/>
              <w:left w:val="nil"/>
              <w:bottom w:val="single" w:sz="4" w:space="0" w:color="auto"/>
              <w:right w:val="single" w:sz="4" w:space="0" w:color="auto"/>
            </w:tcBorders>
            <w:shd w:val="clear" w:color="C6D9F0" w:fill="C6D9F0"/>
            <w:noWrap/>
            <w:vAlign w:val="center"/>
            <w:hideMark/>
          </w:tcPr>
          <w:p w14:paraId="5DC24F3D" w14:textId="77777777" w:rsidR="00D33F7C" w:rsidRPr="00D33F7C" w:rsidRDefault="00D33F7C" w:rsidP="00D33F7C">
            <w:pPr>
              <w:jc w:val="right"/>
              <w:rPr>
                <w:rFonts w:ascii="Garamond" w:eastAsia="Times New Roman" w:hAnsi="Garamond"/>
                <w:b/>
                <w:bCs/>
                <w:sz w:val="20"/>
                <w:szCs w:val="20"/>
                <w:lang w:val="en-IN" w:eastAsia="en-IN" w:bidi="hi-IN"/>
              </w:rPr>
            </w:pPr>
            <w:r w:rsidRPr="00D33F7C">
              <w:rPr>
                <w:rFonts w:ascii="Garamond" w:eastAsia="Times New Roman" w:hAnsi="Garamond"/>
                <w:b/>
                <w:bCs/>
                <w:sz w:val="20"/>
                <w:szCs w:val="20"/>
                <w:lang w:val="en-IN" w:eastAsia="en-IN" w:bidi="hi-IN"/>
              </w:rPr>
              <w:t>151.2</w:t>
            </w:r>
          </w:p>
        </w:tc>
      </w:tr>
    </w:tbl>
    <w:p w14:paraId="3D7AE6CE" w14:textId="77777777" w:rsidR="00D33F7C" w:rsidRPr="00D33F7C" w:rsidRDefault="00D33F7C" w:rsidP="00D33F7C">
      <w:pPr>
        <w:tabs>
          <w:tab w:val="left" w:pos="3135"/>
        </w:tabs>
        <w:spacing w:line="276" w:lineRule="auto"/>
        <w:rPr>
          <w:rFonts w:ascii="Palatino Linotype" w:eastAsia="Palatino Linotype" w:hAnsi="Palatino Linotype" w:cs="Palatino Linotype"/>
          <w:b/>
          <w:sz w:val="18"/>
          <w:szCs w:val="18"/>
        </w:rPr>
      </w:pPr>
      <w:r w:rsidRPr="00D33F7C">
        <w:rPr>
          <w:rFonts w:ascii="Palatino Linotype" w:eastAsia="Palatino Linotype" w:hAnsi="Palatino Linotype" w:cs="Palatino Linotype"/>
          <w:b/>
          <w:sz w:val="18"/>
          <w:szCs w:val="18"/>
        </w:rPr>
        <w:t>Source: NSE and BSE</w:t>
      </w:r>
    </w:p>
    <w:p w14:paraId="2EF536A5" w14:textId="77777777" w:rsidR="00D33F7C" w:rsidRPr="00D33F7C" w:rsidRDefault="00D33F7C" w:rsidP="00D33F7C">
      <w:pPr>
        <w:tabs>
          <w:tab w:val="left" w:pos="3135"/>
        </w:tabs>
        <w:spacing w:line="276" w:lineRule="auto"/>
        <w:rPr>
          <w:rFonts w:ascii="Palatino Linotype" w:eastAsia="Palatino Linotype" w:hAnsi="Palatino Linotype" w:cs="Palatino Linotype"/>
          <w:b/>
          <w:color w:val="2E74B5"/>
          <w:sz w:val="22"/>
          <w:szCs w:val="22"/>
          <w:highlight w:val="yellow"/>
        </w:rPr>
      </w:pPr>
    </w:p>
    <w:p w14:paraId="103E1F34" w14:textId="77777777" w:rsidR="00D33F7C" w:rsidRPr="00D33F7C" w:rsidRDefault="00D33F7C" w:rsidP="00D33F7C">
      <w:pPr>
        <w:tabs>
          <w:tab w:val="left" w:pos="3135"/>
        </w:tabs>
        <w:spacing w:line="276" w:lineRule="auto"/>
        <w:rPr>
          <w:rFonts w:ascii="Palatino Linotype" w:eastAsia="Palatino Linotype" w:hAnsi="Palatino Linotype" w:cs="Palatino Linotype"/>
          <w:b/>
          <w:sz w:val="22"/>
          <w:szCs w:val="22"/>
          <w:u w:val="single"/>
        </w:rPr>
      </w:pPr>
      <w:r w:rsidRPr="00D33F7C">
        <w:rPr>
          <w:rFonts w:ascii="Palatino Linotype" w:eastAsia="Palatino Linotype" w:hAnsi="Palatino Linotype" w:cs="Palatino Linotype"/>
          <w:b/>
          <w:sz w:val="22"/>
          <w:szCs w:val="22"/>
          <w:u w:val="single"/>
        </w:rPr>
        <w:lastRenderedPageBreak/>
        <w:t xml:space="preserve">BSE </w:t>
      </w:r>
    </w:p>
    <w:p w14:paraId="3A3FB767" w14:textId="77777777" w:rsidR="00D33F7C" w:rsidRPr="00D33F7C" w:rsidRDefault="00D33F7C" w:rsidP="00D33F7C">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D33F7C">
        <w:rPr>
          <w:rFonts w:ascii="Palatino Linotype" w:eastAsia="Palatino Linotype" w:hAnsi="Palatino Linotype" w:cs="Palatino Linotype"/>
          <w:sz w:val="22"/>
          <w:szCs w:val="22"/>
        </w:rPr>
        <w:t xml:space="preserve">During June 2021, the notional turnover of the equity derivatives segment at BSE increased by 3.0 per cent to </w:t>
      </w:r>
      <w:r w:rsidRPr="00D33F7C">
        <w:rPr>
          <w:rFonts w:ascii="Times New Roman" w:eastAsia="Palatino Linotype" w:hAnsi="Times New Roman"/>
          <w:sz w:val="22"/>
          <w:szCs w:val="22"/>
        </w:rPr>
        <w:t>₹</w:t>
      </w:r>
      <w:r w:rsidRPr="00D33F7C">
        <w:rPr>
          <w:rFonts w:ascii="Palatino Linotype" w:eastAsia="Palatino Linotype" w:hAnsi="Palatino Linotype" w:cs="Palatino Linotype"/>
          <w:sz w:val="22"/>
          <w:szCs w:val="22"/>
        </w:rPr>
        <w:t xml:space="preserve">66.7 lakh crore compared from </w:t>
      </w:r>
      <w:r w:rsidRPr="00D33F7C">
        <w:rPr>
          <w:rFonts w:ascii="Tahoma" w:eastAsia="Palatino Linotype" w:hAnsi="Tahoma" w:cs="Tahoma"/>
          <w:sz w:val="22"/>
          <w:szCs w:val="22"/>
        </w:rPr>
        <w:t>₹</w:t>
      </w:r>
      <w:r w:rsidRPr="00D33F7C">
        <w:rPr>
          <w:rFonts w:ascii="Palatino Linotype" w:eastAsia="Palatino Linotype" w:hAnsi="Palatino Linotype" w:cs="Palatino Linotype"/>
          <w:sz w:val="22"/>
          <w:szCs w:val="22"/>
        </w:rPr>
        <w:t xml:space="preserve">64.8 lakh crore in </w:t>
      </w:r>
      <w:r w:rsidRPr="00D33F7C">
        <w:rPr>
          <w:rFonts w:ascii="Palatino Linotype" w:eastAsia="Tahoma" w:hAnsi="Palatino Linotype"/>
          <w:sz w:val="22"/>
          <w:szCs w:val="22"/>
        </w:rPr>
        <w:t>May 2021</w:t>
      </w:r>
      <w:r w:rsidRPr="00D33F7C">
        <w:rPr>
          <w:rFonts w:ascii="Palatino Linotype" w:eastAsia="Palatino Linotype" w:hAnsi="Palatino Linotype" w:cs="Palatino Linotype"/>
          <w:sz w:val="22"/>
          <w:szCs w:val="22"/>
        </w:rPr>
        <w:t xml:space="preserve">.  </w:t>
      </w:r>
    </w:p>
    <w:p w14:paraId="396BB605" w14:textId="77777777" w:rsidR="00D33F7C" w:rsidRPr="00D33F7C" w:rsidRDefault="00D33F7C" w:rsidP="00D33F7C">
      <w:pPr>
        <w:numPr>
          <w:ilvl w:val="0"/>
          <w:numId w:val="1"/>
        </w:numPr>
        <w:pBdr>
          <w:top w:val="nil"/>
          <w:left w:val="nil"/>
          <w:bottom w:val="nil"/>
          <w:right w:val="nil"/>
          <w:between w:val="nil"/>
        </w:pBdr>
        <w:spacing w:line="276" w:lineRule="auto"/>
        <w:jc w:val="both"/>
        <w:rPr>
          <w:rFonts w:ascii="Palatino Linotype" w:eastAsia="Tahoma" w:hAnsi="Palatino Linotype"/>
          <w:sz w:val="22"/>
          <w:szCs w:val="22"/>
        </w:rPr>
      </w:pPr>
      <w:r w:rsidRPr="00D33F7C">
        <w:rPr>
          <w:rFonts w:ascii="Palatino Linotype" w:eastAsia="Palatino Linotype" w:hAnsi="Palatino Linotype" w:cs="Palatino Linotype"/>
          <w:sz w:val="22"/>
          <w:szCs w:val="22"/>
        </w:rPr>
        <w:t>As at</w:t>
      </w:r>
      <w:r w:rsidRPr="00D33F7C">
        <w:rPr>
          <w:rFonts w:ascii="Palatino Linotype" w:eastAsia="Tahoma" w:hAnsi="Palatino Linotype"/>
          <w:sz w:val="22"/>
          <w:szCs w:val="22"/>
        </w:rPr>
        <w:t xml:space="preserve"> the end of June 2021, the open interest in terms of value at BSE stood at </w:t>
      </w:r>
      <w:r w:rsidRPr="00D33F7C">
        <w:rPr>
          <w:rFonts w:ascii="Times New Roman" w:eastAsia="Tahoma" w:hAnsi="Times New Roman"/>
          <w:sz w:val="22"/>
          <w:szCs w:val="22"/>
        </w:rPr>
        <w:t>₹</w:t>
      </w:r>
      <w:r w:rsidRPr="00D33F7C">
        <w:rPr>
          <w:rFonts w:ascii="Palatino Linotype" w:eastAsia="Tahoma" w:hAnsi="Palatino Linotype"/>
          <w:sz w:val="22"/>
          <w:szCs w:val="22"/>
        </w:rPr>
        <w:t xml:space="preserve">110.4 crore compared to </w:t>
      </w:r>
      <w:r w:rsidRPr="00D33F7C">
        <w:rPr>
          <w:rFonts w:ascii="Tahoma" w:eastAsia="Tahoma" w:hAnsi="Tahoma" w:cs="Tahoma"/>
          <w:sz w:val="22"/>
          <w:szCs w:val="22"/>
        </w:rPr>
        <w:t>₹</w:t>
      </w:r>
      <w:r w:rsidRPr="00D33F7C">
        <w:rPr>
          <w:rFonts w:ascii="Palatino Linotype" w:eastAsia="Tahoma" w:hAnsi="Palatino Linotype"/>
          <w:sz w:val="22"/>
          <w:szCs w:val="22"/>
        </w:rPr>
        <w:t>65.2 crore as at the end of May 2021.</w:t>
      </w:r>
    </w:p>
    <w:p w14:paraId="7432C238" w14:textId="77777777" w:rsidR="00D33F7C" w:rsidRPr="00D33F7C" w:rsidRDefault="00D33F7C" w:rsidP="00D33F7C">
      <w:pPr>
        <w:pBdr>
          <w:top w:val="nil"/>
          <w:left w:val="nil"/>
          <w:bottom w:val="nil"/>
          <w:right w:val="nil"/>
          <w:between w:val="nil"/>
        </w:pBdr>
        <w:spacing w:line="276" w:lineRule="auto"/>
        <w:jc w:val="both"/>
        <w:rPr>
          <w:rFonts w:ascii="Palatino Linotype" w:eastAsia="Palatino Linotype" w:hAnsi="Palatino Linotype" w:cs="Palatino Linotype"/>
          <w:color w:val="2E74B5"/>
          <w:sz w:val="22"/>
          <w:szCs w:val="22"/>
        </w:rPr>
      </w:pPr>
    </w:p>
    <w:p w14:paraId="5A51C778" w14:textId="77777777" w:rsidR="00D33F7C" w:rsidRPr="00D33F7C" w:rsidRDefault="00D33F7C" w:rsidP="00D33F7C">
      <w:pPr>
        <w:tabs>
          <w:tab w:val="left" w:pos="3135"/>
        </w:tabs>
        <w:spacing w:line="276" w:lineRule="auto"/>
        <w:rPr>
          <w:rFonts w:ascii="Palatino Linotype" w:eastAsia="Palatino Linotype" w:hAnsi="Palatino Linotype" w:cs="Palatino Linotype"/>
          <w:b/>
          <w:sz w:val="22"/>
          <w:szCs w:val="22"/>
          <w:u w:val="single"/>
        </w:rPr>
      </w:pPr>
      <w:r w:rsidRPr="00D33F7C">
        <w:rPr>
          <w:rFonts w:ascii="Palatino Linotype" w:eastAsia="Palatino Linotype" w:hAnsi="Palatino Linotype" w:cs="Palatino Linotype"/>
          <w:b/>
          <w:sz w:val="22"/>
          <w:szCs w:val="22"/>
          <w:u w:val="single"/>
        </w:rPr>
        <w:t xml:space="preserve">NSE </w:t>
      </w:r>
    </w:p>
    <w:p w14:paraId="0E5E1A71" w14:textId="77777777" w:rsidR="00D33F7C" w:rsidRPr="00D33F7C" w:rsidRDefault="00D33F7C" w:rsidP="00D33F7C">
      <w:pPr>
        <w:numPr>
          <w:ilvl w:val="0"/>
          <w:numId w:val="1"/>
        </w:numPr>
        <w:pBdr>
          <w:top w:val="nil"/>
          <w:left w:val="nil"/>
          <w:bottom w:val="nil"/>
          <w:right w:val="nil"/>
          <w:between w:val="nil"/>
        </w:pBdr>
        <w:spacing w:line="276" w:lineRule="auto"/>
        <w:jc w:val="both"/>
        <w:rPr>
          <w:rFonts w:ascii="Palatino Linotype" w:eastAsia="Tahoma" w:hAnsi="Palatino Linotype"/>
          <w:sz w:val="22"/>
          <w:szCs w:val="22"/>
        </w:rPr>
      </w:pPr>
      <w:r w:rsidRPr="00D33F7C">
        <w:rPr>
          <w:rFonts w:ascii="Palatino Linotype" w:eastAsia="Palatino Linotype" w:hAnsi="Palatino Linotype" w:cs="Palatino Linotype"/>
          <w:sz w:val="22"/>
          <w:szCs w:val="22"/>
        </w:rPr>
        <w:t xml:space="preserve">The monthly notional turnover in the equity derivatives segment at NSE increased by 17 per cent to </w:t>
      </w:r>
      <w:r w:rsidRPr="00D33F7C">
        <w:rPr>
          <w:rFonts w:ascii="Times New Roman" w:eastAsia="Palatino Linotype" w:hAnsi="Times New Roman"/>
          <w:sz w:val="22"/>
          <w:szCs w:val="22"/>
        </w:rPr>
        <w:t>₹</w:t>
      </w:r>
      <w:r w:rsidRPr="00D33F7C">
        <w:rPr>
          <w:rFonts w:ascii="Palatino Linotype" w:eastAsia="Palatino Linotype" w:hAnsi="Palatino Linotype" w:cs="Palatino Linotype"/>
          <w:sz w:val="22"/>
          <w:szCs w:val="22"/>
        </w:rPr>
        <w:t xml:space="preserve">1013 lakh crore in June 2021 from </w:t>
      </w:r>
      <w:r w:rsidRPr="00D33F7C">
        <w:rPr>
          <w:rFonts w:ascii="Times New Roman" w:eastAsia="Palatino Linotype" w:hAnsi="Times New Roman"/>
          <w:sz w:val="22"/>
          <w:szCs w:val="22"/>
        </w:rPr>
        <w:t>₹</w:t>
      </w:r>
      <w:r w:rsidRPr="00D33F7C">
        <w:rPr>
          <w:rFonts w:ascii="Palatino Linotype" w:eastAsia="Palatino Linotype" w:hAnsi="Palatino Linotype" w:cs="Palatino Linotype"/>
          <w:sz w:val="22"/>
          <w:szCs w:val="22"/>
        </w:rPr>
        <w:t xml:space="preserve">866.5 lakh crore in May 2021. </w:t>
      </w:r>
    </w:p>
    <w:p w14:paraId="4B291E57" w14:textId="77777777" w:rsidR="00D33F7C" w:rsidRPr="00D33F7C" w:rsidRDefault="00D33F7C" w:rsidP="00D33F7C">
      <w:pPr>
        <w:numPr>
          <w:ilvl w:val="0"/>
          <w:numId w:val="1"/>
        </w:numPr>
        <w:pBdr>
          <w:top w:val="nil"/>
          <w:left w:val="nil"/>
          <w:bottom w:val="nil"/>
          <w:right w:val="nil"/>
          <w:between w:val="nil"/>
        </w:pBdr>
        <w:spacing w:line="276" w:lineRule="auto"/>
        <w:jc w:val="both"/>
        <w:rPr>
          <w:rFonts w:ascii="Palatino Linotype" w:eastAsia="Tahoma" w:hAnsi="Palatino Linotype"/>
          <w:sz w:val="22"/>
          <w:szCs w:val="22"/>
        </w:rPr>
      </w:pPr>
      <w:r w:rsidRPr="00D33F7C">
        <w:rPr>
          <w:rFonts w:ascii="Palatino Linotype" w:eastAsia="Palatino Linotype" w:hAnsi="Palatino Linotype" w:cs="Palatino Linotype"/>
          <w:sz w:val="22"/>
          <w:szCs w:val="22"/>
        </w:rPr>
        <w:t xml:space="preserve">During the above period, </w:t>
      </w:r>
    </w:p>
    <w:p w14:paraId="037DDFC7" w14:textId="77777777" w:rsidR="00D33F7C" w:rsidRPr="00D33F7C" w:rsidRDefault="00D33F7C" w:rsidP="00D33F7C">
      <w:pPr>
        <w:pBdr>
          <w:top w:val="nil"/>
          <w:left w:val="nil"/>
          <w:bottom w:val="nil"/>
          <w:right w:val="nil"/>
          <w:between w:val="nil"/>
        </w:pBdr>
        <w:spacing w:line="276" w:lineRule="auto"/>
        <w:ind w:left="709"/>
        <w:jc w:val="both"/>
        <w:rPr>
          <w:rFonts w:ascii="Palatino Linotype" w:eastAsia="Tahoma" w:hAnsi="Palatino Linotype"/>
          <w:sz w:val="22"/>
          <w:szCs w:val="22"/>
        </w:rPr>
      </w:pPr>
      <w:r w:rsidRPr="00D33F7C">
        <w:rPr>
          <w:rFonts w:ascii="Palatino Linotype" w:eastAsia="Tahoma" w:hAnsi="Palatino Linotype"/>
          <w:sz w:val="22"/>
          <w:szCs w:val="22"/>
        </w:rPr>
        <w:t xml:space="preserve">(i) the notional turnover of index options increased by 17.3 per cent to </w:t>
      </w:r>
      <w:r w:rsidRPr="00D33F7C">
        <w:rPr>
          <w:rFonts w:ascii="Times New Roman" w:eastAsia="Tahoma" w:hAnsi="Times New Roman"/>
          <w:sz w:val="22"/>
          <w:szCs w:val="22"/>
        </w:rPr>
        <w:t>₹</w:t>
      </w:r>
      <w:r w:rsidRPr="00D33F7C">
        <w:rPr>
          <w:rFonts w:ascii="Palatino Linotype" w:eastAsia="Tahoma" w:hAnsi="Palatino Linotype"/>
          <w:sz w:val="22"/>
          <w:szCs w:val="22"/>
        </w:rPr>
        <w:t xml:space="preserve">945.8 lakh crore, and accounted for 93.3 per cent of the total equity derivatives turnover of NSE; </w:t>
      </w:r>
    </w:p>
    <w:p w14:paraId="0EFE858D" w14:textId="77777777" w:rsidR="00D33F7C" w:rsidRPr="00D33F7C" w:rsidRDefault="00D33F7C" w:rsidP="00D33F7C">
      <w:pPr>
        <w:pBdr>
          <w:top w:val="nil"/>
          <w:left w:val="nil"/>
          <w:bottom w:val="nil"/>
          <w:right w:val="nil"/>
          <w:between w:val="nil"/>
        </w:pBdr>
        <w:spacing w:line="276" w:lineRule="auto"/>
        <w:ind w:left="709"/>
        <w:jc w:val="both"/>
        <w:rPr>
          <w:rFonts w:ascii="Palatino Linotype" w:eastAsia="Tahoma" w:hAnsi="Palatino Linotype"/>
          <w:sz w:val="22"/>
          <w:szCs w:val="22"/>
        </w:rPr>
      </w:pPr>
      <w:r w:rsidRPr="00D33F7C">
        <w:rPr>
          <w:rFonts w:ascii="Palatino Linotype" w:eastAsia="Tahoma" w:hAnsi="Palatino Linotype"/>
          <w:sz w:val="22"/>
          <w:szCs w:val="22"/>
        </w:rPr>
        <w:t xml:space="preserve">(ii) the notional turnover of stock options increased by 22.6 per cent to </w:t>
      </w:r>
      <w:r w:rsidRPr="00D33F7C">
        <w:rPr>
          <w:rFonts w:ascii="Times New Roman" w:eastAsia="Tahoma" w:hAnsi="Times New Roman"/>
          <w:sz w:val="22"/>
          <w:szCs w:val="22"/>
        </w:rPr>
        <w:t>₹</w:t>
      </w:r>
      <w:r w:rsidRPr="00D33F7C">
        <w:rPr>
          <w:rFonts w:ascii="Palatino Linotype" w:eastAsia="Tahoma" w:hAnsi="Palatino Linotype"/>
          <w:sz w:val="22"/>
          <w:szCs w:val="22"/>
        </w:rPr>
        <w:t xml:space="preserve">44.7 lakh crore; </w:t>
      </w:r>
    </w:p>
    <w:p w14:paraId="555624CC" w14:textId="77777777" w:rsidR="00D33F7C" w:rsidRPr="00D33F7C" w:rsidRDefault="00D33F7C" w:rsidP="00D33F7C">
      <w:pPr>
        <w:pBdr>
          <w:top w:val="nil"/>
          <w:left w:val="nil"/>
          <w:bottom w:val="nil"/>
          <w:right w:val="nil"/>
          <w:between w:val="nil"/>
        </w:pBdr>
        <w:spacing w:line="276" w:lineRule="auto"/>
        <w:ind w:left="709"/>
        <w:jc w:val="both"/>
        <w:rPr>
          <w:rFonts w:ascii="Palatino Linotype" w:eastAsia="Tahoma" w:hAnsi="Palatino Linotype"/>
          <w:sz w:val="22"/>
          <w:szCs w:val="22"/>
        </w:rPr>
      </w:pPr>
      <w:r w:rsidRPr="00D33F7C">
        <w:rPr>
          <w:rFonts w:ascii="Palatino Linotype" w:eastAsia="Tahoma" w:hAnsi="Palatino Linotype"/>
          <w:sz w:val="22"/>
          <w:szCs w:val="22"/>
        </w:rPr>
        <w:t xml:space="preserve">(iii) the notional turnover of index futures decreased by 6.7 per cent to </w:t>
      </w:r>
      <w:r w:rsidRPr="00D33F7C">
        <w:rPr>
          <w:rFonts w:ascii="Times New Roman" w:eastAsia="Tahoma" w:hAnsi="Times New Roman"/>
          <w:sz w:val="22"/>
          <w:szCs w:val="22"/>
        </w:rPr>
        <w:t>₹</w:t>
      </w:r>
      <w:r w:rsidRPr="00D33F7C">
        <w:rPr>
          <w:rFonts w:ascii="Palatino Linotype" w:eastAsia="Tahoma" w:hAnsi="Palatino Linotype"/>
          <w:sz w:val="22"/>
          <w:szCs w:val="22"/>
        </w:rPr>
        <w:t xml:space="preserve">5.7 lakh crore; and </w:t>
      </w:r>
    </w:p>
    <w:p w14:paraId="64CE9740" w14:textId="77777777" w:rsidR="00D33F7C" w:rsidRPr="00D33F7C" w:rsidRDefault="00D33F7C" w:rsidP="00D33F7C">
      <w:pPr>
        <w:pBdr>
          <w:top w:val="nil"/>
          <w:left w:val="nil"/>
          <w:bottom w:val="nil"/>
          <w:right w:val="nil"/>
          <w:between w:val="nil"/>
        </w:pBdr>
        <w:spacing w:line="276" w:lineRule="auto"/>
        <w:ind w:left="709"/>
        <w:jc w:val="both"/>
        <w:rPr>
          <w:rFonts w:ascii="Palatino Linotype" w:eastAsia="Tahoma" w:hAnsi="Palatino Linotype"/>
          <w:sz w:val="22"/>
          <w:szCs w:val="22"/>
        </w:rPr>
      </w:pPr>
      <w:r w:rsidRPr="00D33F7C">
        <w:rPr>
          <w:rFonts w:ascii="Palatino Linotype" w:eastAsia="Tahoma" w:hAnsi="Palatino Linotype"/>
          <w:sz w:val="22"/>
          <w:szCs w:val="22"/>
        </w:rPr>
        <w:t xml:space="preserve">(iv) the notional turnover of stock futures increased by 1.9 per cent to </w:t>
      </w:r>
      <w:r w:rsidRPr="00D33F7C">
        <w:rPr>
          <w:rFonts w:ascii="Times New Roman" w:eastAsia="Tahoma" w:hAnsi="Times New Roman"/>
          <w:sz w:val="22"/>
          <w:szCs w:val="22"/>
        </w:rPr>
        <w:t>₹</w:t>
      </w:r>
      <w:r w:rsidRPr="00D33F7C">
        <w:rPr>
          <w:rFonts w:ascii="Palatino Linotype" w:eastAsia="Tahoma" w:hAnsi="Palatino Linotype"/>
          <w:sz w:val="22"/>
          <w:szCs w:val="22"/>
        </w:rPr>
        <w:t xml:space="preserve">17.7 lakh crore </w:t>
      </w:r>
    </w:p>
    <w:p w14:paraId="648D56BA" w14:textId="77777777" w:rsidR="00D33F7C" w:rsidRPr="00D33F7C" w:rsidRDefault="00D33F7C" w:rsidP="00D33F7C">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D33F7C">
        <w:rPr>
          <w:rFonts w:ascii="Palatino Linotype" w:eastAsia="Palatino Linotype" w:hAnsi="Palatino Linotype" w:cs="Palatino Linotype"/>
          <w:sz w:val="22"/>
          <w:szCs w:val="22"/>
        </w:rPr>
        <w:t xml:space="preserve">As at end of June 2021, the open interest in terms of value at NSE stood at </w:t>
      </w:r>
      <w:r w:rsidRPr="00D33F7C">
        <w:rPr>
          <w:rFonts w:ascii="Times New Roman" w:eastAsia="Palatino Linotype" w:hAnsi="Times New Roman"/>
          <w:sz w:val="22"/>
          <w:szCs w:val="22"/>
        </w:rPr>
        <w:t>₹</w:t>
      </w:r>
      <w:r w:rsidRPr="00D33F7C">
        <w:rPr>
          <w:rFonts w:ascii="Palatino Linotype" w:eastAsia="Palatino Linotype" w:hAnsi="Palatino Linotype" w:cs="Palatino Linotype"/>
          <w:sz w:val="22"/>
          <w:szCs w:val="22"/>
        </w:rPr>
        <w:t xml:space="preserve">7,02,714 crore compared to </w:t>
      </w:r>
      <w:r w:rsidRPr="00D33F7C">
        <w:rPr>
          <w:rFonts w:ascii="Tahoma" w:eastAsia="Palatino Linotype" w:hAnsi="Tahoma" w:cs="Tahoma"/>
          <w:sz w:val="22"/>
          <w:szCs w:val="22"/>
        </w:rPr>
        <w:t>₹</w:t>
      </w:r>
      <w:r w:rsidRPr="00D33F7C">
        <w:rPr>
          <w:rFonts w:ascii="Palatino Linotype" w:eastAsia="Palatino Linotype" w:hAnsi="Palatino Linotype" w:cs="Palatino Linotype"/>
          <w:sz w:val="22"/>
          <w:szCs w:val="22"/>
        </w:rPr>
        <w:t>6,10,233 crore in May 2021.</w:t>
      </w:r>
    </w:p>
    <w:p w14:paraId="1D450DAA" w14:textId="77777777" w:rsidR="00D33F7C" w:rsidRPr="00D33F7C" w:rsidRDefault="00D33F7C" w:rsidP="00D33F7C">
      <w:pPr>
        <w:pBdr>
          <w:top w:val="nil"/>
          <w:left w:val="nil"/>
          <w:bottom w:val="nil"/>
          <w:right w:val="nil"/>
          <w:between w:val="nil"/>
        </w:pBdr>
        <w:jc w:val="center"/>
        <w:rPr>
          <w:rFonts w:ascii="Palatino Linotype" w:eastAsia="Palatino Linotype" w:hAnsi="Palatino Linotype" w:cs="Palatino Linotype"/>
          <w:b/>
          <w:sz w:val="22"/>
          <w:szCs w:val="22"/>
          <w:highlight w:val="yellow"/>
        </w:rPr>
      </w:pPr>
    </w:p>
    <w:p w14:paraId="7D2A0267" w14:textId="77777777" w:rsidR="00D33F7C" w:rsidRPr="00D33F7C" w:rsidRDefault="00D33F7C" w:rsidP="00D33F7C">
      <w:pPr>
        <w:pBdr>
          <w:top w:val="nil"/>
          <w:left w:val="nil"/>
          <w:bottom w:val="nil"/>
          <w:right w:val="nil"/>
          <w:between w:val="nil"/>
        </w:pBdr>
        <w:rPr>
          <w:rFonts w:ascii="Palatino Linotype" w:eastAsia="Palatino Linotype" w:hAnsi="Palatino Linotype" w:cs="Palatino Linotype"/>
          <w:b/>
          <w:sz w:val="22"/>
          <w:szCs w:val="22"/>
        </w:rPr>
      </w:pPr>
      <w:r w:rsidRPr="00D33F7C">
        <w:rPr>
          <w:rFonts w:ascii="Palatino Linotype" w:eastAsia="Palatino Linotype" w:hAnsi="Palatino Linotype" w:cs="Palatino Linotype"/>
          <w:b/>
          <w:sz w:val="22"/>
          <w:szCs w:val="22"/>
        </w:rPr>
        <w:t xml:space="preserve">     Figure 6: Trends of Average Daily Notional Turnover at BSE and NSE (</w:t>
      </w:r>
      <w:r w:rsidRPr="00D33F7C">
        <w:rPr>
          <w:rFonts w:ascii="Arial" w:eastAsia="Palatino Linotype" w:hAnsi="Arial" w:cs="Arial"/>
          <w:b/>
          <w:sz w:val="20"/>
          <w:szCs w:val="22"/>
        </w:rPr>
        <w:t>₹</w:t>
      </w:r>
      <w:r w:rsidRPr="00D33F7C">
        <w:rPr>
          <w:rFonts w:ascii="Palatino Linotype" w:eastAsia="Palatino Linotype" w:hAnsi="Palatino Linotype" w:cs="Palatino Linotype"/>
          <w:b/>
          <w:sz w:val="22"/>
          <w:szCs w:val="22"/>
        </w:rPr>
        <w:t xml:space="preserve"> crore)</w:t>
      </w:r>
    </w:p>
    <w:p w14:paraId="4FAB2CD7" w14:textId="77777777" w:rsidR="00D33F7C" w:rsidRPr="00D33F7C" w:rsidRDefault="00D33F7C" w:rsidP="00D33F7C">
      <w:pPr>
        <w:pBdr>
          <w:top w:val="nil"/>
          <w:left w:val="nil"/>
          <w:bottom w:val="nil"/>
          <w:right w:val="nil"/>
          <w:between w:val="nil"/>
        </w:pBdr>
        <w:jc w:val="center"/>
        <w:rPr>
          <w:rFonts w:ascii="Palatino Linotype" w:eastAsia="Palatino Linotype" w:hAnsi="Palatino Linotype" w:cs="Palatino Linotype"/>
          <w:b/>
          <w:color w:val="2E74B5"/>
          <w:sz w:val="22"/>
          <w:szCs w:val="22"/>
        </w:rPr>
      </w:pPr>
      <w:r w:rsidRPr="00D33F7C">
        <w:rPr>
          <w:noProof/>
          <w:lang w:val="en-IN" w:eastAsia="en-IN" w:bidi="hi-IN"/>
        </w:rPr>
        <w:drawing>
          <wp:inline distT="0" distB="0" distL="0" distR="0" wp14:anchorId="597A18DE" wp14:editId="3C18E34D">
            <wp:extent cx="5305425" cy="2943225"/>
            <wp:effectExtent l="0" t="0" r="9525" b="9525"/>
            <wp:docPr id="22" name="Chart 22">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D33F7C">
        <w:rPr>
          <w:rFonts w:ascii="Palatino Linotype" w:eastAsia="Palatino Linotype" w:hAnsi="Palatino Linotype" w:cs="Palatino Linotype"/>
          <w:b/>
          <w:color w:val="2E74B5"/>
          <w:sz w:val="22"/>
          <w:szCs w:val="22"/>
        </w:rPr>
        <w:t>m</w:t>
      </w:r>
    </w:p>
    <w:p w14:paraId="74E42505" w14:textId="77777777" w:rsidR="00D33F7C" w:rsidRPr="00D33F7C" w:rsidRDefault="00D33F7C" w:rsidP="00D33F7C">
      <w:pPr>
        <w:spacing w:line="276" w:lineRule="auto"/>
        <w:rPr>
          <w:rFonts w:ascii="Palatino Linotype" w:eastAsia="Palatino Linotype" w:hAnsi="Palatino Linotype" w:cs="Palatino Linotype"/>
          <w:b/>
          <w:sz w:val="18"/>
          <w:szCs w:val="18"/>
        </w:rPr>
      </w:pPr>
      <w:r w:rsidRPr="00D33F7C">
        <w:rPr>
          <w:rFonts w:ascii="Palatino Linotype" w:eastAsia="Palatino Linotype" w:hAnsi="Palatino Linotype" w:cs="Palatino Linotype"/>
          <w:b/>
          <w:sz w:val="18"/>
          <w:szCs w:val="18"/>
        </w:rPr>
        <w:t xml:space="preserve">    Note: ADNT implies Average Daily Notional Turnover</w:t>
      </w:r>
    </w:p>
    <w:p w14:paraId="6F6D26C0" w14:textId="77777777" w:rsidR="00D33F7C" w:rsidRPr="00D33F7C" w:rsidRDefault="00D33F7C" w:rsidP="00D33F7C">
      <w:pPr>
        <w:spacing w:line="276" w:lineRule="auto"/>
        <w:rPr>
          <w:rFonts w:ascii="Palatino Linotype" w:eastAsia="Palatino Linotype" w:hAnsi="Palatino Linotype" w:cs="Palatino Linotype"/>
          <w:b/>
          <w:sz w:val="18"/>
          <w:szCs w:val="18"/>
        </w:rPr>
      </w:pPr>
      <w:r w:rsidRPr="00D33F7C">
        <w:rPr>
          <w:rFonts w:ascii="Palatino Linotype" w:eastAsia="Palatino Linotype" w:hAnsi="Palatino Linotype" w:cs="Palatino Linotype"/>
          <w:b/>
          <w:sz w:val="18"/>
          <w:szCs w:val="18"/>
        </w:rPr>
        <w:t xml:space="preserve">    Source: BSE and NSE</w:t>
      </w:r>
    </w:p>
    <w:p w14:paraId="4974905B" w14:textId="77777777" w:rsidR="00D33F7C" w:rsidRPr="00D33F7C" w:rsidRDefault="00D33F7C" w:rsidP="00D33F7C">
      <w:pPr>
        <w:pBdr>
          <w:top w:val="nil"/>
          <w:left w:val="nil"/>
          <w:bottom w:val="nil"/>
          <w:right w:val="nil"/>
          <w:between w:val="nil"/>
        </w:pBdr>
        <w:jc w:val="center"/>
        <w:rPr>
          <w:rFonts w:ascii="Palatino Linotype" w:eastAsia="Palatino Linotype" w:hAnsi="Palatino Linotype" w:cs="Palatino Linotype"/>
          <w:b/>
          <w:color w:val="2E74B5"/>
          <w:sz w:val="22"/>
          <w:szCs w:val="22"/>
        </w:rPr>
      </w:pPr>
    </w:p>
    <w:p w14:paraId="17D2CF99" w14:textId="77777777" w:rsidR="00D33F7C" w:rsidRPr="00D33F7C" w:rsidRDefault="00D33F7C" w:rsidP="00D33F7C">
      <w:pPr>
        <w:pBdr>
          <w:top w:val="nil"/>
          <w:left w:val="nil"/>
          <w:bottom w:val="nil"/>
          <w:right w:val="nil"/>
          <w:between w:val="nil"/>
        </w:pBdr>
        <w:jc w:val="center"/>
        <w:rPr>
          <w:rFonts w:ascii="Palatino Linotype" w:eastAsia="Palatino Linotype" w:hAnsi="Palatino Linotype" w:cs="Palatino Linotype"/>
          <w:b/>
          <w:color w:val="2E74B5"/>
          <w:sz w:val="22"/>
          <w:szCs w:val="22"/>
        </w:rPr>
      </w:pPr>
    </w:p>
    <w:p w14:paraId="0D72E093" w14:textId="185208E3" w:rsidR="00D33F7C" w:rsidRPr="00D33F7C" w:rsidRDefault="00D33F7C" w:rsidP="00D33F7C">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b/>
          <w:sz w:val="22"/>
          <w:szCs w:val="22"/>
        </w:rPr>
      </w:pPr>
      <w:r w:rsidRPr="00D33F7C">
        <w:rPr>
          <w:rFonts w:ascii="Palatino Linotype" w:eastAsia="Palatino Linotype" w:hAnsi="Palatino Linotype" w:cs="Palatino Linotype"/>
          <w:sz w:val="22"/>
          <w:szCs w:val="22"/>
        </w:rPr>
        <w:t xml:space="preserve">During June 2021, the share of weekly options (BSE and NSE together) to the total index options notional turnover (BSE and NSE together) stood at 75.0 per cent compared to 73.5 per cent in May 2021. The share of monthly options for both the exchanges to total index options notional turnover decreased to 24.6 per cent in June 2021 from 26.0 per cent in May 2021.  </w:t>
      </w:r>
    </w:p>
    <w:p w14:paraId="0B1E1F87" w14:textId="77777777" w:rsidR="00D33F7C" w:rsidRPr="00D33F7C" w:rsidRDefault="00D33F7C" w:rsidP="00D33F7C">
      <w:pPr>
        <w:pBdr>
          <w:top w:val="nil"/>
          <w:left w:val="nil"/>
          <w:bottom w:val="nil"/>
          <w:right w:val="nil"/>
          <w:between w:val="nil"/>
        </w:pBdr>
        <w:spacing w:line="276" w:lineRule="auto"/>
        <w:ind w:left="720"/>
        <w:jc w:val="both"/>
        <w:rPr>
          <w:rFonts w:ascii="Palatino Linotype" w:eastAsia="Palatino Linotype" w:hAnsi="Palatino Linotype" w:cs="Palatino Linotype"/>
          <w:b/>
          <w:sz w:val="22"/>
          <w:szCs w:val="22"/>
          <w:highlight w:val="yellow"/>
        </w:rPr>
      </w:pPr>
    </w:p>
    <w:p w14:paraId="1DAC3365" w14:textId="77777777" w:rsidR="00D33F7C" w:rsidRPr="00D33F7C" w:rsidRDefault="00D33F7C" w:rsidP="00D33F7C">
      <w:pPr>
        <w:pBdr>
          <w:top w:val="nil"/>
          <w:left w:val="nil"/>
          <w:bottom w:val="nil"/>
          <w:right w:val="nil"/>
          <w:between w:val="nil"/>
        </w:pBdr>
        <w:spacing w:line="276" w:lineRule="auto"/>
        <w:ind w:left="720"/>
        <w:jc w:val="both"/>
        <w:rPr>
          <w:rFonts w:ascii="Palatino Linotype" w:eastAsia="Palatino Linotype" w:hAnsi="Palatino Linotype" w:cs="Palatino Linotype"/>
          <w:b/>
          <w:sz w:val="22"/>
          <w:szCs w:val="22"/>
          <w:highlight w:val="yellow"/>
        </w:rPr>
      </w:pPr>
    </w:p>
    <w:p w14:paraId="723C69C1" w14:textId="77777777" w:rsidR="00D33F7C" w:rsidRPr="00D33F7C" w:rsidRDefault="00D33F7C" w:rsidP="00D33F7C">
      <w:pPr>
        <w:pBdr>
          <w:top w:val="nil"/>
          <w:left w:val="nil"/>
          <w:bottom w:val="nil"/>
          <w:right w:val="nil"/>
          <w:between w:val="nil"/>
        </w:pBdr>
        <w:spacing w:line="276" w:lineRule="auto"/>
        <w:ind w:left="720"/>
        <w:jc w:val="both"/>
        <w:rPr>
          <w:rFonts w:ascii="Palatino Linotype" w:eastAsia="Palatino Linotype" w:hAnsi="Palatino Linotype" w:cs="Palatino Linotype"/>
          <w:b/>
          <w:sz w:val="22"/>
          <w:szCs w:val="22"/>
          <w:highlight w:val="yellow"/>
        </w:rPr>
      </w:pPr>
    </w:p>
    <w:p w14:paraId="12B1F692" w14:textId="77777777" w:rsidR="00D33F7C" w:rsidRPr="00D33F7C" w:rsidRDefault="00D33F7C" w:rsidP="00D33F7C">
      <w:pPr>
        <w:jc w:val="center"/>
        <w:rPr>
          <w:rFonts w:ascii="Palatino Linotype" w:eastAsia="Palatino Linotype" w:hAnsi="Palatino Linotype" w:cs="Palatino Linotype"/>
          <w:b/>
          <w:sz w:val="22"/>
          <w:szCs w:val="22"/>
        </w:rPr>
      </w:pPr>
      <w:r w:rsidRPr="00D33F7C">
        <w:rPr>
          <w:rFonts w:ascii="Palatino Linotype" w:eastAsia="Palatino Linotype" w:hAnsi="Palatino Linotype" w:cs="Palatino Linotype"/>
          <w:b/>
          <w:sz w:val="22"/>
          <w:szCs w:val="22"/>
        </w:rPr>
        <w:lastRenderedPageBreak/>
        <w:t>Figure 7: Maturity-wise percentage Share of Total Index Options Turnover (per cent)</w:t>
      </w:r>
    </w:p>
    <w:p w14:paraId="504CF06B" w14:textId="77777777" w:rsidR="00D33F7C" w:rsidRPr="00D33F7C" w:rsidRDefault="00D33F7C" w:rsidP="00D33F7C">
      <w:pPr>
        <w:spacing w:line="276" w:lineRule="auto"/>
        <w:jc w:val="center"/>
        <w:rPr>
          <w:rFonts w:ascii="Palatino Linotype" w:eastAsia="Palatino Linotype" w:hAnsi="Palatino Linotype" w:cs="Palatino Linotype"/>
          <w:b/>
          <w:sz w:val="22"/>
          <w:szCs w:val="22"/>
          <w:highlight w:val="yellow"/>
        </w:rPr>
      </w:pPr>
      <w:r w:rsidRPr="00D33F7C">
        <w:rPr>
          <w:noProof/>
          <w:lang w:val="en-IN" w:eastAsia="en-IN" w:bidi="hi-IN"/>
        </w:rPr>
        <w:drawing>
          <wp:inline distT="0" distB="0" distL="0" distR="0" wp14:anchorId="21D4D4F8" wp14:editId="7CFAF952">
            <wp:extent cx="5286375" cy="2743200"/>
            <wp:effectExtent l="0" t="0" r="9525" b="0"/>
            <wp:docPr id="23" name="Chart 23">
              <a:extLst xmlns:a="http://schemas.openxmlformats.org/drawingml/2006/main">
                <a:ext uri="{FF2B5EF4-FFF2-40B4-BE49-F238E27FC236}">
                  <a16:creationId xmlns:a16="http://schemas.microsoft.com/office/drawing/2014/main" id="{00000000-0008-0000-0F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2B0073F" w14:textId="77777777" w:rsidR="00D33F7C" w:rsidRPr="00D33F7C" w:rsidRDefault="00D33F7C" w:rsidP="00D33F7C">
      <w:pPr>
        <w:spacing w:line="276" w:lineRule="auto"/>
        <w:rPr>
          <w:rFonts w:ascii="Palatino Linotype" w:eastAsia="Palatino Linotype" w:hAnsi="Palatino Linotype" w:cs="Palatino Linotype"/>
          <w:b/>
          <w:sz w:val="18"/>
          <w:szCs w:val="18"/>
        </w:rPr>
      </w:pPr>
      <w:r w:rsidRPr="00D33F7C">
        <w:rPr>
          <w:rFonts w:ascii="Palatino Linotype" w:eastAsia="Palatino Linotype" w:hAnsi="Palatino Linotype" w:cs="Palatino Linotype"/>
          <w:b/>
          <w:sz w:val="18"/>
          <w:szCs w:val="18"/>
        </w:rPr>
        <w:t xml:space="preserve">        Source: BSE and NSE</w:t>
      </w:r>
    </w:p>
    <w:p w14:paraId="2612D594" w14:textId="77777777" w:rsidR="00D33F7C" w:rsidRPr="00D33F7C" w:rsidRDefault="00D33F7C" w:rsidP="00D33F7C">
      <w:pPr>
        <w:spacing w:line="276" w:lineRule="auto"/>
        <w:rPr>
          <w:rFonts w:ascii="Palatino Linotype" w:eastAsia="Palatino Linotype" w:hAnsi="Palatino Linotype" w:cs="Palatino Linotype"/>
          <w:b/>
          <w:sz w:val="18"/>
          <w:szCs w:val="18"/>
        </w:rPr>
      </w:pPr>
    </w:p>
    <w:p w14:paraId="3B985280" w14:textId="77777777" w:rsidR="00D33F7C" w:rsidRPr="00D33F7C" w:rsidRDefault="00D33F7C" w:rsidP="00D33F7C">
      <w:pPr>
        <w:widowControl w:val="0"/>
        <w:numPr>
          <w:ilvl w:val="0"/>
          <w:numId w:val="3"/>
        </w:numPr>
        <w:spacing w:line="276" w:lineRule="auto"/>
        <w:ind w:left="567" w:hanging="567"/>
        <w:jc w:val="both"/>
        <w:rPr>
          <w:rFonts w:ascii="Palatino Linotype" w:eastAsia="Palatino Linotype" w:hAnsi="Palatino Linotype" w:cs="Palatino Linotype"/>
          <w:b/>
          <w:sz w:val="22"/>
          <w:szCs w:val="22"/>
        </w:rPr>
      </w:pPr>
      <w:r w:rsidRPr="00D33F7C">
        <w:rPr>
          <w:rFonts w:ascii="Palatino Linotype" w:eastAsia="Palatino Linotype" w:hAnsi="Palatino Linotype" w:cs="Palatino Linotype"/>
          <w:b/>
          <w:sz w:val="22"/>
          <w:szCs w:val="22"/>
        </w:rPr>
        <w:t xml:space="preserve">Currency Derivatives </w:t>
      </w:r>
    </w:p>
    <w:p w14:paraId="5DA1DA21" w14:textId="77777777" w:rsidR="00D33F7C" w:rsidRPr="00D33F7C" w:rsidRDefault="00D33F7C" w:rsidP="00D33F7C">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D33F7C">
        <w:rPr>
          <w:rFonts w:ascii="Palatino Linotype" w:eastAsia="Palatino Linotype" w:hAnsi="Palatino Linotype" w:cs="Palatino Linotype"/>
          <w:sz w:val="22"/>
          <w:szCs w:val="22"/>
        </w:rPr>
        <w:t xml:space="preserve">During June 2021, the monthly notional turnover of currency derivatives in India (NSE, BSE and MSEI together) stood at </w:t>
      </w:r>
      <w:r w:rsidRPr="00D33F7C">
        <w:rPr>
          <w:rFonts w:ascii="Times New Roman" w:eastAsia="Palatino Linotype" w:hAnsi="Times New Roman"/>
          <w:sz w:val="22"/>
          <w:szCs w:val="22"/>
        </w:rPr>
        <w:t>₹</w:t>
      </w:r>
      <w:r w:rsidRPr="00D33F7C">
        <w:rPr>
          <w:rFonts w:ascii="Palatino Linotype" w:eastAsia="Palatino Linotype" w:hAnsi="Palatino Linotype" w:cs="Palatino Linotype"/>
          <w:sz w:val="22"/>
          <w:szCs w:val="22"/>
        </w:rPr>
        <w:t xml:space="preserve">18,96,424 crore as compared to </w:t>
      </w:r>
      <w:r w:rsidRPr="00D33F7C">
        <w:rPr>
          <w:rFonts w:ascii="Times New Roman" w:eastAsia="Palatino Linotype" w:hAnsi="Times New Roman"/>
          <w:sz w:val="22"/>
          <w:szCs w:val="22"/>
        </w:rPr>
        <w:t>₹</w:t>
      </w:r>
      <w:r w:rsidRPr="00D33F7C">
        <w:rPr>
          <w:rFonts w:ascii="Palatino Linotype" w:eastAsia="Palatino Linotype" w:hAnsi="Palatino Linotype" w:cs="Palatino Linotype"/>
          <w:sz w:val="22"/>
          <w:szCs w:val="22"/>
        </w:rPr>
        <w:t>15,35,931 crore in May 2021, registering an increase of 23.5 per cent.</w:t>
      </w:r>
    </w:p>
    <w:p w14:paraId="253A17D4" w14:textId="77777777" w:rsidR="00D33F7C" w:rsidRPr="00D33F7C" w:rsidRDefault="00D33F7C" w:rsidP="00D33F7C">
      <w:pPr>
        <w:pBdr>
          <w:top w:val="nil"/>
          <w:left w:val="nil"/>
          <w:bottom w:val="nil"/>
          <w:right w:val="nil"/>
          <w:between w:val="nil"/>
        </w:pBdr>
        <w:spacing w:line="276" w:lineRule="auto"/>
        <w:jc w:val="both"/>
        <w:rPr>
          <w:rFonts w:ascii="Palatino Linotype" w:eastAsia="Palatino Linotype" w:hAnsi="Palatino Linotype" w:cs="Palatino Linotype"/>
          <w:sz w:val="22"/>
          <w:szCs w:val="22"/>
          <w:highlight w:val="yellow"/>
        </w:rPr>
      </w:pPr>
    </w:p>
    <w:p w14:paraId="40B0F2D0" w14:textId="77777777" w:rsidR="00D33F7C" w:rsidRPr="00D33F7C" w:rsidRDefault="00D33F7C" w:rsidP="00D33F7C">
      <w:pPr>
        <w:keepNext/>
        <w:pBdr>
          <w:top w:val="nil"/>
          <w:left w:val="nil"/>
          <w:bottom w:val="nil"/>
          <w:right w:val="nil"/>
          <w:between w:val="nil"/>
        </w:pBdr>
        <w:spacing w:line="276" w:lineRule="auto"/>
        <w:ind w:left="720" w:hanging="720"/>
        <w:jc w:val="center"/>
        <w:rPr>
          <w:rFonts w:ascii="Palatino Linotype" w:eastAsia="Palatino Linotype" w:hAnsi="Palatino Linotype" w:cs="Palatino Linotype"/>
          <w:b/>
          <w:sz w:val="22"/>
          <w:szCs w:val="22"/>
        </w:rPr>
      </w:pPr>
      <w:r w:rsidRPr="00D33F7C">
        <w:rPr>
          <w:rFonts w:ascii="Palatino Linotype" w:eastAsia="Palatino Linotype" w:hAnsi="Palatino Linotype" w:cs="Palatino Linotype"/>
          <w:b/>
          <w:sz w:val="22"/>
          <w:szCs w:val="22"/>
        </w:rPr>
        <w:t>Figure 8: Trends of Currency Derivatives at NSE, MSEI and BSE (</w:t>
      </w:r>
      <w:r w:rsidRPr="00D33F7C">
        <w:rPr>
          <w:rFonts w:ascii="Arial" w:eastAsia="Palatino Linotype" w:hAnsi="Arial" w:cs="Arial"/>
          <w:b/>
          <w:sz w:val="20"/>
          <w:szCs w:val="22"/>
        </w:rPr>
        <w:t>₹</w:t>
      </w:r>
      <w:r w:rsidRPr="00D33F7C">
        <w:rPr>
          <w:rFonts w:ascii="Palatino Linotype" w:eastAsia="Palatino Linotype" w:hAnsi="Palatino Linotype" w:cs="Palatino Linotype"/>
          <w:b/>
          <w:sz w:val="22"/>
          <w:szCs w:val="22"/>
        </w:rPr>
        <w:t xml:space="preserve"> crore)</w:t>
      </w:r>
    </w:p>
    <w:p w14:paraId="5F5FE463" w14:textId="77777777" w:rsidR="00D33F7C" w:rsidRPr="00D33F7C" w:rsidRDefault="00D33F7C" w:rsidP="00D33F7C">
      <w:pPr>
        <w:keepNext/>
        <w:pBdr>
          <w:top w:val="nil"/>
          <w:left w:val="nil"/>
          <w:bottom w:val="nil"/>
          <w:right w:val="nil"/>
          <w:between w:val="nil"/>
        </w:pBdr>
        <w:spacing w:line="276" w:lineRule="auto"/>
        <w:ind w:left="720" w:hanging="720"/>
        <w:jc w:val="center"/>
        <w:rPr>
          <w:rFonts w:ascii="Palatino Linotype" w:eastAsia="Palatino Linotype" w:hAnsi="Palatino Linotype" w:cs="Palatino Linotype"/>
          <w:b/>
          <w:color w:val="2E74B5"/>
          <w:sz w:val="22"/>
          <w:szCs w:val="22"/>
        </w:rPr>
      </w:pPr>
      <w:r w:rsidRPr="00D33F7C">
        <w:rPr>
          <w:noProof/>
          <w:lang w:val="en-IN" w:eastAsia="en-IN" w:bidi="hi-IN"/>
        </w:rPr>
        <w:drawing>
          <wp:inline distT="0" distB="0" distL="0" distR="0" wp14:anchorId="433BA6B7" wp14:editId="627791EC">
            <wp:extent cx="5286375" cy="2747963"/>
            <wp:effectExtent l="0" t="0" r="9525" b="14605"/>
            <wp:docPr id="24" name="Chart 24">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CC98719" w14:textId="77777777" w:rsidR="00D33F7C" w:rsidRPr="00D33F7C" w:rsidRDefault="00D33F7C" w:rsidP="00D33F7C">
      <w:pPr>
        <w:spacing w:line="276" w:lineRule="auto"/>
        <w:rPr>
          <w:rFonts w:ascii="Palatino Linotype" w:eastAsia="Palatino Linotype" w:hAnsi="Palatino Linotype" w:cs="Palatino Linotype"/>
          <w:b/>
          <w:sz w:val="18"/>
          <w:szCs w:val="18"/>
        </w:rPr>
      </w:pPr>
      <w:r w:rsidRPr="00D33F7C">
        <w:rPr>
          <w:rFonts w:ascii="Palatino Linotype" w:eastAsia="Palatino Linotype" w:hAnsi="Palatino Linotype" w:cs="Palatino Linotype"/>
          <w:b/>
          <w:sz w:val="18"/>
          <w:szCs w:val="18"/>
        </w:rPr>
        <w:t xml:space="preserve">           Source: BSE, NSE and MSEI </w:t>
      </w:r>
    </w:p>
    <w:p w14:paraId="5A50C1D1" w14:textId="77777777" w:rsidR="00D33F7C" w:rsidRPr="00D33F7C" w:rsidRDefault="00D33F7C" w:rsidP="00D33F7C">
      <w:pPr>
        <w:spacing w:line="276" w:lineRule="auto"/>
        <w:rPr>
          <w:rFonts w:ascii="Palatino Linotype" w:eastAsia="Palatino Linotype" w:hAnsi="Palatino Linotype" w:cs="Palatino Linotype"/>
          <w:b/>
          <w:sz w:val="18"/>
          <w:szCs w:val="18"/>
        </w:rPr>
      </w:pPr>
    </w:p>
    <w:p w14:paraId="672852F4" w14:textId="77777777" w:rsidR="00D33F7C" w:rsidRPr="00D33F7C" w:rsidRDefault="00D33F7C" w:rsidP="00D33F7C">
      <w:pPr>
        <w:spacing w:line="276" w:lineRule="auto"/>
        <w:rPr>
          <w:rFonts w:ascii="Palatino Linotype" w:eastAsia="Palatino Linotype" w:hAnsi="Palatino Linotype" w:cs="Palatino Linotype"/>
          <w:b/>
          <w:sz w:val="18"/>
          <w:szCs w:val="18"/>
        </w:rPr>
      </w:pPr>
    </w:p>
    <w:p w14:paraId="1103474A" w14:textId="77777777" w:rsidR="00D33F7C" w:rsidRPr="00D33F7C" w:rsidRDefault="00D33F7C" w:rsidP="00D33F7C">
      <w:pPr>
        <w:widowControl w:val="0"/>
        <w:numPr>
          <w:ilvl w:val="0"/>
          <w:numId w:val="3"/>
        </w:numPr>
        <w:spacing w:line="276" w:lineRule="auto"/>
        <w:ind w:left="567" w:hanging="567"/>
        <w:jc w:val="both"/>
        <w:rPr>
          <w:rFonts w:ascii="Palatino Linotype" w:eastAsia="Palatino Linotype" w:hAnsi="Palatino Linotype" w:cs="Palatino Linotype"/>
          <w:b/>
          <w:sz w:val="22"/>
          <w:szCs w:val="22"/>
        </w:rPr>
      </w:pPr>
      <w:r w:rsidRPr="00D33F7C">
        <w:rPr>
          <w:rFonts w:ascii="Palatino Linotype" w:eastAsia="Palatino Linotype" w:hAnsi="Palatino Linotype" w:cs="Palatino Linotype"/>
          <w:b/>
          <w:sz w:val="22"/>
          <w:szCs w:val="22"/>
        </w:rPr>
        <w:t xml:space="preserve">Interest Rate Derivatives </w:t>
      </w:r>
    </w:p>
    <w:p w14:paraId="45D2A3E5" w14:textId="77777777" w:rsidR="00D33F7C" w:rsidRPr="00D33F7C" w:rsidRDefault="00D33F7C" w:rsidP="00D33F7C">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D33F7C">
        <w:rPr>
          <w:rFonts w:ascii="Palatino Linotype" w:eastAsia="Palatino Linotype" w:hAnsi="Palatino Linotype" w:cs="Palatino Linotype"/>
          <w:sz w:val="22"/>
          <w:szCs w:val="22"/>
        </w:rPr>
        <w:t xml:space="preserve">During June 2021, the monthly notional turnover of interest rate derivatives at NSE decreased by 30.1 per cent to </w:t>
      </w:r>
      <w:r w:rsidRPr="00D33F7C">
        <w:rPr>
          <w:rFonts w:ascii="Times New Roman" w:eastAsia="Palatino Linotype" w:hAnsi="Times New Roman"/>
          <w:sz w:val="22"/>
          <w:szCs w:val="22"/>
        </w:rPr>
        <w:t>₹</w:t>
      </w:r>
      <w:r w:rsidRPr="00D33F7C">
        <w:rPr>
          <w:rFonts w:ascii="Palatino Linotype" w:eastAsia="Palatino Linotype" w:hAnsi="Palatino Linotype" w:cs="Palatino Linotype"/>
          <w:sz w:val="22"/>
          <w:szCs w:val="22"/>
        </w:rPr>
        <w:t xml:space="preserve">1,966 crore from </w:t>
      </w:r>
      <w:r w:rsidRPr="00D33F7C">
        <w:rPr>
          <w:rFonts w:ascii="Times New Roman" w:eastAsia="Palatino Linotype" w:hAnsi="Times New Roman"/>
          <w:sz w:val="22"/>
          <w:szCs w:val="22"/>
        </w:rPr>
        <w:t>₹</w:t>
      </w:r>
      <w:r w:rsidRPr="00D33F7C">
        <w:rPr>
          <w:rFonts w:ascii="Palatino Linotype" w:eastAsia="Palatino Linotype" w:hAnsi="Palatino Linotype" w:cs="Palatino Linotype"/>
          <w:sz w:val="22"/>
          <w:szCs w:val="22"/>
        </w:rPr>
        <w:t xml:space="preserve">2,811 crore during May 2021. </w:t>
      </w:r>
    </w:p>
    <w:p w14:paraId="3CE66301" w14:textId="77777777" w:rsidR="00D33F7C" w:rsidRPr="00D33F7C" w:rsidRDefault="00D33F7C" w:rsidP="00D33F7C">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D33F7C">
        <w:rPr>
          <w:rFonts w:ascii="Palatino Linotype" w:eastAsia="Palatino Linotype" w:hAnsi="Palatino Linotype" w:cs="Palatino Linotype"/>
          <w:sz w:val="22"/>
          <w:szCs w:val="22"/>
        </w:rPr>
        <w:t xml:space="preserve">The monthly notional turnover of interest rate futures at BSE increased by 37.3 percent to </w:t>
      </w:r>
      <w:r w:rsidRPr="00D33F7C">
        <w:rPr>
          <w:rFonts w:ascii="Times New Roman" w:eastAsia="Palatino Linotype" w:hAnsi="Times New Roman"/>
          <w:sz w:val="22"/>
          <w:szCs w:val="22"/>
        </w:rPr>
        <w:t>₹</w:t>
      </w:r>
      <w:r w:rsidRPr="00D33F7C">
        <w:rPr>
          <w:rFonts w:ascii="Palatino Linotype" w:eastAsia="Palatino Linotype" w:hAnsi="Palatino Linotype" w:cs="Palatino Linotype"/>
          <w:sz w:val="22"/>
          <w:szCs w:val="22"/>
        </w:rPr>
        <w:t xml:space="preserve">3,124 crore from </w:t>
      </w:r>
      <w:r w:rsidRPr="00D33F7C">
        <w:rPr>
          <w:rFonts w:ascii="Times New Roman" w:eastAsia="Palatino Linotype" w:hAnsi="Times New Roman"/>
          <w:sz w:val="22"/>
          <w:szCs w:val="22"/>
        </w:rPr>
        <w:t>₹</w:t>
      </w:r>
      <w:r w:rsidRPr="00D33F7C">
        <w:rPr>
          <w:rFonts w:ascii="Palatino Linotype" w:eastAsia="Palatino Linotype" w:hAnsi="Palatino Linotype" w:cs="Palatino Linotype"/>
          <w:sz w:val="22"/>
          <w:szCs w:val="22"/>
        </w:rPr>
        <w:t xml:space="preserve">2,276 </w:t>
      </w:r>
      <w:r w:rsidRPr="00D33F7C">
        <w:rPr>
          <w:rFonts w:ascii="Times New Roman" w:eastAsia="Palatino Linotype" w:hAnsi="Times New Roman"/>
          <w:sz w:val="22"/>
          <w:szCs w:val="22"/>
        </w:rPr>
        <w:t xml:space="preserve">crore </w:t>
      </w:r>
      <w:r w:rsidRPr="00D33F7C">
        <w:rPr>
          <w:rFonts w:ascii="Palatino Linotype" w:eastAsia="Palatino Linotype" w:hAnsi="Palatino Linotype" w:cs="Palatino Linotype"/>
          <w:sz w:val="22"/>
          <w:szCs w:val="22"/>
        </w:rPr>
        <w:t xml:space="preserve">during the same period. </w:t>
      </w:r>
    </w:p>
    <w:p w14:paraId="6D70FCE5" w14:textId="77777777" w:rsidR="00D33F7C" w:rsidRPr="00D33F7C" w:rsidRDefault="00D33F7C" w:rsidP="00D33F7C">
      <w:pPr>
        <w:rPr>
          <w:rFonts w:ascii="Palatino Linotype" w:eastAsia="Palatino Linotype" w:hAnsi="Palatino Linotype" w:cs="Palatino Linotype"/>
          <w:b/>
          <w:color w:val="2E74B5"/>
          <w:sz w:val="22"/>
          <w:szCs w:val="22"/>
          <w:highlight w:val="yellow"/>
        </w:rPr>
      </w:pPr>
    </w:p>
    <w:p w14:paraId="22A2CDBC" w14:textId="77777777" w:rsidR="00D33F7C" w:rsidRPr="00D33F7C" w:rsidRDefault="00D33F7C" w:rsidP="00D33F7C">
      <w:pPr>
        <w:pBdr>
          <w:top w:val="nil"/>
          <w:left w:val="nil"/>
          <w:bottom w:val="nil"/>
          <w:right w:val="nil"/>
          <w:between w:val="nil"/>
        </w:pBdr>
        <w:spacing w:line="276" w:lineRule="auto"/>
        <w:jc w:val="center"/>
        <w:rPr>
          <w:rFonts w:ascii="Palatino Linotype" w:eastAsia="Palatino Linotype" w:hAnsi="Palatino Linotype" w:cs="Palatino Linotype"/>
          <w:b/>
          <w:sz w:val="22"/>
          <w:szCs w:val="22"/>
        </w:rPr>
      </w:pPr>
      <w:r w:rsidRPr="00D33F7C">
        <w:rPr>
          <w:rFonts w:ascii="Palatino Linotype" w:eastAsia="Palatino Linotype" w:hAnsi="Palatino Linotype" w:cs="Palatino Linotype"/>
          <w:b/>
          <w:sz w:val="22"/>
          <w:szCs w:val="22"/>
        </w:rPr>
        <w:lastRenderedPageBreak/>
        <w:t>Figure 9: Trends of Interest Rate Futures at NSE and BSE</w:t>
      </w:r>
    </w:p>
    <w:p w14:paraId="5ABB788A" w14:textId="77777777" w:rsidR="00D33F7C" w:rsidRPr="00D33F7C" w:rsidRDefault="00D33F7C" w:rsidP="00D33F7C">
      <w:pPr>
        <w:rPr>
          <w:rFonts w:ascii="Palatino Linotype" w:eastAsia="Palatino Linotype" w:hAnsi="Palatino Linotype" w:cs="Palatino Linotype"/>
          <w:b/>
          <w:sz w:val="18"/>
          <w:szCs w:val="18"/>
        </w:rPr>
      </w:pPr>
      <w:r w:rsidRPr="00D33F7C">
        <w:rPr>
          <w:rFonts w:ascii="Palatino Linotype" w:eastAsia="Palatino Linotype" w:hAnsi="Palatino Linotype" w:cs="Palatino Linotype"/>
          <w:b/>
          <w:sz w:val="18"/>
          <w:szCs w:val="18"/>
        </w:rPr>
        <w:t xml:space="preserve">     </w:t>
      </w:r>
      <w:r w:rsidRPr="00D33F7C">
        <w:rPr>
          <w:noProof/>
          <w:lang w:val="en-IN" w:eastAsia="en-IN" w:bidi="hi-IN"/>
        </w:rPr>
        <w:drawing>
          <wp:inline distT="0" distB="0" distL="0" distR="0" wp14:anchorId="2025E39A" wp14:editId="68994EC1">
            <wp:extent cx="5219700" cy="2557463"/>
            <wp:effectExtent l="0" t="0" r="0" b="14605"/>
            <wp:docPr id="25" name="Chart 25">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50C3EC4" w14:textId="77777777" w:rsidR="00D33F7C" w:rsidRPr="00D33F7C" w:rsidRDefault="00D33F7C" w:rsidP="00D33F7C">
      <w:pPr>
        <w:rPr>
          <w:rFonts w:ascii="Palatino Linotype" w:eastAsia="Palatino Linotype" w:hAnsi="Palatino Linotype" w:cs="Palatino Linotype"/>
          <w:b/>
          <w:sz w:val="18"/>
          <w:szCs w:val="18"/>
        </w:rPr>
      </w:pPr>
      <w:r w:rsidRPr="00D33F7C">
        <w:rPr>
          <w:rFonts w:ascii="Palatino Linotype" w:eastAsia="Palatino Linotype" w:hAnsi="Palatino Linotype" w:cs="Palatino Linotype"/>
          <w:b/>
          <w:sz w:val="18"/>
          <w:szCs w:val="18"/>
        </w:rPr>
        <w:t xml:space="preserve">     Source: BSE and NSE </w:t>
      </w:r>
    </w:p>
    <w:p w14:paraId="21D0CFFA" w14:textId="77777777" w:rsidR="00D33F7C" w:rsidRPr="00D33F7C" w:rsidRDefault="00D33F7C" w:rsidP="00D33F7C">
      <w:pPr>
        <w:rPr>
          <w:rFonts w:ascii="Palatino Linotype" w:eastAsia="Palatino Linotype" w:hAnsi="Palatino Linotype" w:cs="Palatino Linotype"/>
          <w:b/>
          <w:sz w:val="18"/>
          <w:szCs w:val="18"/>
        </w:rPr>
      </w:pPr>
    </w:p>
    <w:p w14:paraId="62C77D70" w14:textId="77777777" w:rsidR="00D33F7C" w:rsidRPr="00D33F7C" w:rsidRDefault="00D33F7C" w:rsidP="00D33F7C">
      <w:pPr>
        <w:widowControl w:val="0"/>
        <w:numPr>
          <w:ilvl w:val="0"/>
          <w:numId w:val="2"/>
        </w:numPr>
        <w:spacing w:line="276" w:lineRule="auto"/>
        <w:ind w:left="454" w:hanging="454"/>
        <w:rPr>
          <w:rFonts w:ascii="Palatino Linotype" w:eastAsia="Palatino Linotype" w:hAnsi="Palatino Linotype" w:cs="Palatino Linotype"/>
          <w:b/>
          <w:sz w:val="22"/>
          <w:szCs w:val="22"/>
        </w:rPr>
      </w:pPr>
      <w:r w:rsidRPr="00D33F7C">
        <w:rPr>
          <w:rFonts w:ascii="Palatino Linotype" w:eastAsia="Palatino Linotype" w:hAnsi="Palatino Linotype" w:cs="Palatino Linotype"/>
          <w:b/>
          <w:sz w:val="22"/>
          <w:szCs w:val="22"/>
        </w:rPr>
        <w:t>Trading in Corporate Debt Market</w:t>
      </w:r>
    </w:p>
    <w:p w14:paraId="1A2426CE" w14:textId="77777777" w:rsidR="00D33F7C" w:rsidRPr="00D33F7C" w:rsidRDefault="00D33F7C" w:rsidP="00D33F7C">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D33F7C">
        <w:rPr>
          <w:rFonts w:ascii="Palatino Linotype" w:eastAsia="Palatino Linotype" w:hAnsi="Palatino Linotype" w:cs="Palatino Linotype"/>
          <w:sz w:val="22"/>
          <w:szCs w:val="22"/>
        </w:rPr>
        <w:t xml:space="preserve">During June 2021, BSE registered 8,007 trades of corporate debt with traded value of </w:t>
      </w:r>
      <w:r w:rsidRPr="00D33F7C">
        <w:rPr>
          <w:rFonts w:ascii="Times New Roman" w:eastAsia="Palatino Linotype" w:hAnsi="Times New Roman"/>
          <w:sz w:val="22"/>
          <w:szCs w:val="22"/>
        </w:rPr>
        <w:t>₹</w:t>
      </w:r>
      <w:r w:rsidRPr="00D33F7C">
        <w:rPr>
          <w:rFonts w:ascii="Palatino Linotype" w:eastAsia="Palatino Linotype" w:hAnsi="Palatino Linotype" w:cs="Palatino Linotype"/>
          <w:sz w:val="22"/>
          <w:szCs w:val="22"/>
        </w:rPr>
        <w:t xml:space="preserve">61,391 crore, as compared to 6,259 trades with traded value of </w:t>
      </w:r>
      <w:r w:rsidRPr="00D33F7C">
        <w:rPr>
          <w:rFonts w:ascii="Times New Roman" w:eastAsia="Palatino Linotype" w:hAnsi="Times New Roman"/>
          <w:sz w:val="22"/>
          <w:szCs w:val="22"/>
        </w:rPr>
        <w:t>₹</w:t>
      </w:r>
      <w:r w:rsidRPr="00D33F7C">
        <w:rPr>
          <w:rFonts w:ascii="Palatino Linotype" w:eastAsia="Palatino Linotype" w:hAnsi="Palatino Linotype" w:cs="Palatino Linotype"/>
          <w:sz w:val="22"/>
          <w:szCs w:val="22"/>
        </w:rPr>
        <w:t xml:space="preserve">54,136 crore in the previous month.  </w:t>
      </w:r>
    </w:p>
    <w:p w14:paraId="77F15CA3" w14:textId="77777777" w:rsidR="00D33F7C" w:rsidRPr="00D33F7C" w:rsidRDefault="00D33F7C" w:rsidP="00D33F7C">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D33F7C">
        <w:rPr>
          <w:rFonts w:ascii="Palatino Linotype" w:eastAsia="Palatino Linotype" w:hAnsi="Palatino Linotype" w:cs="Palatino Linotype"/>
          <w:sz w:val="22"/>
          <w:szCs w:val="22"/>
        </w:rPr>
        <w:t xml:space="preserve">At NSE, 5,665 trades were recorded with a traded value of </w:t>
      </w:r>
      <w:r w:rsidRPr="00D33F7C">
        <w:rPr>
          <w:rFonts w:ascii="Times New Roman" w:eastAsia="Palatino Linotype" w:hAnsi="Times New Roman"/>
          <w:sz w:val="22"/>
          <w:szCs w:val="22"/>
        </w:rPr>
        <w:t>₹</w:t>
      </w:r>
      <w:r w:rsidRPr="00D33F7C">
        <w:rPr>
          <w:rFonts w:ascii="Palatino Linotype" w:eastAsia="Palatino Linotype" w:hAnsi="Palatino Linotype" w:cs="Palatino Linotype"/>
          <w:sz w:val="22"/>
          <w:szCs w:val="22"/>
        </w:rPr>
        <w:t xml:space="preserve">91,924 crore in June 2021 as compared to 4,925 trades were recorded with a traded value of </w:t>
      </w:r>
      <w:r w:rsidRPr="00D33F7C">
        <w:rPr>
          <w:rFonts w:ascii="Times New Roman" w:eastAsia="Palatino Linotype" w:hAnsi="Times New Roman"/>
          <w:sz w:val="22"/>
          <w:szCs w:val="22"/>
        </w:rPr>
        <w:t>₹</w:t>
      </w:r>
      <w:r w:rsidRPr="00D33F7C">
        <w:rPr>
          <w:rFonts w:ascii="Palatino Linotype" w:eastAsia="Palatino Linotype" w:hAnsi="Palatino Linotype" w:cs="Palatino Linotype"/>
          <w:sz w:val="22"/>
          <w:szCs w:val="22"/>
        </w:rPr>
        <w:t xml:space="preserve">79,924 crore in May 2021. </w:t>
      </w:r>
    </w:p>
    <w:p w14:paraId="017BD513" w14:textId="77777777" w:rsidR="00D33F7C" w:rsidRPr="00D33F7C" w:rsidRDefault="00D33F7C" w:rsidP="00D33F7C">
      <w:pPr>
        <w:pBdr>
          <w:top w:val="nil"/>
          <w:left w:val="nil"/>
          <w:bottom w:val="nil"/>
          <w:right w:val="nil"/>
          <w:between w:val="nil"/>
        </w:pBdr>
        <w:spacing w:line="276" w:lineRule="auto"/>
        <w:ind w:left="720" w:hanging="720"/>
        <w:rPr>
          <w:rFonts w:ascii="Palatino Linotype" w:eastAsia="Palatino Linotype" w:hAnsi="Palatino Linotype" w:cs="Palatino Linotype"/>
          <w:b/>
          <w:color w:val="2E74B5"/>
          <w:sz w:val="22"/>
          <w:szCs w:val="22"/>
          <w:highlight w:val="yellow"/>
        </w:rPr>
      </w:pPr>
    </w:p>
    <w:p w14:paraId="06A9F71F" w14:textId="77777777" w:rsidR="00D33F7C" w:rsidRPr="00D33F7C" w:rsidRDefault="00D33F7C" w:rsidP="00D33F7C">
      <w:pPr>
        <w:pBdr>
          <w:top w:val="nil"/>
          <w:left w:val="nil"/>
          <w:bottom w:val="nil"/>
          <w:right w:val="nil"/>
          <w:between w:val="nil"/>
        </w:pBdr>
        <w:spacing w:line="276" w:lineRule="auto"/>
        <w:ind w:left="720" w:hanging="720"/>
        <w:jc w:val="center"/>
        <w:rPr>
          <w:rFonts w:ascii="Palatino Linotype" w:eastAsia="Palatino Linotype" w:hAnsi="Palatino Linotype" w:cs="Palatino Linotype"/>
          <w:b/>
          <w:sz w:val="22"/>
          <w:szCs w:val="22"/>
        </w:rPr>
      </w:pPr>
      <w:r w:rsidRPr="00D33F7C">
        <w:rPr>
          <w:rFonts w:ascii="Palatino Linotype" w:eastAsia="Palatino Linotype" w:hAnsi="Palatino Linotype" w:cs="Palatino Linotype"/>
          <w:b/>
          <w:sz w:val="22"/>
          <w:szCs w:val="22"/>
        </w:rPr>
        <w:t>Figure 10: Trends in Reported Turnover of Corporate Bonds (</w:t>
      </w:r>
      <w:r w:rsidRPr="00D33F7C">
        <w:rPr>
          <w:rFonts w:ascii="Arial" w:eastAsia="Palatino Linotype" w:hAnsi="Arial" w:cs="Arial"/>
          <w:b/>
          <w:sz w:val="20"/>
          <w:szCs w:val="22"/>
        </w:rPr>
        <w:t>₹</w:t>
      </w:r>
      <w:r w:rsidRPr="00D33F7C">
        <w:rPr>
          <w:rFonts w:ascii="Palatino Linotype" w:eastAsia="Palatino Linotype" w:hAnsi="Palatino Linotype" w:cs="Palatino Linotype"/>
          <w:b/>
          <w:sz w:val="22"/>
          <w:szCs w:val="22"/>
        </w:rPr>
        <w:t xml:space="preserve"> crore)</w:t>
      </w:r>
    </w:p>
    <w:p w14:paraId="417A2319" w14:textId="77777777" w:rsidR="00D33F7C" w:rsidRPr="00D33F7C" w:rsidRDefault="00D33F7C" w:rsidP="00D33F7C">
      <w:pPr>
        <w:pBdr>
          <w:top w:val="nil"/>
          <w:left w:val="nil"/>
          <w:bottom w:val="nil"/>
          <w:right w:val="nil"/>
          <w:between w:val="nil"/>
        </w:pBdr>
        <w:spacing w:line="276" w:lineRule="auto"/>
        <w:ind w:left="720" w:hanging="720"/>
        <w:jc w:val="center"/>
        <w:rPr>
          <w:rFonts w:ascii="Palatino Linotype" w:eastAsia="Palatino Linotype" w:hAnsi="Palatino Linotype" w:cs="Palatino Linotype"/>
          <w:b/>
          <w:color w:val="2E74B5"/>
          <w:sz w:val="22"/>
          <w:szCs w:val="22"/>
        </w:rPr>
      </w:pPr>
      <w:r w:rsidRPr="00D33F7C">
        <w:rPr>
          <w:noProof/>
          <w:lang w:val="en-IN" w:eastAsia="en-IN" w:bidi="hi-IN"/>
        </w:rPr>
        <w:drawing>
          <wp:inline distT="0" distB="0" distL="0" distR="0" wp14:anchorId="5C6F2AB6" wp14:editId="2FC677D6">
            <wp:extent cx="4572000" cy="2743200"/>
            <wp:effectExtent l="0" t="0" r="0" b="0"/>
            <wp:docPr id="32" name="Chart 32">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5A15C52" w14:textId="77777777" w:rsidR="00D33F7C" w:rsidRPr="00D33F7C" w:rsidRDefault="00D33F7C" w:rsidP="00D33F7C">
      <w:pPr>
        <w:rPr>
          <w:rFonts w:ascii="Palatino Linotype" w:eastAsia="Palatino Linotype" w:hAnsi="Palatino Linotype" w:cs="Palatino Linotype"/>
          <w:b/>
          <w:sz w:val="18"/>
          <w:szCs w:val="18"/>
        </w:rPr>
      </w:pPr>
      <w:r w:rsidRPr="00D33F7C">
        <w:rPr>
          <w:rFonts w:ascii="Palatino Linotype" w:eastAsia="Palatino Linotype" w:hAnsi="Palatino Linotype" w:cs="Palatino Linotype"/>
          <w:b/>
          <w:sz w:val="18"/>
          <w:szCs w:val="18"/>
        </w:rPr>
        <w:t xml:space="preserve">  Source: BSE and NSE </w:t>
      </w:r>
    </w:p>
    <w:p w14:paraId="1A5F6F09" w14:textId="77777777" w:rsidR="00D33F7C" w:rsidRPr="00D33F7C" w:rsidRDefault="00D33F7C" w:rsidP="00D33F7C">
      <w:pPr>
        <w:pBdr>
          <w:top w:val="nil"/>
          <w:left w:val="nil"/>
          <w:bottom w:val="nil"/>
          <w:right w:val="nil"/>
          <w:between w:val="nil"/>
        </w:pBdr>
        <w:spacing w:line="276" w:lineRule="auto"/>
        <w:ind w:left="720" w:hanging="720"/>
        <w:jc w:val="center"/>
        <w:rPr>
          <w:rFonts w:ascii="Palatino Linotype" w:eastAsia="Palatino Linotype" w:hAnsi="Palatino Linotype" w:cs="Palatino Linotype"/>
          <w:b/>
          <w:color w:val="2E74B5"/>
          <w:sz w:val="22"/>
          <w:szCs w:val="22"/>
          <w:highlight w:val="yellow"/>
        </w:rPr>
      </w:pPr>
    </w:p>
    <w:p w14:paraId="5A337D6A" w14:textId="77777777" w:rsidR="00D33F7C" w:rsidRPr="00D33F7C" w:rsidRDefault="00D33F7C" w:rsidP="00D33F7C">
      <w:pPr>
        <w:widowControl w:val="0"/>
        <w:spacing w:line="276" w:lineRule="auto"/>
        <w:ind w:left="720"/>
        <w:contextualSpacing/>
        <w:jc w:val="both"/>
        <w:rPr>
          <w:rFonts w:ascii="Palatino Linotype" w:hAnsi="Palatino Linotype"/>
          <w:b/>
          <w:color w:val="2E74B5"/>
          <w:sz w:val="22"/>
          <w:szCs w:val="22"/>
        </w:rPr>
      </w:pPr>
    </w:p>
    <w:p w14:paraId="045F40D9" w14:textId="77777777" w:rsidR="00D33F7C" w:rsidRPr="00D33F7C" w:rsidRDefault="00D33F7C" w:rsidP="00D33F7C">
      <w:pPr>
        <w:widowControl w:val="0"/>
        <w:numPr>
          <w:ilvl w:val="0"/>
          <w:numId w:val="2"/>
        </w:numPr>
        <w:spacing w:line="276" w:lineRule="auto"/>
        <w:ind w:left="567" w:hanging="567"/>
        <w:rPr>
          <w:rFonts w:ascii="Palatino Linotype" w:eastAsia="Palatino Linotype" w:hAnsi="Palatino Linotype" w:cs="Palatino Linotype"/>
          <w:b/>
          <w:sz w:val="22"/>
          <w:szCs w:val="22"/>
        </w:rPr>
      </w:pPr>
      <w:r w:rsidRPr="00D33F7C">
        <w:rPr>
          <w:rFonts w:ascii="Palatino Linotype" w:eastAsia="Palatino Linotype" w:hAnsi="Palatino Linotype" w:cs="Palatino Linotype"/>
          <w:b/>
          <w:sz w:val="22"/>
          <w:szCs w:val="22"/>
        </w:rPr>
        <w:t>Trends in Institutional Investments</w:t>
      </w:r>
    </w:p>
    <w:p w14:paraId="5547898A" w14:textId="77777777" w:rsidR="00D33F7C" w:rsidRPr="00D33F7C" w:rsidRDefault="00D33F7C" w:rsidP="00D33F7C">
      <w:pPr>
        <w:widowControl w:val="0"/>
        <w:spacing w:line="276" w:lineRule="auto"/>
        <w:ind w:left="720"/>
        <w:jc w:val="both"/>
        <w:rPr>
          <w:rFonts w:ascii="Palatino Linotype" w:eastAsia="Palatino Linotype" w:hAnsi="Palatino Linotype" w:cs="Palatino Linotype"/>
          <w:b/>
          <w:sz w:val="22"/>
          <w:szCs w:val="22"/>
          <w:highlight w:val="yellow"/>
        </w:rPr>
      </w:pPr>
    </w:p>
    <w:p w14:paraId="347462A1" w14:textId="77777777" w:rsidR="00D33F7C" w:rsidRPr="00D33F7C" w:rsidRDefault="00D33F7C" w:rsidP="00D33F7C">
      <w:pPr>
        <w:widowControl w:val="0"/>
        <w:numPr>
          <w:ilvl w:val="0"/>
          <w:numId w:val="4"/>
        </w:numPr>
        <w:tabs>
          <w:tab w:val="left" w:pos="0"/>
        </w:tabs>
        <w:spacing w:line="276" w:lineRule="auto"/>
        <w:ind w:left="567" w:hanging="567"/>
        <w:jc w:val="both"/>
        <w:rPr>
          <w:rFonts w:ascii="Palatino Linotype" w:eastAsia="Palatino Linotype" w:hAnsi="Palatino Linotype" w:cs="Palatino Linotype"/>
          <w:b/>
          <w:sz w:val="22"/>
          <w:szCs w:val="22"/>
        </w:rPr>
      </w:pPr>
      <w:r w:rsidRPr="00D33F7C">
        <w:rPr>
          <w:rFonts w:ascii="Palatino Linotype" w:eastAsia="Palatino Linotype" w:hAnsi="Palatino Linotype" w:cs="Palatino Linotype"/>
          <w:b/>
          <w:sz w:val="22"/>
          <w:szCs w:val="22"/>
        </w:rPr>
        <w:t>Trends in Fund Mobilisation/Transactions by Mutual Funds</w:t>
      </w:r>
    </w:p>
    <w:p w14:paraId="6FF878C0" w14:textId="77777777" w:rsidR="00D33F7C" w:rsidRPr="00D33F7C" w:rsidRDefault="00D33F7C" w:rsidP="00D33F7C">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D33F7C">
        <w:rPr>
          <w:rFonts w:ascii="Palatino Linotype" w:eastAsia="Times New Roman" w:hAnsi="Palatino Linotype" w:cs="Tahoma"/>
          <w:color w:val="000000" w:themeColor="text1"/>
          <w:sz w:val="22"/>
          <w:szCs w:val="22"/>
          <w:lang w:val="en-IN" w:eastAsia="en-IN"/>
        </w:rPr>
        <w:t> </w:t>
      </w:r>
      <w:r w:rsidRPr="00D33F7C">
        <w:rPr>
          <w:rFonts w:ascii="Palatino Linotype" w:eastAsia="Times New Roman" w:hAnsi="Palatino Linotype" w:cs="Tahoma"/>
          <w:color w:val="000000" w:themeColor="text1"/>
          <w:sz w:val="22"/>
          <w:szCs w:val="22"/>
          <w:lang w:eastAsia="en-IN"/>
        </w:rPr>
        <w:t xml:space="preserve">As at </w:t>
      </w:r>
      <w:r w:rsidRPr="00D33F7C">
        <w:rPr>
          <w:rFonts w:ascii="Palatino Linotype" w:eastAsia="Palatino Linotype" w:hAnsi="Palatino Linotype" w:cs="Palatino Linotype"/>
          <w:color w:val="000000" w:themeColor="text1"/>
          <w:sz w:val="22"/>
          <w:szCs w:val="22"/>
        </w:rPr>
        <w:t>end of June 2021, there were a total of 1,554 mutual fund schemes in the market, of which 1032 were open-ended schemes, 501 were close-ended schemes and 21 were interval schemes</w:t>
      </w:r>
      <w:r w:rsidRPr="00D33F7C">
        <w:rPr>
          <w:rFonts w:ascii="Palatino Linotype" w:eastAsia="Palatino Linotype" w:hAnsi="Palatino Linotype" w:cs="Palatino Linotype"/>
          <w:sz w:val="22"/>
          <w:szCs w:val="22"/>
        </w:rPr>
        <w:t xml:space="preserve">. </w:t>
      </w:r>
    </w:p>
    <w:p w14:paraId="2A3D5BC8" w14:textId="77777777" w:rsidR="00D33F7C" w:rsidRPr="00D33F7C" w:rsidRDefault="00D33F7C" w:rsidP="00D33F7C">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D33F7C">
        <w:rPr>
          <w:rFonts w:ascii="Palatino Linotype" w:eastAsia="Palatino Linotype" w:hAnsi="Palatino Linotype" w:cs="Palatino Linotype"/>
          <w:sz w:val="22"/>
          <w:szCs w:val="22"/>
        </w:rPr>
        <w:lastRenderedPageBreak/>
        <w:t xml:space="preserve">The mutual fund industry saw a net inflow of </w:t>
      </w:r>
      <w:r w:rsidRPr="00D33F7C">
        <w:rPr>
          <w:rFonts w:ascii="Times New Roman" w:eastAsia="Palatino Linotype" w:hAnsi="Times New Roman"/>
          <w:sz w:val="22"/>
          <w:szCs w:val="22"/>
        </w:rPr>
        <w:t>₹</w:t>
      </w:r>
      <w:r w:rsidRPr="00D33F7C">
        <w:rPr>
          <w:rFonts w:ascii="Palatino Linotype" w:eastAsia="Palatino Linotype" w:hAnsi="Palatino Linotype" w:cs="Palatino Linotype"/>
          <w:sz w:val="22"/>
          <w:szCs w:val="22"/>
        </w:rPr>
        <w:t xml:space="preserve">15,320 crore during June 2021, against a net outflow of </w:t>
      </w:r>
      <w:r w:rsidRPr="00D33F7C">
        <w:rPr>
          <w:rFonts w:ascii="Times New Roman" w:eastAsia="Palatino Linotype" w:hAnsi="Times New Roman"/>
          <w:sz w:val="22"/>
          <w:szCs w:val="22"/>
        </w:rPr>
        <w:t>₹</w:t>
      </w:r>
      <w:r w:rsidRPr="00D33F7C">
        <w:rPr>
          <w:rFonts w:ascii="Palatino Linotype" w:eastAsia="Palatino Linotype" w:hAnsi="Palatino Linotype" w:cs="Palatino Linotype"/>
          <w:sz w:val="22"/>
          <w:szCs w:val="22"/>
        </w:rPr>
        <w:t>38,602 crore during May 2021.</w:t>
      </w:r>
    </w:p>
    <w:p w14:paraId="0EF6CF37" w14:textId="1E2B9E98" w:rsidR="00D33F7C" w:rsidRPr="00D33F7C" w:rsidRDefault="00D33F7C" w:rsidP="00D33F7C">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color w:val="000000" w:themeColor="text1"/>
          <w:sz w:val="22"/>
          <w:szCs w:val="22"/>
        </w:rPr>
      </w:pPr>
      <w:r w:rsidRPr="00D33F7C">
        <w:rPr>
          <w:rFonts w:ascii="Palatino Linotype" w:eastAsia="Palatino Linotype" w:hAnsi="Palatino Linotype" w:cs="Palatino Linotype"/>
          <w:color w:val="000000" w:themeColor="text1"/>
          <w:sz w:val="22"/>
          <w:szCs w:val="22"/>
        </w:rPr>
        <w:t xml:space="preserve">The funds mobilised by open-ended schemes during June 2021 was </w:t>
      </w:r>
      <w:r w:rsidRPr="00D33F7C">
        <w:rPr>
          <w:rFonts w:ascii="Times New Roman" w:eastAsia="Palatino Linotype" w:hAnsi="Times New Roman"/>
          <w:color w:val="000000" w:themeColor="text1"/>
          <w:sz w:val="22"/>
          <w:szCs w:val="22"/>
        </w:rPr>
        <w:t>₹</w:t>
      </w:r>
      <w:r w:rsidRPr="00D33F7C">
        <w:rPr>
          <w:rFonts w:ascii="Palatino Linotype" w:eastAsia="Palatino Linotype" w:hAnsi="Palatino Linotype" w:cs="Palatino Linotype"/>
          <w:color w:val="000000" w:themeColor="text1"/>
          <w:sz w:val="22"/>
          <w:szCs w:val="22"/>
        </w:rPr>
        <w:t xml:space="preserve">7,05,374 crore against redemption/repurchase of </w:t>
      </w:r>
      <w:r w:rsidRPr="00D33F7C">
        <w:rPr>
          <w:rFonts w:ascii="Times New Roman" w:eastAsia="Palatino Linotype" w:hAnsi="Times New Roman"/>
          <w:color w:val="000000" w:themeColor="text1"/>
          <w:sz w:val="22"/>
          <w:szCs w:val="22"/>
        </w:rPr>
        <w:t>₹</w:t>
      </w:r>
      <w:r w:rsidRPr="00D33F7C">
        <w:rPr>
          <w:rFonts w:ascii="Palatino Linotype" w:eastAsia="Palatino Linotype" w:hAnsi="Palatino Linotype" w:cs="Palatino Linotype"/>
          <w:color w:val="000000" w:themeColor="text1"/>
          <w:sz w:val="22"/>
          <w:szCs w:val="22"/>
        </w:rPr>
        <w:t xml:space="preserve">6,77,511 crore, resulting in a net inflow of </w:t>
      </w:r>
      <w:r w:rsidRPr="00D33F7C">
        <w:rPr>
          <w:rFonts w:ascii="Times New Roman" w:eastAsia="Palatino Linotype" w:hAnsi="Times New Roman"/>
          <w:color w:val="000000" w:themeColor="text1"/>
          <w:sz w:val="22"/>
          <w:szCs w:val="22"/>
        </w:rPr>
        <w:t>₹</w:t>
      </w:r>
      <w:r w:rsidRPr="00D33F7C">
        <w:rPr>
          <w:rFonts w:ascii="Palatino Linotype" w:eastAsia="Palatino Linotype" w:hAnsi="Palatino Linotype" w:cs="Palatino Linotype"/>
          <w:color w:val="000000" w:themeColor="text1"/>
          <w:sz w:val="22"/>
          <w:szCs w:val="22"/>
        </w:rPr>
        <w:t xml:space="preserve">27,863 crore from open-ended schemes. Of the total funds mobilised by the open-ended schemes, </w:t>
      </w:r>
      <w:r w:rsidRPr="00D33F7C">
        <w:rPr>
          <w:rFonts w:ascii="Times New Roman" w:eastAsia="Palatino Linotype" w:hAnsi="Times New Roman"/>
          <w:color w:val="000000" w:themeColor="text1"/>
          <w:sz w:val="22"/>
          <w:szCs w:val="22"/>
        </w:rPr>
        <w:t>₹</w:t>
      </w:r>
      <w:r w:rsidRPr="00D33F7C">
        <w:rPr>
          <w:rFonts w:ascii="Palatino Linotype" w:eastAsia="Palatino Linotype" w:hAnsi="Palatino Linotype" w:cs="Palatino Linotype"/>
          <w:color w:val="000000" w:themeColor="text1"/>
          <w:sz w:val="22"/>
          <w:szCs w:val="22"/>
        </w:rPr>
        <w:t xml:space="preserve">6,42,684 crore was mobilised through income/debt oriented schemes, </w:t>
      </w:r>
      <w:r w:rsidRPr="00D33F7C">
        <w:rPr>
          <w:rFonts w:ascii="Times New Roman" w:eastAsia="Palatino Linotype" w:hAnsi="Times New Roman"/>
          <w:color w:val="000000" w:themeColor="text1"/>
          <w:sz w:val="22"/>
          <w:szCs w:val="22"/>
        </w:rPr>
        <w:t>₹</w:t>
      </w:r>
      <w:r w:rsidRPr="00D33F7C">
        <w:rPr>
          <w:rFonts w:ascii="Palatino Linotype" w:eastAsia="Palatino Linotype" w:hAnsi="Palatino Linotype" w:cs="Palatino Linotype"/>
          <w:color w:val="000000" w:themeColor="text1"/>
          <w:sz w:val="22"/>
          <w:szCs w:val="22"/>
        </w:rPr>
        <w:t xml:space="preserve">26,911 crore through growth/equity oriented schemes, </w:t>
      </w:r>
      <w:r w:rsidRPr="00D33F7C">
        <w:rPr>
          <w:rFonts w:ascii="Times New Roman" w:eastAsia="Palatino Linotype" w:hAnsi="Times New Roman"/>
          <w:color w:val="000000" w:themeColor="text1"/>
          <w:sz w:val="22"/>
          <w:szCs w:val="22"/>
        </w:rPr>
        <w:t>₹</w:t>
      </w:r>
      <w:r w:rsidRPr="00D33F7C">
        <w:rPr>
          <w:rFonts w:ascii="Palatino Linotype" w:eastAsia="Palatino Linotype" w:hAnsi="Palatino Linotype" w:cs="Palatino Linotype"/>
          <w:color w:val="000000" w:themeColor="text1"/>
          <w:sz w:val="22"/>
          <w:szCs w:val="22"/>
        </w:rPr>
        <w:t xml:space="preserve">23,887 crore through hybrid schemes, </w:t>
      </w:r>
      <w:r w:rsidRPr="00D33F7C">
        <w:rPr>
          <w:rFonts w:ascii="Times New Roman" w:eastAsia="Palatino Linotype" w:hAnsi="Times New Roman"/>
          <w:color w:val="000000" w:themeColor="text1"/>
          <w:sz w:val="22"/>
          <w:szCs w:val="22"/>
        </w:rPr>
        <w:t>₹</w:t>
      </w:r>
      <w:r w:rsidRPr="00D33F7C">
        <w:rPr>
          <w:rFonts w:ascii="Palatino Linotype" w:eastAsia="Palatino Linotype" w:hAnsi="Palatino Linotype" w:cs="Palatino Linotype"/>
          <w:color w:val="000000" w:themeColor="text1"/>
          <w:sz w:val="22"/>
          <w:szCs w:val="22"/>
        </w:rPr>
        <w:t xml:space="preserve">289 crore through solution oriented schemes and </w:t>
      </w:r>
      <w:r w:rsidRPr="00D33F7C">
        <w:rPr>
          <w:rFonts w:ascii="Times New Roman" w:eastAsia="Palatino Linotype" w:hAnsi="Times New Roman"/>
          <w:color w:val="000000" w:themeColor="text1"/>
          <w:sz w:val="22"/>
          <w:szCs w:val="22"/>
        </w:rPr>
        <w:t>₹</w:t>
      </w:r>
      <w:r w:rsidRPr="00D33F7C">
        <w:rPr>
          <w:rFonts w:ascii="Palatino Linotype" w:eastAsia="Palatino Linotype" w:hAnsi="Palatino Linotype" w:cs="Palatino Linotype"/>
          <w:color w:val="000000" w:themeColor="text1"/>
          <w:sz w:val="22"/>
          <w:szCs w:val="22"/>
        </w:rPr>
        <w:t xml:space="preserve">11,603 crore through other schemes. </w:t>
      </w:r>
    </w:p>
    <w:p w14:paraId="2D78365E" w14:textId="0A6FF48E" w:rsidR="00D33F7C" w:rsidRPr="00D33F7C" w:rsidRDefault="00D33F7C" w:rsidP="00D33F7C">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color w:val="000000" w:themeColor="text1"/>
          <w:sz w:val="22"/>
          <w:szCs w:val="22"/>
        </w:rPr>
      </w:pPr>
      <w:r w:rsidRPr="00D33F7C">
        <w:rPr>
          <w:rFonts w:ascii="Palatino Linotype" w:eastAsia="Palatino Linotype" w:hAnsi="Palatino Linotype" w:cs="Palatino Linotype"/>
          <w:color w:val="000000" w:themeColor="text1"/>
          <w:sz w:val="22"/>
          <w:szCs w:val="22"/>
        </w:rPr>
        <w:t xml:space="preserve">During June 2021, </w:t>
      </w:r>
      <w:r w:rsidRPr="00D33F7C">
        <w:rPr>
          <w:rFonts w:ascii="Times New Roman" w:eastAsia="Palatino Linotype" w:hAnsi="Times New Roman"/>
          <w:color w:val="000000" w:themeColor="text1"/>
          <w:sz w:val="22"/>
          <w:szCs w:val="22"/>
        </w:rPr>
        <w:t>₹</w:t>
      </w:r>
      <w:r w:rsidRPr="00D33F7C">
        <w:rPr>
          <w:rFonts w:ascii="Palatino Linotype" w:eastAsia="Palatino Linotype" w:hAnsi="Palatino Linotype" w:cs="Palatino Linotype"/>
          <w:color w:val="000000" w:themeColor="text1"/>
          <w:sz w:val="22"/>
          <w:szCs w:val="22"/>
        </w:rPr>
        <w:t>11,893 crore were matured/ repurchased</w:t>
      </w:r>
      <w:r w:rsidRPr="00D33F7C">
        <w:rPr>
          <w:rFonts w:ascii="Palatino Linotype" w:eastAsia="Palatino Linotype" w:hAnsi="Palatino Linotype" w:cs="Palatino Linotype"/>
          <w:color w:val="000000" w:themeColor="text1"/>
          <w:sz w:val="22"/>
          <w:szCs w:val="22"/>
          <w:vertAlign w:val="superscript"/>
        </w:rPr>
        <w:footnoteReference w:id="1"/>
      </w:r>
      <w:r w:rsidRPr="00D33F7C">
        <w:rPr>
          <w:rFonts w:ascii="Palatino Linotype" w:eastAsia="Palatino Linotype" w:hAnsi="Palatino Linotype" w:cs="Palatino Linotype"/>
          <w:color w:val="000000" w:themeColor="text1"/>
          <w:sz w:val="22"/>
          <w:szCs w:val="22"/>
        </w:rPr>
        <w:t xml:space="preserve"> by close-ended schemes.  </w:t>
      </w:r>
      <w:r w:rsidR="00AC244F" w:rsidRPr="00D33F7C">
        <w:rPr>
          <w:rFonts w:ascii="Palatino Linotype" w:eastAsia="Palatino Linotype" w:hAnsi="Palatino Linotype" w:cs="Palatino Linotype"/>
          <w:color w:val="000000" w:themeColor="text1"/>
          <w:sz w:val="22"/>
          <w:szCs w:val="22"/>
        </w:rPr>
        <w:t>Interval</w:t>
      </w:r>
      <w:r w:rsidRPr="00D33F7C">
        <w:rPr>
          <w:rFonts w:ascii="Palatino Linotype" w:eastAsia="Palatino Linotype" w:hAnsi="Palatino Linotype" w:cs="Palatino Linotype"/>
          <w:color w:val="000000" w:themeColor="text1"/>
          <w:sz w:val="22"/>
          <w:szCs w:val="22"/>
        </w:rPr>
        <w:t xml:space="preserve"> schemes worth </w:t>
      </w:r>
      <w:r w:rsidRPr="00D33F7C">
        <w:rPr>
          <w:rFonts w:ascii="Times New Roman" w:eastAsia="Palatino Linotype" w:hAnsi="Times New Roman"/>
          <w:color w:val="000000" w:themeColor="text1"/>
          <w:sz w:val="22"/>
          <w:szCs w:val="22"/>
        </w:rPr>
        <w:t>₹</w:t>
      </w:r>
      <w:r w:rsidRPr="00D33F7C">
        <w:rPr>
          <w:rFonts w:ascii="Palatino Linotype" w:eastAsia="Palatino Linotype" w:hAnsi="Palatino Linotype" w:cs="Tahoma"/>
          <w:color w:val="000000" w:themeColor="text1"/>
          <w:sz w:val="22"/>
          <w:szCs w:val="22"/>
        </w:rPr>
        <w:t>1.7</w:t>
      </w:r>
      <w:r w:rsidRPr="00D33F7C">
        <w:rPr>
          <w:rFonts w:ascii="Palatino Linotype" w:eastAsia="Palatino Linotype" w:hAnsi="Palatino Linotype" w:cs="Palatino Linotype"/>
          <w:color w:val="000000" w:themeColor="text1"/>
          <w:sz w:val="22"/>
          <w:szCs w:val="22"/>
        </w:rPr>
        <w:t xml:space="preserve"> crore were matured/redeemed during the period.  </w:t>
      </w:r>
    </w:p>
    <w:p w14:paraId="77CA6F44" w14:textId="77777777" w:rsidR="00D33F7C" w:rsidRPr="00D33F7C" w:rsidRDefault="00D33F7C" w:rsidP="00D33F7C">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color w:val="000000" w:themeColor="text1"/>
          <w:sz w:val="22"/>
          <w:szCs w:val="22"/>
        </w:rPr>
      </w:pPr>
      <w:r w:rsidRPr="00D33F7C">
        <w:rPr>
          <w:rFonts w:ascii="Palatino Linotype" w:eastAsia="Palatino Linotype" w:hAnsi="Palatino Linotype" w:cs="Palatino Linotype"/>
          <w:color w:val="000000" w:themeColor="text1"/>
          <w:sz w:val="22"/>
          <w:szCs w:val="22"/>
        </w:rPr>
        <w:t xml:space="preserve">The net assets under management of mutual funds stood at </w:t>
      </w:r>
      <w:r w:rsidRPr="00D33F7C">
        <w:rPr>
          <w:rFonts w:ascii="Times New Roman" w:eastAsia="Palatino Linotype" w:hAnsi="Times New Roman"/>
          <w:color w:val="000000" w:themeColor="text1"/>
          <w:sz w:val="22"/>
          <w:szCs w:val="22"/>
        </w:rPr>
        <w:t>₹</w:t>
      </w:r>
      <w:r w:rsidRPr="00D33F7C">
        <w:rPr>
          <w:rFonts w:ascii="Palatino Linotype" w:eastAsia="Palatino Linotype" w:hAnsi="Palatino Linotype" w:cs="Palatino Linotype"/>
          <w:color w:val="000000" w:themeColor="text1"/>
          <w:sz w:val="22"/>
          <w:szCs w:val="22"/>
        </w:rPr>
        <w:t xml:space="preserve">33.67 lakh crore as at the end of June 2021, an increase of 1.9 per cent from </w:t>
      </w:r>
      <w:r w:rsidRPr="00D33F7C">
        <w:rPr>
          <w:rFonts w:ascii="Times New Roman" w:eastAsia="Palatino Linotype" w:hAnsi="Times New Roman"/>
          <w:color w:val="000000" w:themeColor="text1"/>
          <w:sz w:val="22"/>
          <w:szCs w:val="22"/>
        </w:rPr>
        <w:t>₹</w:t>
      </w:r>
      <w:r w:rsidRPr="00D33F7C">
        <w:rPr>
          <w:rFonts w:ascii="Palatino Linotype" w:eastAsia="Palatino Linotype" w:hAnsi="Palatino Linotype" w:cs="Palatino Linotype"/>
          <w:color w:val="000000" w:themeColor="text1"/>
          <w:sz w:val="22"/>
          <w:szCs w:val="22"/>
        </w:rPr>
        <w:t xml:space="preserve">33.05 </w:t>
      </w:r>
      <w:r w:rsidRPr="00D33F7C">
        <w:rPr>
          <w:rFonts w:ascii="Times New Roman" w:eastAsia="Palatino Linotype" w:hAnsi="Times New Roman"/>
          <w:color w:val="000000" w:themeColor="text1"/>
          <w:sz w:val="22"/>
          <w:szCs w:val="22"/>
        </w:rPr>
        <w:t>lakh crore as at the end of May 2021</w:t>
      </w:r>
      <w:r w:rsidRPr="00D33F7C">
        <w:rPr>
          <w:rFonts w:ascii="Palatino Linotype" w:eastAsia="Palatino Linotype" w:hAnsi="Palatino Linotype" w:cs="Palatino Linotype"/>
          <w:color w:val="000000" w:themeColor="text1"/>
          <w:sz w:val="22"/>
          <w:szCs w:val="22"/>
        </w:rPr>
        <w:t xml:space="preserve">. </w:t>
      </w:r>
    </w:p>
    <w:p w14:paraId="2C1B699B" w14:textId="6640FFA8" w:rsidR="00D33F7C" w:rsidRPr="00D33F7C" w:rsidRDefault="00D33F7C" w:rsidP="00D33F7C">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D33F7C">
        <w:rPr>
          <w:rFonts w:ascii="Palatino Linotype" w:eastAsia="Palatino Linotype" w:hAnsi="Palatino Linotype" w:cs="Palatino Linotype"/>
          <w:sz w:val="22"/>
          <w:szCs w:val="22"/>
        </w:rPr>
        <w:t xml:space="preserve">In the secondary market transactions, during June 2021, mutual funds deployed </w:t>
      </w:r>
      <w:r w:rsidRPr="00D33F7C">
        <w:rPr>
          <w:rFonts w:ascii="Times New Roman" w:eastAsia="Palatino Linotype" w:hAnsi="Times New Roman"/>
          <w:sz w:val="22"/>
          <w:szCs w:val="22"/>
        </w:rPr>
        <w:t>₹</w:t>
      </w:r>
      <w:r w:rsidRPr="00D33F7C">
        <w:rPr>
          <w:rFonts w:ascii="Palatino Linotype" w:eastAsia="Palatino Linotype" w:hAnsi="Palatino Linotype" w:cs="Palatino Linotype"/>
          <w:sz w:val="22"/>
          <w:szCs w:val="22"/>
        </w:rPr>
        <w:t xml:space="preserve">6,437 crore in equity </w:t>
      </w:r>
      <w:r w:rsidR="00AC244F">
        <w:rPr>
          <w:rFonts w:ascii="Palatino Linotype" w:eastAsia="Palatino Linotype" w:hAnsi="Palatino Linotype" w:cs="Palatino Linotype"/>
          <w:sz w:val="22"/>
          <w:szCs w:val="22"/>
        </w:rPr>
        <w:t xml:space="preserve">segment </w:t>
      </w:r>
      <w:r w:rsidRPr="00D33F7C">
        <w:rPr>
          <w:rFonts w:ascii="Palatino Linotype" w:eastAsia="Palatino Linotype" w:hAnsi="Palatino Linotype" w:cs="Palatino Linotype"/>
          <w:sz w:val="22"/>
          <w:szCs w:val="22"/>
        </w:rPr>
        <w:t xml:space="preserve">and </w:t>
      </w:r>
      <w:r w:rsidRPr="00D33F7C">
        <w:rPr>
          <w:rFonts w:ascii="Times New Roman" w:eastAsia="Palatino Linotype" w:hAnsi="Times New Roman"/>
          <w:sz w:val="22"/>
          <w:szCs w:val="22"/>
        </w:rPr>
        <w:t>₹</w:t>
      </w:r>
      <w:r w:rsidRPr="00D33F7C">
        <w:rPr>
          <w:rFonts w:ascii="Palatino Linotype" w:eastAsia="Palatino Linotype" w:hAnsi="Palatino Linotype" w:cs="Palatino Linotype"/>
          <w:sz w:val="22"/>
          <w:szCs w:val="22"/>
        </w:rPr>
        <w:t xml:space="preserve">6,449 crore in debt </w:t>
      </w:r>
      <w:r w:rsidR="00AC244F">
        <w:rPr>
          <w:rFonts w:ascii="Palatino Linotype" w:eastAsia="Palatino Linotype" w:hAnsi="Palatino Linotype" w:cs="Palatino Linotype"/>
          <w:sz w:val="22"/>
          <w:szCs w:val="22"/>
        </w:rPr>
        <w:t>segment</w:t>
      </w:r>
      <w:r w:rsidRPr="00D33F7C">
        <w:rPr>
          <w:rFonts w:ascii="Palatino Linotype" w:eastAsia="Palatino Linotype" w:hAnsi="Palatino Linotype" w:cs="Palatino Linotype"/>
          <w:sz w:val="22"/>
          <w:szCs w:val="22"/>
        </w:rPr>
        <w:t xml:space="preserve">. </w:t>
      </w:r>
    </w:p>
    <w:p w14:paraId="32AF3A59" w14:textId="77777777" w:rsidR="00D33F7C" w:rsidRPr="00D33F7C" w:rsidRDefault="00D33F7C" w:rsidP="00D33F7C">
      <w:pPr>
        <w:pBdr>
          <w:top w:val="nil"/>
          <w:left w:val="nil"/>
          <w:bottom w:val="nil"/>
          <w:right w:val="nil"/>
          <w:between w:val="nil"/>
        </w:pBdr>
        <w:spacing w:line="276" w:lineRule="auto"/>
        <w:rPr>
          <w:rFonts w:ascii="Palatino Linotype" w:eastAsia="Palatino Linotype" w:hAnsi="Palatino Linotype" w:cs="Palatino Linotype"/>
          <w:b/>
          <w:color w:val="2E74B5"/>
          <w:sz w:val="22"/>
          <w:szCs w:val="22"/>
          <w:highlight w:val="yellow"/>
        </w:rPr>
      </w:pPr>
    </w:p>
    <w:p w14:paraId="075E3669" w14:textId="77777777" w:rsidR="00D33F7C" w:rsidRPr="00D33F7C" w:rsidRDefault="00D33F7C" w:rsidP="00D33F7C">
      <w:pPr>
        <w:pBdr>
          <w:top w:val="nil"/>
          <w:left w:val="nil"/>
          <w:bottom w:val="nil"/>
          <w:right w:val="nil"/>
          <w:between w:val="nil"/>
        </w:pBdr>
        <w:spacing w:line="276" w:lineRule="auto"/>
        <w:ind w:left="720" w:hanging="720"/>
        <w:jc w:val="center"/>
        <w:rPr>
          <w:rFonts w:ascii="Palatino Linotype" w:eastAsia="Palatino Linotype" w:hAnsi="Palatino Linotype" w:cs="Palatino Linotype"/>
          <w:b/>
          <w:sz w:val="22"/>
          <w:szCs w:val="22"/>
        </w:rPr>
      </w:pPr>
      <w:r w:rsidRPr="00D33F7C">
        <w:rPr>
          <w:rFonts w:ascii="Palatino Linotype" w:eastAsia="Palatino Linotype" w:hAnsi="Palatino Linotype" w:cs="Palatino Linotype"/>
          <w:b/>
          <w:sz w:val="22"/>
          <w:szCs w:val="22"/>
        </w:rPr>
        <w:t>Figure 11: Trends in Mutual Funds Transactions in Secondary Market (</w:t>
      </w:r>
      <w:r w:rsidRPr="00D33F7C">
        <w:rPr>
          <w:rFonts w:ascii="Arial" w:eastAsia="Palatino Linotype" w:hAnsi="Arial" w:cs="Arial"/>
          <w:b/>
          <w:sz w:val="20"/>
          <w:szCs w:val="22"/>
        </w:rPr>
        <w:t>₹</w:t>
      </w:r>
      <w:r w:rsidRPr="00D33F7C">
        <w:rPr>
          <w:rFonts w:ascii="Palatino Linotype" w:eastAsia="Palatino Linotype" w:hAnsi="Palatino Linotype" w:cs="Palatino Linotype"/>
          <w:b/>
          <w:sz w:val="22"/>
          <w:szCs w:val="22"/>
        </w:rPr>
        <w:t xml:space="preserve"> crore)</w:t>
      </w:r>
    </w:p>
    <w:p w14:paraId="445A17F6" w14:textId="77777777" w:rsidR="00D33F7C" w:rsidRPr="00D33F7C" w:rsidRDefault="00D33F7C" w:rsidP="00D33F7C">
      <w:pPr>
        <w:pBdr>
          <w:top w:val="nil"/>
          <w:left w:val="nil"/>
          <w:bottom w:val="nil"/>
          <w:right w:val="nil"/>
          <w:between w:val="nil"/>
        </w:pBdr>
        <w:spacing w:line="276" w:lineRule="auto"/>
        <w:ind w:left="720" w:hanging="720"/>
        <w:jc w:val="center"/>
        <w:rPr>
          <w:rFonts w:ascii="Palatino Linotype" w:eastAsia="Palatino Linotype" w:hAnsi="Palatino Linotype" w:cs="Palatino Linotype"/>
          <w:b/>
          <w:sz w:val="22"/>
          <w:szCs w:val="22"/>
        </w:rPr>
      </w:pPr>
      <w:r w:rsidRPr="00D33F7C">
        <w:rPr>
          <w:noProof/>
          <w:lang w:val="en-IN" w:eastAsia="en-IN" w:bidi="hi-IN"/>
        </w:rPr>
        <w:drawing>
          <wp:inline distT="0" distB="0" distL="0" distR="0" wp14:anchorId="6BF01FE9" wp14:editId="76051F4F">
            <wp:extent cx="5715000" cy="2819400"/>
            <wp:effectExtent l="0" t="0" r="0" b="0"/>
            <wp:docPr id="33" name="Chart 33">
              <a:extLst xmlns:a="http://schemas.openxmlformats.org/drawingml/2006/main">
                <a:ext uri="{FF2B5EF4-FFF2-40B4-BE49-F238E27FC236}">
                  <a16:creationId xmlns:a16="http://schemas.microsoft.com/office/drawing/2014/main" id="{00000000-0008-0000-0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F560C96" w14:textId="77777777" w:rsidR="00D33F7C" w:rsidRPr="00D33F7C" w:rsidRDefault="00D33F7C" w:rsidP="00D33F7C">
      <w:pPr>
        <w:pBdr>
          <w:top w:val="nil"/>
          <w:left w:val="nil"/>
          <w:bottom w:val="nil"/>
          <w:right w:val="nil"/>
          <w:between w:val="nil"/>
        </w:pBdr>
        <w:spacing w:line="276" w:lineRule="auto"/>
        <w:ind w:left="720" w:hanging="720"/>
        <w:jc w:val="center"/>
        <w:rPr>
          <w:rFonts w:ascii="Palatino Linotype" w:eastAsia="Palatino Linotype" w:hAnsi="Palatino Linotype" w:cs="Palatino Linotype"/>
          <w:b/>
          <w:sz w:val="22"/>
          <w:szCs w:val="22"/>
        </w:rPr>
      </w:pPr>
    </w:p>
    <w:p w14:paraId="332DB6A0" w14:textId="77777777" w:rsidR="00D33F7C" w:rsidRPr="00D33F7C" w:rsidRDefault="00D33F7C" w:rsidP="00D33F7C">
      <w:pPr>
        <w:widowControl w:val="0"/>
        <w:numPr>
          <w:ilvl w:val="0"/>
          <w:numId w:val="4"/>
        </w:numPr>
        <w:tabs>
          <w:tab w:val="left" w:pos="0"/>
        </w:tabs>
        <w:spacing w:line="276" w:lineRule="auto"/>
        <w:ind w:left="567" w:hanging="567"/>
        <w:jc w:val="both"/>
        <w:rPr>
          <w:rFonts w:ascii="Palatino Linotype" w:eastAsia="Palatino Linotype" w:hAnsi="Palatino Linotype" w:cs="Palatino Linotype"/>
          <w:b/>
          <w:sz w:val="22"/>
          <w:szCs w:val="22"/>
        </w:rPr>
      </w:pPr>
      <w:r w:rsidRPr="00D33F7C">
        <w:rPr>
          <w:rFonts w:ascii="Palatino Linotype" w:eastAsia="Palatino Linotype" w:hAnsi="Palatino Linotype" w:cs="Palatino Linotype"/>
          <w:b/>
          <w:sz w:val="22"/>
          <w:szCs w:val="22"/>
        </w:rPr>
        <w:t>Trends in Investments by the Foreign Portfolio Investors (FPIs)</w:t>
      </w:r>
    </w:p>
    <w:p w14:paraId="7BC3F3AF" w14:textId="77777777" w:rsidR="00D33F7C" w:rsidRPr="00D33F7C" w:rsidRDefault="00D33F7C" w:rsidP="00D33F7C">
      <w:pPr>
        <w:widowControl w:val="0"/>
        <w:tabs>
          <w:tab w:val="left" w:pos="0"/>
        </w:tabs>
        <w:spacing w:line="276" w:lineRule="auto"/>
        <w:ind w:left="360"/>
        <w:jc w:val="both"/>
        <w:rPr>
          <w:rFonts w:ascii="Palatino Linotype" w:eastAsia="Palatino Linotype" w:hAnsi="Palatino Linotype" w:cs="Palatino Linotype"/>
          <w:b/>
          <w:sz w:val="22"/>
          <w:szCs w:val="22"/>
        </w:rPr>
      </w:pPr>
    </w:p>
    <w:p w14:paraId="27687F6E" w14:textId="77777777" w:rsidR="00D33F7C" w:rsidRPr="00D33F7C" w:rsidRDefault="00D33F7C" w:rsidP="00D33F7C">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D33F7C">
        <w:rPr>
          <w:rFonts w:ascii="Palatino Linotype" w:eastAsia="Palatino Linotype" w:hAnsi="Palatino Linotype" w:cs="Palatino Linotype"/>
          <w:sz w:val="22"/>
          <w:szCs w:val="22"/>
        </w:rPr>
        <w:t xml:space="preserve">During June 2021, FPIs invested a total of </w:t>
      </w:r>
      <w:r w:rsidRPr="00D33F7C">
        <w:rPr>
          <w:rFonts w:ascii="Times New Roman" w:eastAsia="Palatino Linotype" w:hAnsi="Times New Roman"/>
          <w:sz w:val="22"/>
          <w:szCs w:val="22"/>
        </w:rPr>
        <w:t>₹</w:t>
      </w:r>
      <w:r w:rsidRPr="00D33F7C">
        <w:rPr>
          <w:rFonts w:ascii="Palatino Linotype" w:eastAsia="Palatino Linotype" w:hAnsi="Palatino Linotype" w:cs="Palatino Linotype"/>
          <w:sz w:val="22"/>
          <w:szCs w:val="22"/>
        </w:rPr>
        <w:t xml:space="preserve">12,974 crore from the Indian securities market compared to a withdrawal of </w:t>
      </w:r>
      <w:r w:rsidRPr="00D33F7C">
        <w:rPr>
          <w:rFonts w:ascii="Times New Roman" w:eastAsia="Palatino Linotype" w:hAnsi="Times New Roman"/>
          <w:sz w:val="22"/>
          <w:szCs w:val="22"/>
        </w:rPr>
        <w:t>₹</w:t>
      </w:r>
      <w:r w:rsidRPr="00D33F7C">
        <w:rPr>
          <w:rFonts w:ascii="Palatino Linotype" w:eastAsia="Palatino Linotype" w:hAnsi="Palatino Linotype" w:cs="Palatino Linotype"/>
          <w:sz w:val="22"/>
          <w:szCs w:val="22"/>
        </w:rPr>
        <w:t xml:space="preserve">1,958 </w:t>
      </w:r>
      <w:r w:rsidRPr="00D33F7C">
        <w:rPr>
          <w:rFonts w:ascii="Times New Roman" w:eastAsia="Palatino Linotype" w:hAnsi="Times New Roman"/>
          <w:sz w:val="22"/>
          <w:szCs w:val="22"/>
        </w:rPr>
        <w:t xml:space="preserve">crore </w:t>
      </w:r>
      <w:r w:rsidRPr="00D33F7C">
        <w:rPr>
          <w:rFonts w:ascii="Palatino Linotype" w:eastAsia="Palatino Linotype" w:hAnsi="Palatino Linotype" w:cs="Palatino Linotype"/>
          <w:sz w:val="22"/>
          <w:szCs w:val="22"/>
        </w:rPr>
        <w:t xml:space="preserve">in May 2021. During June 2021, FPIs invested </w:t>
      </w:r>
      <w:r w:rsidRPr="00D33F7C">
        <w:rPr>
          <w:rFonts w:ascii="Times New Roman" w:eastAsia="Palatino Linotype" w:hAnsi="Times New Roman"/>
          <w:sz w:val="22"/>
          <w:szCs w:val="22"/>
        </w:rPr>
        <w:t>₹17</w:t>
      </w:r>
      <w:r w:rsidRPr="00D33F7C">
        <w:rPr>
          <w:rFonts w:ascii="Palatino Linotype" w:eastAsia="Palatino Linotype" w:hAnsi="Palatino Linotype" w:cs="Palatino Linotype"/>
          <w:sz w:val="22"/>
          <w:szCs w:val="22"/>
        </w:rPr>
        <w:t xml:space="preserve">,215 crore in equity while liquidated </w:t>
      </w:r>
      <w:r w:rsidRPr="00D33F7C">
        <w:rPr>
          <w:rFonts w:ascii="Arial" w:eastAsia="Palatino Linotype" w:hAnsi="Arial" w:cs="Arial"/>
          <w:b/>
          <w:sz w:val="20"/>
          <w:szCs w:val="22"/>
        </w:rPr>
        <w:t>₹</w:t>
      </w:r>
      <w:r w:rsidRPr="00D33F7C">
        <w:rPr>
          <w:rFonts w:ascii="Palatino Linotype" w:eastAsia="Palatino Linotype" w:hAnsi="Palatino Linotype" w:cs="Palatino Linotype"/>
          <w:sz w:val="22"/>
          <w:szCs w:val="22"/>
        </w:rPr>
        <w:t xml:space="preserve">4,829 crore from debt securities.  FPIs liquidated </w:t>
      </w:r>
      <w:r w:rsidRPr="00D33F7C">
        <w:rPr>
          <w:rFonts w:ascii="Arial" w:eastAsia="Palatino Linotype" w:hAnsi="Arial" w:cs="Arial"/>
          <w:b/>
          <w:sz w:val="20"/>
          <w:szCs w:val="22"/>
        </w:rPr>
        <w:t>₹</w:t>
      </w:r>
      <w:r w:rsidRPr="00D33F7C">
        <w:rPr>
          <w:rFonts w:ascii="Palatino Linotype" w:eastAsia="Palatino Linotype" w:hAnsi="Palatino Linotype" w:cs="Palatino Linotype"/>
          <w:sz w:val="22"/>
          <w:szCs w:val="22"/>
        </w:rPr>
        <w:t xml:space="preserve">295 crore in hybrid securities while invested </w:t>
      </w:r>
      <w:r w:rsidRPr="00D33F7C">
        <w:rPr>
          <w:rFonts w:ascii="Arial" w:eastAsia="Palatino Linotype" w:hAnsi="Arial" w:cs="Arial"/>
          <w:b/>
          <w:sz w:val="20"/>
          <w:szCs w:val="22"/>
        </w:rPr>
        <w:t>₹</w:t>
      </w:r>
      <w:r w:rsidRPr="00D33F7C">
        <w:rPr>
          <w:rFonts w:ascii="Palatino Linotype" w:eastAsia="Palatino Linotype" w:hAnsi="Palatino Linotype" w:cs="Palatino Linotype"/>
          <w:sz w:val="22"/>
          <w:szCs w:val="22"/>
        </w:rPr>
        <w:t xml:space="preserve">883 crore in debt-voluntary retention route during June 2021. </w:t>
      </w:r>
    </w:p>
    <w:p w14:paraId="6EED665D" w14:textId="77777777" w:rsidR="00D33F7C" w:rsidRPr="00D33F7C" w:rsidRDefault="00D33F7C" w:rsidP="00D33F7C">
      <w:pPr>
        <w:pBdr>
          <w:top w:val="nil"/>
          <w:left w:val="nil"/>
          <w:bottom w:val="nil"/>
          <w:right w:val="nil"/>
          <w:between w:val="nil"/>
        </w:pBdr>
        <w:spacing w:line="276" w:lineRule="auto"/>
        <w:ind w:left="720"/>
        <w:jc w:val="both"/>
        <w:rPr>
          <w:rFonts w:ascii="Palatino Linotype" w:eastAsia="Palatino Linotype" w:hAnsi="Palatino Linotype" w:cs="Palatino Linotype"/>
          <w:sz w:val="22"/>
          <w:szCs w:val="22"/>
          <w:highlight w:val="yellow"/>
        </w:rPr>
      </w:pPr>
    </w:p>
    <w:p w14:paraId="247D01F6" w14:textId="77777777" w:rsidR="00D33F7C" w:rsidRPr="00D33F7C" w:rsidRDefault="00D33F7C" w:rsidP="00D33F7C">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D33F7C">
        <w:rPr>
          <w:rFonts w:ascii="Palatino Linotype" w:eastAsia="Palatino Linotype" w:hAnsi="Palatino Linotype" w:cs="Palatino Linotype"/>
          <w:sz w:val="22"/>
          <w:szCs w:val="22"/>
        </w:rPr>
        <w:t xml:space="preserve">The </w:t>
      </w:r>
      <w:r w:rsidRPr="00D33F7C">
        <w:rPr>
          <w:rFonts w:ascii="Palatino Linotype" w:eastAsia="Palatino Linotype" w:hAnsi="Palatino Linotype" w:cs="Palatino Linotype"/>
          <w:color w:val="000000" w:themeColor="text1"/>
          <w:sz w:val="22"/>
          <w:szCs w:val="22"/>
        </w:rPr>
        <w:t xml:space="preserve">assets of FPIs in India, as reported by custodians, as at the end of June 2021 was </w:t>
      </w:r>
      <w:r w:rsidRPr="00D33F7C">
        <w:rPr>
          <w:rFonts w:ascii="Times New Roman" w:eastAsia="Palatino Linotype" w:hAnsi="Times New Roman"/>
          <w:color w:val="000000" w:themeColor="text1"/>
          <w:sz w:val="22"/>
          <w:szCs w:val="22"/>
        </w:rPr>
        <w:t>₹</w:t>
      </w:r>
      <w:r w:rsidRPr="00D33F7C">
        <w:rPr>
          <w:rFonts w:ascii="Palatino Linotype" w:eastAsia="Palatino Linotype" w:hAnsi="Palatino Linotype" w:cs="Palatino Linotype"/>
          <w:color w:val="000000" w:themeColor="text1"/>
          <w:sz w:val="22"/>
          <w:szCs w:val="22"/>
        </w:rPr>
        <w:t xml:space="preserve">47,99,716 crore, out of which the notional value of offshore derivative instruments (ODIs) (including ODIs on derivatives) was </w:t>
      </w:r>
      <w:r w:rsidRPr="00D33F7C">
        <w:rPr>
          <w:rFonts w:ascii="Times New Roman" w:eastAsia="Palatino Linotype" w:hAnsi="Times New Roman"/>
          <w:color w:val="000000" w:themeColor="text1"/>
          <w:sz w:val="22"/>
          <w:szCs w:val="22"/>
        </w:rPr>
        <w:t>₹</w:t>
      </w:r>
      <w:r w:rsidRPr="00D33F7C">
        <w:rPr>
          <w:rFonts w:ascii="Palatino Linotype" w:eastAsia="Palatino Linotype" w:hAnsi="Palatino Linotype" w:cs="Palatino Linotype"/>
          <w:color w:val="000000" w:themeColor="text1"/>
          <w:sz w:val="22"/>
          <w:szCs w:val="22"/>
        </w:rPr>
        <w:t xml:space="preserve">92,253 crore which is 1.9 per cent of total assets of FPIs.  </w:t>
      </w:r>
    </w:p>
    <w:p w14:paraId="6AC0FDBA" w14:textId="77777777" w:rsidR="00D33F7C" w:rsidRDefault="00D33F7C" w:rsidP="00D33F7C">
      <w:pPr>
        <w:pBdr>
          <w:top w:val="nil"/>
          <w:left w:val="nil"/>
          <w:bottom w:val="nil"/>
          <w:right w:val="nil"/>
          <w:between w:val="nil"/>
        </w:pBdr>
        <w:spacing w:line="276" w:lineRule="auto"/>
        <w:ind w:left="720"/>
        <w:rPr>
          <w:rFonts w:ascii="Palatino Linotype" w:eastAsia="Palatino Linotype" w:hAnsi="Palatino Linotype" w:cs="Palatino Linotype"/>
          <w:b/>
          <w:sz w:val="22"/>
          <w:szCs w:val="22"/>
        </w:rPr>
      </w:pPr>
    </w:p>
    <w:p w14:paraId="08D2ADBA" w14:textId="77777777" w:rsidR="00D33F7C" w:rsidRPr="00D33F7C" w:rsidRDefault="00D33F7C" w:rsidP="00D33F7C">
      <w:pPr>
        <w:pBdr>
          <w:top w:val="nil"/>
          <w:left w:val="nil"/>
          <w:bottom w:val="nil"/>
          <w:right w:val="nil"/>
          <w:between w:val="nil"/>
        </w:pBdr>
        <w:spacing w:line="276" w:lineRule="auto"/>
        <w:ind w:left="720"/>
        <w:rPr>
          <w:rFonts w:ascii="Palatino Linotype" w:eastAsia="Palatino Linotype" w:hAnsi="Palatino Linotype" w:cs="Palatino Linotype"/>
          <w:b/>
          <w:sz w:val="22"/>
          <w:szCs w:val="22"/>
          <w:highlight w:val="yellow"/>
        </w:rPr>
      </w:pPr>
      <w:r w:rsidRPr="00D33F7C">
        <w:rPr>
          <w:rFonts w:ascii="Palatino Linotype" w:eastAsia="Palatino Linotype" w:hAnsi="Palatino Linotype" w:cs="Palatino Linotype"/>
          <w:b/>
          <w:sz w:val="22"/>
          <w:szCs w:val="22"/>
        </w:rPr>
        <w:lastRenderedPageBreak/>
        <w:t>Figure 12: Trends in FPIs’ Investments</w:t>
      </w:r>
    </w:p>
    <w:p w14:paraId="155F744B" w14:textId="77777777" w:rsidR="00D33F7C" w:rsidRPr="00D33F7C" w:rsidRDefault="00D33F7C" w:rsidP="00D33F7C">
      <w:pPr>
        <w:pBdr>
          <w:top w:val="nil"/>
          <w:left w:val="nil"/>
          <w:bottom w:val="nil"/>
          <w:right w:val="nil"/>
          <w:between w:val="nil"/>
        </w:pBdr>
        <w:spacing w:line="276" w:lineRule="auto"/>
        <w:ind w:left="720" w:hanging="720"/>
        <w:jc w:val="center"/>
        <w:rPr>
          <w:rFonts w:ascii="Palatino Linotype" w:eastAsia="Palatino Linotype" w:hAnsi="Palatino Linotype" w:cs="Palatino Linotype"/>
          <w:b/>
          <w:color w:val="2E74B5"/>
          <w:sz w:val="22"/>
          <w:szCs w:val="22"/>
          <w:highlight w:val="yellow"/>
        </w:rPr>
      </w:pPr>
      <w:r w:rsidRPr="00D33F7C">
        <w:rPr>
          <w:noProof/>
          <w:lang w:val="en-IN" w:eastAsia="en-IN" w:bidi="hi-IN"/>
        </w:rPr>
        <w:drawing>
          <wp:inline distT="0" distB="0" distL="0" distR="0" wp14:anchorId="3D8F08AB" wp14:editId="334C6269">
            <wp:extent cx="6278880" cy="2484755"/>
            <wp:effectExtent l="0" t="0" r="7620" b="10795"/>
            <wp:docPr id="34" name="Chart 34">
              <a:extLst xmlns:a="http://schemas.openxmlformats.org/drawingml/2006/main">
                <a:ext uri="{FF2B5EF4-FFF2-40B4-BE49-F238E27FC236}">
                  <a16:creationId xmlns:a16="http://schemas.microsoft.com/office/drawing/2014/main"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9FD0BCF" w14:textId="77777777" w:rsidR="00D33F7C" w:rsidRPr="00D33F7C" w:rsidRDefault="00D33F7C" w:rsidP="00D33F7C">
      <w:pPr>
        <w:rPr>
          <w:rFonts w:ascii="Palatino Linotype" w:eastAsia="Palatino Linotype" w:hAnsi="Palatino Linotype" w:cs="Palatino Linotype"/>
          <w:b/>
          <w:sz w:val="18"/>
          <w:szCs w:val="18"/>
        </w:rPr>
      </w:pPr>
      <w:r w:rsidRPr="00D33F7C">
        <w:rPr>
          <w:rFonts w:ascii="Palatino Linotype" w:eastAsia="Palatino Linotype" w:hAnsi="Palatino Linotype" w:cs="Palatino Linotype"/>
          <w:b/>
          <w:sz w:val="18"/>
          <w:szCs w:val="18"/>
        </w:rPr>
        <w:t xml:space="preserve">  Source: CDSL and NSDL</w:t>
      </w:r>
    </w:p>
    <w:p w14:paraId="4BBABE45" w14:textId="77777777" w:rsidR="00D33F7C" w:rsidRPr="00D33F7C" w:rsidRDefault="00D33F7C" w:rsidP="00D33F7C">
      <w:pPr>
        <w:pBdr>
          <w:top w:val="nil"/>
          <w:left w:val="nil"/>
          <w:bottom w:val="nil"/>
          <w:right w:val="nil"/>
          <w:between w:val="nil"/>
        </w:pBdr>
        <w:spacing w:line="276" w:lineRule="auto"/>
        <w:jc w:val="center"/>
        <w:rPr>
          <w:rFonts w:ascii="Palatino Linotype" w:eastAsia="Palatino Linotype" w:hAnsi="Palatino Linotype" w:cs="Palatino Linotype"/>
          <w:b/>
          <w:color w:val="2E74B5"/>
          <w:sz w:val="22"/>
          <w:szCs w:val="22"/>
          <w:highlight w:val="yellow"/>
        </w:rPr>
      </w:pPr>
    </w:p>
    <w:p w14:paraId="56222E23" w14:textId="77777777" w:rsidR="00D33F7C" w:rsidRPr="00D33F7C" w:rsidRDefault="00D33F7C" w:rsidP="00D33F7C">
      <w:pPr>
        <w:pBdr>
          <w:top w:val="nil"/>
          <w:left w:val="nil"/>
          <w:bottom w:val="nil"/>
          <w:right w:val="nil"/>
          <w:between w:val="nil"/>
        </w:pBdr>
        <w:spacing w:line="276" w:lineRule="auto"/>
        <w:ind w:left="720" w:hanging="720"/>
        <w:rPr>
          <w:rFonts w:ascii="Palatino Linotype" w:eastAsia="Palatino Linotype" w:hAnsi="Palatino Linotype" w:cs="Palatino Linotype"/>
          <w:b/>
          <w:color w:val="222A35"/>
          <w:sz w:val="22"/>
          <w:szCs w:val="22"/>
          <w:highlight w:val="yellow"/>
        </w:rPr>
      </w:pPr>
      <w:bookmarkStart w:id="0" w:name="_30j0zll" w:colFirst="0" w:colLast="0"/>
      <w:bookmarkEnd w:id="0"/>
    </w:p>
    <w:p w14:paraId="7850E315" w14:textId="77777777" w:rsidR="00D33F7C" w:rsidRPr="00D33F7C" w:rsidRDefault="00D33F7C" w:rsidP="00D33F7C">
      <w:pPr>
        <w:widowControl w:val="0"/>
        <w:numPr>
          <w:ilvl w:val="0"/>
          <w:numId w:val="2"/>
        </w:numPr>
        <w:spacing w:line="276" w:lineRule="auto"/>
        <w:ind w:left="567" w:hanging="567"/>
        <w:jc w:val="both"/>
        <w:rPr>
          <w:rFonts w:ascii="Palatino Linotype" w:eastAsia="Palatino Linotype" w:hAnsi="Palatino Linotype" w:cs="Palatino Linotype"/>
          <w:b/>
          <w:color w:val="222A35"/>
          <w:sz w:val="22"/>
          <w:szCs w:val="22"/>
        </w:rPr>
      </w:pPr>
      <w:r w:rsidRPr="00D33F7C">
        <w:rPr>
          <w:rFonts w:ascii="Palatino Linotype" w:eastAsia="Palatino Linotype" w:hAnsi="Palatino Linotype" w:cs="Palatino Linotype"/>
          <w:b/>
          <w:color w:val="222A35"/>
          <w:sz w:val="22"/>
          <w:szCs w:val="22"/>
        </w:rPr>
        <w:t xml:space="preserve">Trends in Portfolio Management Services </w:t>
      </w:r>
    </w:p>
    <w:p w14:paraId="52248BD2" w14:textId="77777777" w:rsidR="00D33F7C" w:rsidRPr="00D33F7C" w:rsidRDefault="00D33F7C" w:rsidP="00D33F7C">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color w:val="000000" w:themeColor="text1"/>
          <w:sz w:val="22"/>
          <w:szCs w:val="22"/>
        </w:rPr>
      </w:pPr>
      <w:r w:rsidRPr="00D33F7C">
        <w:rPr>
          <w:rFonts w:ascii="Palatino Linotype" w:eastAsia="Palatino Linotype" w:hAnsi="Palatino Linotype" w:cs="Palatino Linotype"/>
          <w:color w:val="000000" w:themeColor="text1"/>
          <w:sz w:val="22"/>
          <w:szCs w:val="22"/>
        </w:rPr>
        <w:t xml:space="preserve">As at end of June 2021, AUM of the portfolio management industry stood at </w:t>
      </w:r>
      <w:r w:rsidRPr="00D33F7C">
        <w:rPr>
          <w:rFonts w:ascii="Times New Roman" w:eastAsia="Palatino Linotype" w:hAnsi="Times New Roman"/>
          <w:color w:val="000000" w:themeColor="text1"/>
          <w:sz w:val="22"/>
          <w:szCs w:val="22"/>
        </w:rPr>
        <w:t>₹</w:t>
      </w:r>
      <w:r w:rsidRPr="00D33F7C">
        <w:rPr>
          <w:rFonts w:ascii="Palatino Linotype" w:eastAsia="Palatino Linotype" w:hAnsi="Palatino Linotype" w:cs="Palatino Linotype"/>
          <w:color w:val="000000" w:themeColor="text1"/>
          <w:sz w:val="22"/>
          <w:szCs w:val="22"/>
        </w:rPr>
        <w:t xml:space="preserve">21.55 lakh crore compared to </w:t>
      </w:r>
      <w:r w:rsidRPr="00D33F7C">
        <w:rPr>
          <w:rFonts w:ascii="Times New Roman" w:eastAsia="Palatino Linotype" w:hAnsi="Times New Roman"/>
          <w:color w:val="000000" w:themeColor="text1"/>
          <w:sz w:val="22"/>
          <w:szCs w:val="22"/>
        </w:rPr>
        <w:t>₹</w:t>
      </w:r>
      <w:r w:rsidRPr="00D33F7C">
        <w:rPr>
          <w:rFonts w:ascii="Palatino Linotype" w:eastAsia="Palatino Linotype" w:hAnsi="Palatino Linotype" w:cs="Palatino Linotype"/>
          <w:color w:val="000000" w:themeColor="text1"/>
          <w:sz w:val="22"/>
          <w:szCs w:val="22"/>
        </w:rPr>
        <w:t xml:space="preserve">21.3 lakh crore at the end of May 2021. </w:t>
      </w:r>
    </w:p>
    <w:p w14:paraId="5F14E668" w14:textId="77777777" w:rsidR="00D33F7C" w:rsidRPr="00D33F7C" w:rsidRDefault="00D33F7C" w:rsidP="00D33F7C">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color w:val="000000" w:themeColor="text1"/>
          <w:sz w:val="22"/>
          <w:szCs w:val="22"/>
        </w:rPr>
      </w:pPr>
      <w:r w:rsidRPr="00D33F7C">
        <w:rPr>
          <w:rFonts w:ascii="Palatino Linotype" w:eastAsia="Palatino Linotype" w:hAnsi="Palatino Linotype" w:cs="Palatino Linotype"/>
          <w:color w:val="000000" w:themeColor="text1"/>
          <w:sz w:val="22"/>
          <w:szCs w:val="22"/>
        </w:rPr>
        <w:t>There were 1,26,420 total clients in portfolio management industry as at the end of June 2021, of which 1,16,621 clients belong to discretionary services category, 8,043 clients belong to non-discretionary services category and 1,756 clients belong to advisory services category of portfolio management services.</w:t>
      </w:r>
    </w:p>
    <w:p w14:paraId="3FD80BEF" w14:textId="77777777" w:rsidR="00D33F7C" w:rsidRPr="00D33F7C" w:rsidRDefault="00D33F7C" w:rsidP="00D33F7C">
      <w:pPr>
        <w:pBdr>
          <w:top w:val="nil"/>
          <w:left w:val="nil"/>
          <w:bottom w:val="nil"/>
          <w:right w:val="nil"/>
          <w:between w:val="nil"/>
        </w:pBdr>
        <w:spacing w:line="276" w:lineRule="auto"/>
        <w:ind w:left="720"/>
        <w:jc w:val="both"/>
        <w:rPr>
          <w:rFonts w:ascii="Palatino Linotype" w:eastAsia="Palatino Linotype" w:hAnsi="Palatino Linotype" w:cs="Palatino Linotype"/>
          <w:sz w:val="22"/>
          <w:szCs w:val="22"/>
        </w:rPr>
      </w:pPr>
    </w:p>
    <w:p w14:paraId="5E4E95BB" w14:textId="77777777" w:rsidR="00D33F7C" w:rsidRPr="00D33F7C" w:rsidRDefault="00D33F7C" w:rsidP="00D33F7C">
      <w:pPr>
        <w:widowControl w:val="0"/>
        <w:numPr>
          <w:ilvl w:val="0"/>
          <w:numId w:val="2"/>
        </w:numPr>
        <w:spacing w:line="276" w:lineRule="auto"/>
        <w:ind w:left="567" w:hanging="567"/>
        <w:rPr>
          <w:rFonts w:ascii="Palatino Linotype" w:eastAsia="Palatino Linotype" w:hAnsi="Palatino Linotype" w:cs="Palatino Linotype"/>
          <w:b/>
          <w:color w:val="222A35"/>
          <w:sz w:val="22"/>
          <w:szCs w:val="22"/>
        </w:rPr>
      </w:pPr>
      <w:r w:rsidRPr="00D33F7C">
        <w:rPr>
          <w:rFonts w:ascii="Palatino Linotype" w:eastAsia="Palatino Linotype" w:hAnsi="Palatino Linotype" w:cs="Palatino Linotype"/>
          <w:b/>
          <w:color w:val="222A35"/>
          <w:sz w:val="22"/>
          <w:szCs w:val="22"/>
        </w:rPr>
        <w:t>Trends in Substantial Acquisition of Shares and Takeovers</w:t>
      </w:r>
    </w:p>
    <w:p w14:paraId="07D312D6" w14:textId="0999A411" w:rsidR="00D33F7C" w:rsidRPr="00C4396C" w:rsidRDefault="00D33F7C" w:rsidP="00D33F7C">
      <w:pPr>
        <w:jc w:val="both"/>
        <w:rPr>
          <w:rFonts w:ascii="Palatino Linotype" w:eastAsia="Times New Roman" w:hAnsi="Palatino Linotype" w:cs="Garamond"/>
          <w:sz w:val="22"/>
          <w:szCs w:val="22"/>
        </w:rPr>
      </w:pPr>
      <w:r w:rsidRPr="00C4396C">
        <w:rPr>
          <w:rFonts w:ascii="Palatino Linotype" w:eastAsia="Palatino Linotype" w:hAnsi="Palatino Linotype" w:cs="Palatino Linotype"/>
          <w:sz w:val="22"/>
          <w:szCs w:val="22"/>
        </w:rPr>
        <w:t xml:space="preserve">During June 2021, six open offers with offer value of </w:t>
      </w:r>
      <w:r w:rsidRPr="00C4396C">
        <w:rPr>
          <w:rFonts w:ascii="Times New Roman" w:eastAsia="Palatino Linotype" w:hAnsi="Times New Roman"/>
          <w:sz w:val="22"/>
          <w:szCs w:val="22"/>
        </w:rPr>
        <w:t>₹</w:t>
      </w:r>
      <w:r w:rsidRPr="00C4396C">
        <w:rPr>
          <w:rFonts w:ascii="Palatino Linotype" w:eastAsia="Palatino Linotype" w:hAnsi="Palatino Linotype" w:cs="Palatino Linotype"/>
          <w:sz w:val="22"/>
          <w:szCs w:val="22"/>
        </w:rPr>
        <w:t xml:space="preserve">82 crore were closed under SEBI (Substantial Acquisition of Shares and Takeover) Regulations, 2011 (SAST Regulations) as against </w:t>
      </w:r>
      <w:r w:rsidR="00C4396C" w:rsidRPr="00C4396C">
        <w:rPr>
          <w:rFonts w:ascii="Palatino Linotype" w:eastAsia="Palatino Linotype" w:hAnsi="Palatino Linotype" w:cs="Palatino Linotype"/>
          <w:sz w:val="22"/>
          <w:szCs w:val="22"/>
        </w:rPr>
        <w:t>four</w:t>
      </w:r>
      <w:r w:rsidRPr="00C4396C">
        <w:rPr>
          <w:rFonts w:ascii="Palatino Linotype" w:eastAsia="Palatino Linotype" w:hAnsi="Palatino Linotype" w:cs="Palatino Linotype"/>
          <w:sz w:val="22"/>
          <w:szCs w:val="22"/>
        </w:rPr>
        <w:t xml:space="preserve"> open offers with offer value of </w:t>
      </w:r>
      <w:r w:rsidRPr="00C4396C">
        <w:rPr>
          <w:rFonts w:ascii="Times New Roman" w:eastAsia="Palatino Linotype" w:hAnsi="Times New Roman"/>
          <w:sz w:val="22"/>
          <w:szCs w:val="22"/>
        </w:rPr>
        <w:t>₹</w:t>
      </w:r>
      <w:r w:rsidRPr="00C4396C">
        <w:rPr>
          <w:rFonts w:ascii="Palatino Linotype" w:eastAsia="Palatino Linotype" w:hAnsi="Palatino Linotype" w:cs="Palatino Linotype"/>
          <w:sz w:val="22"/>
          <w:szCs w:val="22"/>
        </w:rPr>
        <w:t xml:space="preserve">1.400 crore were closed in May 2021. </w:t>
      </w:r>
      <w:r w:rsidRPr="00C4396C">
        <w:rPr>
          <w:rFonts w:ascii="Palatino Linotype" w:eastAsia="Times New Roman" w:hAnsi="Palatino Linotype" w:cs="Garamond"/>
          <w:sz w:val="22"/>
          <w:szCs w:val="22"/>
        </w:rPr>
        <w:t>All three open offers were for change</w:t>
      </w:r>
      <w:r w:rsidR="00C4396C" w:rsidRPr="00C4396C">
        <w:rPr>
          <w:rFonts w:ascii="Palatino Linotype" w:eastAsia="Times New Roman" w:hAnsi="Palatino Linotype" w:cs="Garamond"/>
          <w:sz w:val="22"/>
          <w:szCs w:val="22"/>
        </w:rPr>
        <w:t>d</w:t>
      </w:r>
      <w:r w:rsidRPr="00C4396C">
        <w:rPr>
          <w:rFonts w:ascii="Palatino Linotype" w:eastAsia="Times New Roman" w:hAnsi="Palatino Linotype" w:cs="Garamond"/>
          <w:sz w:val="22"/>
          <w:szCs w:val="22"/>
        </w:rPr>
        <w:t xml:space="preserve"> in control of management. </w:t>
      </w:r>
    </w:p>
    <w:p w14:paraId="47863E6F" w14:textId="77777777" w:rsidR="00D33F7C" w:rsidRPr="00D33F7C" w:rsidRDefault="00D33F7C" w:rsidP="00D33F7C">
      <w:pPr>
        <w:jc w:val="center"/>
        <w:rPr>
          <w:rFonts w:ascii="Palatino Linotype" w:eastAsia="Palatino Linotype" w:hAnsi="Palatino Linotype" w:cs="Palatino Linotype"/>
          <w:b/>
          <w:color w:val="222A35"/>
          <w:sz w:val="22"/>
          <w:szCs w:val="22"/>
        </w:rPr>
      </w:pPr>
      <w:r w:rsidRPr="00D33F7C">
        <w:rPr>
          <w:rFonts w:ascii="Palatino Linotype" w:eastAsia="Palatino Linotype" w:hAnsi="Palatino Linotype" w:cs="Palatino Linotype"/>
          <w:b/>
          <w:color w:val="222A35"/>
          <w:sz w:val="22"/>
          <w:szCs w:val="22"/>
        </w:rPr>
        <w:t>Figure 13: Details of Open Offers Closed under the SEBI (SAST) Regulations</w:t>
      </w:r>
    </w:p>
    <w:p w14:paraId="041605FD" w14:textId="49B6D73E" w:rsidR="00D33F7C" w:rsidRPr="00D33F7C" w:rsidRDefault="00C4396C" w:rsidP="00D33F7C">
      <w:pPr>
        <w:spacing w:line="276" w:lineRule="auto"/>
        <w:jc w:val="center"/>
        <w:rPr>
          <w:rFonts w:ascii="Palatino Linotype" w:eastAsia="Palatino Linotype" w:hAnsi="Palatino Linotype" w:cs="Palatino Linotype"/>
          <w:b/>
          <w:color w:val="222A35"/>
          <w:sz w:val="22"/>
          <w:szCs w:val="22"/>
          <w:highlight w:val="yellow"/>
        </w:rPr>
      </w:pPr>
      <w:r>
        <w:rPr>
          <w:noProof/>
          <w:lang w:val="en-IN" w:eastAsia="en-IN" w:bidi="hi-IN"/>
        </w:rPr>
        <w:drawing>
          <wp:inline distT="0" distB="0" distL="0" distR="0" wp14:anchorId="066C38F6" wp14:editId="0EE5EF63">
            <wp:extent cx="5600700" cy="2743200"/>
            <wp:effectExtent l="0" t="0" r="0" b="0"/>
            <wp:docPr id="1" name="Chart 1">
              <a:extLst xmlns:a="http://schemas.openxmlformats.org/drawingml/2006/main">
                <a:ext uri="{FF2B5EF4-FFF2-40B4-BE49-F238E27FC236}">
                  <a16:creationId xmlns:a16="http://schemas.microsoft.com/office/drawing/2014/main" id="{00000000-0008-0000-0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BF07055" w14:textId="77777777" w:rsidR="003B1F08" w:rsidRDefault="003B1F08" w:rsidP="003F4581">
      <w:pPr>
        <w:widowControl w:val="0"/>
        <w:ind w:left="-284"/>
        <w:jc w:val="both"/>
        <w:rPr>
          <w:rFonts w:ascii="Palatino Linotype" w:hAnsi="Palatino Linotype"/>
          <w:b/>
          <w:color w:val="0F0684"/>
        </w:rPr>
      </w:pPr>
    </w:p>
    <w:p w14:paraId="32125A46" w14:textId="77777777" w:rsidR="003B1F08" w:rsidRDefault="003B1F08" w:rsidP="003F4581">
      <w:pPr>
        <w:widowControl w:val="0"/>
        <w:ind w:left="-284"/>
        <w:jc w:val="both"/>
        <w:rPr>
          <w:rFonts w:ascii="Palatino Linotype" w:hAnsi="Palatino Linotype"/>
          <w:b/>
          <w:color w:val="0F0684"/>
        </w:rPr>
      </w:pPr>
    </w:p>
    <w:p w14:paraId="051E10C4" w14:textId="77777777" w:rsidR="003B1F08" w:rsidRDefault="003B1F08" w:rsidP="003F4581">
      <w:pPr>
        <w:widowControl w:val="0"/>
        <w:ind w:left="-284"/>
        <w:jc w:val="both"/>
        <w:rPr>
          <w:rFonts w:ascii="Palatino Linotype" w:hAnsi="Palatino Linotype"/>
          <w:b/>
          <w:color w:val="0F0684"/>
        </w:rPr>
      </w:pPr>
    </w:p>
    <w:p w14:paraId="6D75E0CE" w14:textId="77777777" w:rsidR="003F4581" w:rsidRPr="00B92D2D" w:rsidRDefault="003F4581" w:rsidP="003F4581">
      <w:pPr>
        <w:widowControl w:val="0"/>
        <w:ind w:left="-284"/>
        <w:jc w:val="both"/>
        <w:rPr>
          <w:rFonts w:ascii="Palatino Linotype" w:eastAsia="Times New Roman" w:hAnsi="Palatino Linotype"/>
          <w:b/>
          <w:color w:val="0F0684"/>
        </w:rPr>
      </w:pPr>
      <w:r w:rsidRPr="00B92D2D">
        <w:rPr>
          <w:rFonts w:ascii="Palatino Linotype" w:hAnsi="Palatino Linotype"/>
          <w:b/>
          <w:color w:val="0F0684"/>
        </w:rPr>
        <w:t>IX.</w:t>
      </w:r>
      <w:r>
        <w:rPr>
          <w:rFonts w:ascii="Palatino Linotype" w:hAnsi="Palatino Linotype"/>
          <w:b/>
          <w:color w:val="0F0684"/>
        </w:rPr>
        <w:t xml:space="preserve">     Commodity </w:t>
      </w:r>
      <w:r w:rsidRPr="00B92D2D">
        <w:rPr>
          <w:rFonts w:ascii="Palatino Linotype" w:hAnsi="Palatino Linotype"/>
          <w:b/>
          <w:color w:val="0F0684"/>
        </w:rPr>
        <w:t>Derivatives Markets</w:t>
      </w:r>
    </w:p>
    <w:p w14:paraId="5E3E221D" w14:textId="77777777" w:rsidR="003F4581" w:rsidRPr="00B92D2D" w:rsidRDefault="003F4581" w:rsidP="003F4581">
      <w:pPr>
        <w:pStyle w:val="ListParagraph"/>
        <w:spacing w:after="0" w:line="240" w:lineRule="auto"/>
        <w:jc w:val="both"/>
        <w:rPr>
          <w:rFonts w:ascii="Palatino Linotype" w:eastAsia="Times New Roman" w:hAnsi="Palatino Linotype"/>
          <w:b/>
          <w:color w:val="000000"/>
          <w:sz w:val="22"/>
          <w:szCs w:val="22"/>
        </w:rPr>
      </w:pPr>
    </w:p>
    <w:p w14:paraId="10AFA64D" w14:textId="77777777" w:rsidR="00F418DA" w:rsidRPr="00B92D2D" w:rsidRDefault="00F418DA" w:rsidP="00F418DA">
      <w:pPr>
        <w:pStyle w:val="ListParagraph"/>
        <w:numPr>
          <w:ilvl w:val="0"/>
          <w:numId w:val="12"/>
        </w:numPr>
        <w:tabs>
          <w:tab w:val="left" w:pos="567"/>
        </w:tabs>
        <w:spacing w:after="0" w:line="240" w:lineRule="auto"/>
        <w:ind w:left="0" w:firstLine="0"/>
        <w:jc w:val="both"/>
        <w:rPr>
          <w:rFonts w:ascii="Palatino Linotype" w:eastAsia="Times New Roman" w:hAnsi="Palatino Linotype"/>
          <w:b/>
          <w:color w:val="000000"/>
          <w:sz w:val="22"/>
          <w:szCs w:val="22"/>
        </w:rPr>
      </w:pPr>
      <w:r w:rsidRPr="00B92D2D">
        <w:rPr>
          <w:rFonts w:ascii="Palatino Linotype" w:eastAsia="Times New Roman" w:hAnsi="Palatino Linotype"/>
          <w:b/>
          <w:color w:val="000000"/>
          <w:sz w:val="22"/>
          <w:szCs w:val="22"/>
        </w:rPr>
        <w:t>Market Trends</w:t>
      </w:r>
    </w:p>
    <w:p w14:paraId="3D8BA3CD" w14:textId="77777777" w:rsidR="00F418DA" w:rsidRPr="009803F8" w:rsidRDefault="00F418DA" w:rsidP="00F418DA">
      <w:pPr>
        <w:pStyle w:val="ListParagraph"/>
        <w:numPr>
          <w:ilvl w:val="0"/>
          <w:numId w:val="13"/>
        </w:numPr>
        <w:spacing w:after="0" w:line="240" w:lineRule="auto"/>
        <w:ind w:left="567" w:hanging="526"/>
        <w:jc w:val="both"/>
        <w:rPr>
          <w:rFonts w:ascii="Palatino Linotype" w:hAnsi="Palatino Linotype"/>
          <w:sz w:val="22"/>
          <w:szCs w:val="22"/>
        </w:rPr>
      </w:pPr>
      <w:r w:rsidRPr="009803F8">
        <w:rPr>
          <w:rFonts w:ascii="Palatino Linotype" w:hAnsi="Palatino Linotype"/>
          <w:sz w:val="22"/>
          <w:szCs w:val="22"/>
        </w:rPr>
        <w:t xml:space="preserve">During June 2021, MCX iCOMDEX composite index witnessed a decrease of 1.3 per cent (M-o-M).  This decrease was </w:t>
      </w:r>
      <w:r>
        <w:rPr>
          <w:rFonts w:ascii="Palatino Linotype" w:hAnsi="Palatino Linotype"/>
          <w:sz w:val="22"/>
          <w:szCs w:val="22"/>
        </w:rPr>
        <w:t xml:space="preserve">mainly </w:t>
      </w:r>
      <w:r w:rsidRPr="009803F8">
        <w:rPr>
          <w:rFonts w:ascii="Palatino Linotype" w:hAnsi="Palatino Linotype"/>
          <w:sz w:val="22"/>
          <w:szCs w:val="22"/>
        </w:rPr>
        <w:t xml:space="preserve">driven by </w:t>
      </w:r>
      <w:r>
        <w:rPr>
          <w:rFonts w:ascii="Palatino Linotype" w:hAnsi="Palatino Linotype"/>
          <w:sz w:val="22"/>
          <w:szCs w:val="22"/>
        </w:rPr>
        <w:t xml:space="preserve">fall in the </w:t>
      </w:r>
      <w:r w:rsidRPr="009803F8">
        <w:rPr>
          <w:rFonts w:ascii="Palatino Linotype" w:hAnsi="Palatino Linotype"/>
          <w:sz w:val="22"/>
          <w:szCs w:val="22"/>
        </w:rPr>
        <w:t xml:space="preserve">futures prices </w:t>
      </w:r>
      <w:r>
        <w:rPr>
          <w:rFonts w:ascii="Palatino Linotype" w:hAnsi="Palatino Linotype"/>
          <w:sz w:val="22"/>
          <w:szCs w:val="22"/>
        </w:rPr>
        <w:t xml:space="preserve">of gold, silver, copper and crude palm oil.  </w:t>
      </w:r>
      <w:r w:rsidRPr="009803F8">
        <w:rPr>
          <w:rFonts w:ascii="Palatino Linotype" w:hAnsi="Palatino Linotype"/>
          <w:sz w:val="22"/>
          <w:szCs w:val="22"/>
        </w:rPr>
        <w:t>O</w:t>
      </w:r>
      <w:r w:rsidRPr="009803F8">
        <w:rPr>
          <w:rFonts w:ascii="Palatino Linotype" w:eastAsia="Times New Roman" w:hAnsi="Palatino Linotype"/>
          <w:color w:val="000000"/>
          <w:sz w:val="22"/>
          <w:szCs w:val="22"/>
        </w:rPr>
        <w:t xml:space="preserve">n Y-o-Y basis, MCX iCOMDEX composite index increased by 24.5 per cent. </w:t>
      </w:r>
    </w:p>
    <w:p w14:paraId="3117C26B" w14:textId="77777777" w:rsidR="00F418DA" w:rsidRPr="009803F8" w:rsidRDefault="00F418DA" w:rsidP="00F418DA">
      <w:pPr>
        <w:pStyle w:val="ListParagraph"/>
        <w:numPr>
          <w:ilvl w:val="0"/>
          <w:numId w:val="13"/>
        </w:numPr>
        <w:spacing w:after="0" w:line="240" w:lineRule="auto"/>
        <w:ind w:left="567" w:hanging="526"/>
        <w:jc w:val="both"/>
        <w:rPr>
          <w:rFonts w:ascii="Palatino Linotype" w:hAnsi="Palatino Linotype"/>
          <w:sz w:val="22"/>
          <w:szCs w:val="22"/>
        </w:rPr>
      </w:pPr>
      <w:r w:rsidRPr="009803F8">
        <w:rPr>
          <w:rFonts w:ascii="Palatino Linotype" w:hAnsi="Palatino Linotype"/>
          <w:sz w:val="22"/>
          <w:szCs w:val="22"/>
        </w:rPr>
        <w:t xml:space="preserve">During the month, </w:t>
      </w:r>
      <w:r w:rsidRPr="009803F8">
        <w:rPr>
          <w:rFonts w:ascii="Palatino Linotype" w:eastAsia="Times New Roman" w:hAnsi="Palatino Linotype"/>
          <w:color w:val="000000"/>
          <w:sz w:val="22"/>
          <w:szCs w:val="22"/>
        </w:rPr>
        <w:t xml:space="preserve">MCX iCOMDEX crude oil index increased by </w:t>
      </w:r>
      <w:r>
        <w:rPr>
          <w:rFonts w:ascii="Palatino Linotype" w:eastAsia="Times New Roman" w:hAnsi="Palatino Linotype"/>
          <w:color w:val="000000"/>
          <w:sz w:val="22"/>
          <w:szCs w:val="22"/>
        </w:rPr>
        <w:t>12.9</w:t>
      </w:r>
      <w:r w:rsidRPr="009803F8">
        <w:rPr>
          <w:rFonts w:ascii="Palatino Linotype" w:eastAsia="Times New Roman" w:hAnsi="Palatino Linotype"/>
          <w:color w:val="000000"/>
          <w:sz w:val="22"/>
          <w:szCs w:val="22"/>
        </w:rPr>
        <w:t xml:space="preserve"> per cent</w:t>
      </w:r>
      <w:r>
        <w:rPr>
          <w:rFonts w:ascii="Palatino Linotype" w:eastAsia="Times New Roman" w:hAnsi="Palatino Linotype"/>
          <w:color w:val="000000"/>
          <w:sz w:val="22"/>
          <w:szCs w:val="22"/>
        </w:rPr>
        <w:t xml:space="preserve">. On the other hand, </w:t>
      </w:r>
      <w:r w:rsidRPr="009803F8">
        <w:rPr>
          <w:rFonts w:ascii="Palatino Linotype" w:eastAsia="Times New Roman" w:hAnsi="Palatino Linotype"/>
          <w:color w:val="000000"/>
          <w:sz w:val="22"/>
          <w:szCs w:val="22"/>
        </w:rPr>
        <w:t>MCX iCOMDEX bullion index decreased by 5.</w:t>
      </w:r>
      <w:r>
        <w:rPr>
          <w:rFonts w:ascii="Palatino Linotype" w:eastAsia="Times New Roman" w:hAnsi="Palatino Linotype"/>
          <w:color w:val="000000"/>
          <w:sz w:val="22"/>
          <w:szCs w:val="22"/>
        </w:rPr>
        <w:t>2</w:t>
      </w:r>
      <w:r w:rsidRPr="009803F8">
        <w:rPr>
          <w:rFonts w:ascii="Palatino Linotype" w:eastAsia="Times New Roman" w:hAnsi="Palatino Linotype"/>
          <w:color w:val="000000"/>
          <w:sz w:val="22"/>
          <w:szCs w:val="22"/>
        </w:rPr>
        <w:t xml:space="preserve"> per cent due to decrease in futures prices of both gold and silver by 5.1 per cent and 5.2 per cent, respectively. MCX iCOMDEX base metal index also decreased by 1.</w:t>
      </w:r>
      <w:r>
        <w:rPr>
          <w:rFonts w:ascii="Palatino Linotype" w:eastAsia="Times New Roman" w:hAnsi="Palatino Linotype"/>
          <w:color w:val="000000"/>
          <w:sz w:val="22"/>
          <w:szCs w:val="22"/>
        </w:rPr>
        <w:t>8</w:t>
      </w:r>
      <w:r w:rsidRPr="009803F8">
        <w:rPr>
          <w:rFonts w:ascii="Palatino Linotype" w:eastAsia="Times New Roman" w:hAnsi="Palatino Linotype"/>
          <w:color w:val="000000"/>
          <w:sz w:val="22"/>
          <w:szCs w:val="22"/>
        </w:rPr>
        <w:t xml:space="preserve"> per cent as the futures prices of copper decreased by 6.1 per cent</w:t>
      </w:r>
      <w:r>
        <w:rPr>
          <w:rFonts w:ascii="Palatino Linotype" w:eastAsia="Times New Roman" w:hAnsi="Palatino Linotype"/>
          <w:color w:val="000000"/>
          <w:sz w:val="22"/>
          <w:szCs w:val="22"/>
        </w:rPr>
        <w:t>.</w:t>
      </w:r>
      <w:r w:rsidRPr="009803F8">
        <w:rPr>
          <w:rFonts w:ascii="Palatino Linotype" w:eastAsia="Times New Roman" w:hAnsi="Palatino Linotype"/>
          <w:color w:val="000000"/>
          <w:sz w:val="22"/>
          <w:szCs w:val="22"/>
        </w:rPr>
        <w:t xml:space="preserve"> </w:t>
      </w:r>
    </w:p>
    <w:p w14:paraId="778A5FA1" w14:textId="24D14ECE" w:rsidR="00F418DA" w:rsidRPr="009803F8" w:rsidRDefault="00F418DA" w:rsidP="00F418DA">
      <w:pPr>
        <w:pStyle w:val="ListParagraph"/>
        <w:numPr>
          <w:ilvl w:val="0"/>
          <w:numId w:val="13"/>
        </w:numPr>
        <w:spacing w:after="0" w:line="240" w:lineRule="auto"/>
        <w:ind w:left="567" w:hanging="526"/>
        <w:jc w:val="both"/>
        <w:rPr>
          <w:rFonts w:ascii="Palatino Linotype" w:eastAsia="Times New Roman" w:hAnsi="Palatino Linotype"/>
          <w:color w:val="000000"/>
          <w:sz w:val="22"/>
          <w:szCs w:val="22"/>
        </w:rPr>
      </w:pPr>
      <w:r>
        <w:rPr>
          <w:rFonts w:ascii="Palatino Linotype" w:hAnsi="Palatino Linotype"/>
          <w:sz w:val="22"/>
          <w:szCs w:val="22"/>
        </w:rPr>
        <w:t xml:space="preserve">NCDEX </w:t>
      </w:r>
      <w:r w:rsidRPr="009803F8">
        <w:rPr>
          <w:rFonts w:ascii="Palatino Linotype" w:hAnsi="Palatino Linotype"/>
          <w:sz w:val="22"/>
          <w:szCs w:val="22"/>
        </w:rPr>
        <w:t xml:space="preserve">NKrishi </w:t>
      </w:r>
      <w:r w:rsidRPr="009803F8">
        <w:rPr>
          <w:rFonts w:ascii="Palatino Linotype" w:eastAsia="Times New Roman" w:hAnsi="Palatino Linotype"/>
          <w:color w:val="000000"/>
          <w:sz w:val="22"/>
          <w:szCs w:val="22"/>
        </w:rPr>
        <w:t>index</w:t>
      </w:r>
      <w:r w:rsidRPr="009803F8">
        <w:rPr>
          <w:rFonts w:ascii="Palatino Linotype" w:hAnsi="Palatino Linotype"/>
          <w:sz w:val="22"/>
          <w:szCs w:val="22"/>
        </w:rPr>
        <w:t xml:space="preserve"> decreased marginally by 0.2</w:t>
      </w:r>
      <w:r>
        <w:rPr>
          <w:rFonts w:ascii="Palatino Linotype" w:hAnsi="Palatino Linotype"/>
          <w:sz w:val="22"/>
          <w:szCs w:val="22"/>
        </w:rPr>
        <w:t xml:space="preserve"> per cent (M-o-M) </w:t>
      </w:r>
      <w:r w:rsidR="00214741">
        <w:rPr>
          <w:rFonts w:ascii="Palatino Linotype" w:hAnsi="Palatino Linotype"/>
          <w:sz w:val="22"/>
          <w:szCs w:val="22"/>
        </w:rPr>
        <w:t xml:space="preserve">on account of </w:t>
      </w:r>
      <w:r>
        <w:rPr>
          <w:rFonts w:ascii="Palatino Linotype" w:hAnsi="Palatino Linotype"/>
          <w:sz w:val="22"/>
          <w:szCs w:val="22"/>
        </w:rPr>
        <w:t>the mixed trend recorded</w:t>
      </w:r>
      <w:r w:rsidRPr="009803F8">
        <w:rPr>
          <w:rFonts w:ascii="Palatino Linotype" w:hAnsi="Palatino Linotype"/>
          <w:sz w:val="22"/>
          <w:szCs w:val="22"/>
        </w:rPr>
        <w:t xml:space="preserve"> in futures prices among its constituent commodities.  Futures prices of seven out of 10 </w:t>
      </w:r>
      <w:r w:rsidRPr="009803F8">
        <w:rPr>
          <w:rFonts w:ascii="Palatino Linotype" w:eastAsia="Times New Roman" w:hAnsi="Palatino Linotype"/>
          <w:color w:val="000000"/>
          <w:sz w:val="22"/>
          <w:szCs w:val="22"/>
        </w:rPr>
        <w:t xml:space="preserve">constituent commodities of the index viz. guarseed, RM seed, chana, turmeric, jeera, coriander and gur witnessed downtrend. On Y-o-Y basis, NKrishi index increased by 46.1 per cent. </w:t>
      </w:r>
    </w:p>
    <w:p w14:paraId="12839EC0" w14:textId="77777777" w:rsidR="00F418DA" w:rsidRPr="009803F8" w:rsidRDefault="00F418DA" w:rsidP="00F418DA">
      <w:pPr>
        <w:pStyle w:val="ListParagraph"/>
        <w:numPr>
          <w:ilvl w:val="0"/>
          <w:numId w:val="13"/>
        </w:numPr>
        <w:spacing w:after="0" w:line="240" w:lineRule="auto"/>
        <w:ind w:left="567" w:hanging="526"/>
        <w:jc w:val="both"/>
        <w:rPr>
          <w:rFonts w:ascii="Palatino Linotype" w:eastAsia="Times New Roman" w:hAnsi="Palatino Linotype"/>
          <w:color w:val="000000"/>
          <w:sz w:val="22"/>
          <w:szCs w:val="22"/>
        </w:rPr>
      </w:pPr>
      <w:r w:rsidRPr="009803F8">
        <w:rPr>
          <w:rFonts w:ascii="Palatino Linotype" w:eastAsia="Times New Roman" w:hAnsi="Palatino Linotype"/>
          <w:color w:val="000000"/>
          <w:sz w:val="22"/>
          <w:szCs w:val="22"/>
        </w:rPr>
        <w:t>Movement in MCX iCOMDEX composite Index and NKrishi Index during June 2021 is given in Figure 14 and the monthly data of these indices is provided in Table 64.</w:t>
      </w:r>
    </w:p>
    <w:p w14:paraId="5E6DD795" w14:textId="77777777" w:rsidR="00F418DA" w:rsidRPr="009803F8" w:rsidRDefault="00F418DA" w:rsidP="00F418DA">
      <w:pPr>
        <w:rPr>
          <w:rFonts w:ascii="Palatino Linotype" w:eastAsia="Times New Roman" w:hAnsi="Palatino Linotype"/>
          <w:b/>
          <w:color w:val="2E74B5"/>
        </w:rPr>
      </w:pPr>
    </w:p>
    <w:p w14:paraId="36F452EF" w14:textId="77777777" w:rsidR="00F418DA" w:rsidRDefault="00F418DA" w:rsidP="00F418DA">
      <w:pPr>
        <w:pStyle w:val="ListParagraph"/>
        <w:spacing w:after="0" w:line="240" w:lineRule="auto"/>
        <w:ind w:left="0"/>
        <w:rPr>
          <w:rFonts w:ascii="Palatino Linotype" w:eastAsia="Times New Roman" w:hAnsi="Palatino Linotype"/>
          <w:b/>
          <w:sz w:val="22"/>
          <w:szCs w:val="22"/>
        </w:rPr>
      </w:pPr>
      <w:r>
        <w:rPr>
          <w:noProof/>
          <w:lang w:val="en-IN" w:eastAsia="en-IN" w:bidi="hi-IN"/>
        </w:rPr>
        <w:drawing>
          <wp:anchor distT="6096" distB="4318" distL="120396" distR="121031" simplePos="0" relativeHeight="251659264" behindDoc="0" locked="0" layoutInCell="1" allowOverlap="1" wp14:anchorId="5CBF369F" wp14:editId="2E9F4EE6">
            <wp:simplePos x="0" y="0"/>
            <wp:positionH relativeFrom="column">
              <wp:posOffset>583311</wp:posOffset>
            </wp:positionH>
            <wp:positionV relativeFrom="paragraph">
              <wp:posOffset>376301</wp:posOffset>
            </wp:positionV>
            <wp:extent cx="4570730" cy="2878455"/>
            <wp:effectExtent l="0" t="0" r="1270" b="17145"/>
            <wp:wrapTopAndBottom/>
            <wp:docPr id="20" name="Char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margin">
              <wp14:pctHeight>0</wp14:pctHeight>
            </wp14:sizeRelV>
          </wp:anchor>
        </w:drawing>
      </w:r>
      <w:r w:rsidRPr="009803F8">
        <w:rPr>
          <w:rFonts w:ascii="Palatino Linotype" w:eastAsia="Times New Roman" w:hAnsi="Palatino Linotype"/>
          <w:b/>
          <w:sz w:val="22"/>
          <w:szCs w:val="22"/>
        </w:rPr>
        <w:t>Figure 14: Movement of Commodity Derivatives Market Indices during June 2021</w:t>
      </w:r>
    </w:p>
    <w:p w14:paraId="561E7290" w14:textId="77777777" w:rsidR="00F418DA" w:rsidRPr="00DA4621" w:rsidRDefault="00F418DA" w:rsidP="00F418DA">
      <w:pPr>
        <w:pStyle w:val="ListParagraph"/>
        <w:spacing w:after="0" w:line="240" w:lineRule="auto"/>
        <w:ind w:left="142" w:hanging="142"/>
        <w:rPr>
          <w:rFonts w:ascii="Palatino Linotype" w:eastAsia="Times New Roman" w:hAnsi="Palatino Linotype"/>
          <w:b/>
          <w:color w:val="2E74B5"/>
          <w:sz w:val="22"/>
          <w:szCs w:val="22"/>
        </w:rPr>
      </w:pPr>
    </w:p>
    <w:p w14:paraId="691DF30C" w14:textId="77777777" w:rsidR="00F418DA" w:rsidRDefault="00F418DA" w:rsidP="00F418DA">
      <w:pPr>
        <w:pStyle w:val="ListParagraph"/>
        <w:spacing w:after="0" w:line="480" w:lineRule="auto"/>
        <w:ind w:left="-426"/>
        <w:rPr>
          <w:rFonts w:ascii="Palatino Linotype" w:hAnsi="Palatino Linotype" w:cs="Arial"/>
          <w:b/>
          <w:bCs/>
          <w:sz w:val="22"/>
          <w:szCs w:val="22"/>
        </w:rPr>
      </w:pPr>
      <w:r w:rsidRPr="00B92D2D">
        <w:rPr>
          <w:rFonts w:ascii="Palatino Linotype" w:hAnsi="Palatino Linotype" w:cs="Arial"/>
          <w:b/>
          <w:bCs/>
          <w:sz w:val="22"/>
          <w:szCs w:val="22"/>
        </w:rPr>
        <w:t xml:space="preserve">             </w:t>
      </w:r>
      <w:r>
        <w:rPr>
          <w:rFonts w:ascii="Palatino Linotype" w:hAnsi="Palatino Linotype" w:cs="Arial"/>
          <w:b/>
          <w:bCs/>
          <w:sz w:val="22"/>
          <w:szCs w:val="22"/>
        </w:rPr>
        <w:t xml:space="preserve">             </w:t>
      </w:r>
      <w:r w:rsidRPr="009B2971">
        <w:rPr>
          <w:rFonts w:ascii="Palatino Linotype" w:hAnsi="Palatino Linotype" w:cs="Arial"/>
          <w:b/>
          <w:bCs/>
          <w:sz w:val="18"/>
          <w:szCs w:val="18"/>
        </w:rPr>
        <w:t>Source: MCX and NCDEX</w:t>
      </w:r>
    </w:p>
    <w:p w14:paraId="3D02136A" w14:textId="77777777" w:rsidR="00F418DA" w:rsidRDefault="00F418DA" w:rsidP="00F418DA">
      <w:pPr>
        <w:pStyle w:val="ListParagraph"/>
        <w:tabs>
          <w:tab w:val="left" w:pos="3360"/>
        </w:tabs>
        <w:spacing w:after="0" w:line="480" w:lineRule="auto"/>
        <w:ind w:left="-426"/>
        <w:rPr>
          <w:rFonts w:ascii="Palatino Linotype" w:hAnsi="Palatino Linotype" w:cs="Arial"/>
          <w:b/>
          <w:bCs/>
          <w:sz w:val="22"/>
          <w:szCs w:val="22"/>
        </w:rPr>
      </w:pPr>
      <w:r>
        <w:rPr>
          <w:rFonts w:ascii="Palatino Linotype" w:hAnsi="Palatino Linotype" w:cs="Arial"/>
          <w:b/>
          <w:bCs/>
          <w:sz w:val="22"/>
          <w:szCs w:val="22"/>
        </w:rPr>
        <w:tab/>
      </w:r>
    </w:p>
    <w:p w14:paraId="13AF8D3F" w14:textId="77777777" w:rsidR="00F418DA" w:rsidRDefault="00F418DA" w:rsidP="00F418DA">
      <w:pPr>
        <w:rPr>
          <w:rFonts w:ascii="Palatino Linotype" w:hAnsi="Palatino Linotype" w:cs="Arial"/>
          <w:b/>
          <w:bCs/>
        </w:rPr>
      </w:pPr>
      <w:r>
        <w:rPr>
          <w:rFonts w:ascii="Palatino Linotype" w:hAnsi="Palatino Linotype" w:cs="Arial"/>
          <w:b/>
          <w:bCs/>
        </w:rPr>
        <w:br w:type="page"/>
      </w:r>
    </w:p>
    <w:p w14:paraId="50CA6528" w14:textId="77777777" w:rsidR="00F418DA" w:rsidRDefault="00F418DA" w:rsidP="00F418DA">
      <w:pPr>
        <w:jc w:val="both"/>
        <w:rPr>
          <w:rFonts w:ascii="Palatino Linotype" w:hAnsi="Palatino Linotype" w:cs="Arial"/>
          <w:b/>
          <w:bCs/>
        </w:rPr>
      </w:pPr>
      <w:r>
        <w:rPr>
          <w:rFonts w:ascii="Palatino Linotype" w:hAnsi="Palatino Linotype" w:cs="Arial"/>
          <w:b/>
          <w:bCs/>
        </w:rPr>
        <w:lastRenderedPageBreak/>
        <w:t xml:space="preserve">             </w:t>
      </w:r>
      <w:r w:rsidRPr="00D45369">
        <w:rPr>
          <w:rFonts w:ascii="Palatino Linotype" w:hAnsi="Palatino Linotype" w:cs="Arial"/>
          <w:b/>
          <w:bCs/>
        </w:rPr>
        <w:t>Table 4: Snapshot of Indian Commodity Derivatives Markets</w:t>
      </w:r>
    </w:p>
    <w:p w14:paraId="7F977D01" w14:textId="77777777" w:rsidR="00F418DA" w:rsidRDefault="00F418DA" w:rsidP="00F418DA">
      <w:pPr>
        <w:ind w:left="-426"/>
        <w:jc w:val="both"/>
        <w:rPr>
          <w:rFonts w:ascii="Palatino Linotype" w:hAnsi="Palatino Linotype" w:cs="Arial"/>
          <w:b/>
          <w:bCs/>
        </w:rPr>
      </w:pPr>
    </w:p>
    <w:tbl>
      <w:tblPr>
        <w:tblW w:w="8850" w:type="dxa"/>
        <w:tblInd w:w="113" w:type="dxa"/>
        <w:tblLook w:val="04A0" w:firstRow="1" w:lastRow="0" w:firstColumn="1" w:lastColumn="0" w:noHBand="0" w:noVBand="1"/>
      </w:tblPr>
      <w:tblGrid>
        <w:gridCol w:w="3100"/>
        <w:gridCol w:w="1437"/>
        <w:gridCol w:w="1437"/>
        <w:gridCol w:w="1437"/>
        <w:gridCol w:w="1439"/>
      </w:tblGrid>
      <w:tr w:rsidR="00F418DA" w:rsidRPr="004B7914" w14:paraId="0924F09D" w14:textId="77777777" w:rsidTr="00E213CE">
        <w:trPr>
          <w:trHeight w:val="667"/>
        </w:trPr>
        <w:tc>
          <w:tcPr>
            <w:tcW w:w="3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A38885" w14:textId="77777777" w:rsidR="00F418DA" w:rsidRPr="004B7914" w:rsidRDefault="00F418DA" w:rsidP="00E213CE">
            <w:pPr>
              <w:jc w:val="center"/>
              <w:rPr>
                <w:rFonts w:ascii="Palatino Linotype" w:eastAsia="Times New Roman" w:hAnsi="Palatino Linotype" w:cs="Calibri"/>
                <w:b/>
                <w:bCs/>
                <w:color w:val="000000"/>
                <w:sz w:val="20"/>
                <w:szCs w:val="20"/>
                <w:lang w:val="en-IN" w:eastAsia="en-IN" w:bidi="hi-IN"/>
              </w:rPr>
            </w:pPr>
            <w:r w:rsidRPr="004B7914">
              <w:rPr>
                <w:rFonts w:ascii="Palatino Linotype" w:eastAsia="Times New Roman" w:hAnsi="Palatino Linotype" w:cs="Calibri"/>
                <w:b/>
                <w:bCs/>
                <w:color w:val="000000"/>
                <w:sz w:val="20"/>
                <w:szCs w:val="20"/>
                <w:lang w:val="en-IN" w:eastAsia="en-IN" w:bidi="hi-IN"/>
              </w:rPr>
              <w:t>Items</w:t>
            </w:r>
          </w:p>
        </w:tc>
        <w:tc>
          <w:tcPr>
            <w:tcW w:w="1437" w:type="dxa"/>
            <w:tcBorders>
              <w:top w:val="single" w:sz="4" w:space="0" w:color="auto"/>
              <w:left w:val="nil"/>
              <w:bottom w:val="single" w:sz="4" w:space="0" w:color="auto"/>
              <w:right w:val="single" w:sz="4" w:space="0" w:color="auto"/>
            </w:tcBorders>
            <w:shd w:val="clear" w:color="auto" w:fill="auto"/>
            <w:noWrap/>
            <w:vAlign w:val="center"/>
            <w:hideMark/>
          </w:tcPr>
          <w:p w14:paraId="29B94B95" w14:textId="77777777" w:rsidR="00F418DA" w:rsidRPr="004B7914" w:rsidRDefault="00F418DA" w:rsidP="00E213CE">
            <w:pPr>
              <w:jc w:val="center"/>
              <w:rPr>
                <w:rFonts w:ascii="Palatino Linotype" w:eastAsia="Times New Roman" w:hAnsi="Palatino Linotype" w:cs="Calibri"/>
                <w:b/>
                <w:bCs/>
                <w:sz w:val="20"/>
                <w:szCs w:val="20"/>
                <w:lang w:val="en-IN" w:eastAsia="en-IN" w:bidi="hi-IN"/>
              </w:rPr>
            </w:pPr>
            <w:r w:rsidRPr="004B7914">
              <w:rPr>
                <w:rFonts w:ascii="Palatino Linotype" w:eastAsia="Times New Roman" w:hAnsi="Palatino Linotype" w:cs="Calibri"/>
                <w:b/>
                <w:bCs/>
                <w:sz w:val="20"/>
                <w:szCs w:val="20"/>
                <w:lang w:val="en-IN" w:eastAsia="en-IN" w:bidi="hi-IN"/>
              </w:rPr>
              <w:t>Apr-21</w:t>
            </w:r>
          </w:p>
        </w:tc>
        <w:tc>
          <w:tcPr>
            <w:tcW w:w="1437" w:type="dxa"/>
            <w:tcBorders>
              <w:top w:val="single" w:sz="4" w:space="0" w:color="auto"/>
              <w:left w:val="nil"/>
              <w:bottom w:val="single" w:sz="4" w:space="0" w:color="auto"/>
              <w:right w:val="single" w:sz="4" w:space="0" w:color="auto"/>
            </w:tcBorders>
            <w:shd w:val="clear" w:color="auto" w:fill="auto"/>
            <w:noWrap/>
            <w:vAlign w:val="center"/>
            <w:hideMark/>
          </w:tcPr>
          <w:p w14:paraId="449550F2" w14:textId="77777777" w:rsidR="00F418DA" w:rsidRPr="004B7914" w:rsidRDefault="00F418DA" w:rsidP="00E213CE">
            <w:pPr>
              <w:jc w:val="center"/>
              <w:rPr>
                <w:rFonts w:ascii="Palatino Linotype" w:eastAsia="Times New Roman" w:hAnsi="Palatino Linotype" w:cs="Calibri"/>
                <w:b/>
                <w:bCs/>
                <w:sz w:val="20"/>
                <w:szCs w:val="20"/>
                <w:lang w:val="en-IN" w:eastAsia="en-IN" w:bidi="hi-IN"/>
              </w:rPr>
            </w:pPr>
            <w:r w:rsidRPr="004B7914">
              <w:rPr>
                <w:rFonts w:ascii="Palatino Linotype" w:eastAsia="Times New Roman" w:hAnsi="Palatino Linotype" w:cs="Calibri"/>
                <w:b/>
                <w:bCs/>
                <w:sz w:val="20"/>
                <w:szCs w:val="20"/>
                <w:lang w:val="en-IN" w:eastAsia="en-IN" w:bidi="hi-IN"/>
              </w:rPr>
              <w:t>May-21</w:t>
            </w:r>
          </w:p>
        </w:tc>
        <w:tc>
          <w:tcPr>
            <w:tcW w:w="1437" w:type="dxa"/>
            <w:tcBorders>
              <w:top w:val="single" w:sz="4" w:space="0" w:color="auto"/>
              <w:left w:val="nil"/>
              <w:bottom w:val="single" w:sz="4" w:space="0" w:color="auto"/>
              <w:right w:val="single" w:sz="4" w:space="0" w:color="auto"/>
            </w:tcBorders>
            <w:shd w:val="clear" w:color="auto" w:fill="auto"/>
            <w:noWrap/>
            <w:vAlign w:val="center"/>
            <w:hideMark/>
          </w:tcPr>
          <w:p w14:paraId="2F4F2823" w14:textId="77777777" w:rsidR="00F418DA" w:rsidRPr="004B7914" w:rsidRDefault="00F418DA" w:rsidP="00E213CE">
            <w:pPr>
              <w:jc w:val="center"/>
              <w:rPr>
                <w:rFonts w:ascii="Palatino Linotype" w:eastAsia="Times New Roman" w:hAnsi="Palatino Linotype" w:cs="Calibri"/>
                <w:b/>
                <w:bCs/>
                <w:sz w:val="20"/>
                <w:szCs w:val="20"/>
                <w:lang w:val="en-IN" w:eastAsia="en-IN" w:bidi="hi-IN"/>
              </w:rPr>
            </w:pPr>
            <w:r w:rsidRPr="004B7914">
              <w:rPr>
                <w:rFonts w:ascii="Palatino Linotype" w:eastAsia="Times New Roman" w:hAnsi="Palatino Linotype" w:cs="Calibri"/>
                <w:b/>
                <w:bCs/>
                <w:sz w:val="20"/>
                <w:szCs w:val="20"/>
                <w:lang w:val="en-IN" w:eastAsia="en-IN" w:bidi="hi-IN"/>
              </w:rPr>
              <w:t>Jun-21</w:t>
            </w:r>
          </w:p>
        </w:tc>
        <w:tc>
          <w:tcPr>
            <w:tcW w:w="1437" w:type="dxa"/>
            <w:tcBorders>
              <w:top w:val="single" w:sz="4" w:space="0" w:color="auto"/>
              <w:left w:val="nil"/>
              <w:bottom w:val="nil"/>
              <w:right w:val="single" w:sz="4" w:space="0" w:color="auto"/>
            </w:tcBorders>
            <w:shd w:val="clear" w:color="auto" w:fill="auto"/>
            <w:vAlign w:val="center"/>
            <w:hideMark/>
          </w:tcPr>
          <w:p w14:paraId="0AC3807D" w14:textId="77777777" w:rsidR="00F418DA" w:rsidRPr="004B7914" w:rsidRDefault="00F418DA" w:rsidP="00E213CE">
            <w:pPr>
              <w:jc w:val="center"/>
              <w:rPr>
                <w:rFonts w:ascii="Palatino Linotype" w:eastAsia="Times New Roman" w:hAnsi="Palatino Linotype" w:cs="Calibri"/>
                <w:b/>
                <w:bCs/>
                <w:color w:val="000000"/>
                <w:sz w:val="20"/>
                <w:szCs w:val="20"/>
                <w:lang w:val="en-IN" w:eastAsia="en-IN" w:bidi="hi-IN"/>
              </w:rPr>
            </w:pPr>
            <w:r w:rsidRPr="004B7914">
              <w:rPr>
                <w:rFonts w:ascii="Palatino Linotype" w:eastAsia="Times New Roman" w:hAnsi="Palatino Linotype" w:cs="Calibri"/>
                <w:b/>
                <w:bCs/>
                <w:color w:val="000000"/>
                <w:sz w:val="20"/>
                <w:szCs w:val="20"/>
                <w:lang w:val="en-IN" w:eastAsia="en-IN" w:bidi="hi-IN"/>
              </w:rPr>
              <w:t>Percentage variation    M-O-M</w:t>
            </w:r>
          </w:p>
        </w:tc>
      </w:tr>
      <w:tr w:rsidR="00F418DA" w:rsidRPr="004B7914" w14:paraId="5AE23797" w14:textId="77777777" w:rsidTr="00E213CE">
        <w:trPr>
          <w:trHeight w:val="255"/>
        </w:trPr>
        <w:tc>
          <w:tcPr>
            <w:tcW w:w="885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692F6929" w14:textId="77777777" w:rsidR="00F418DA" w:rsidRPr="004B7914" w:rsidRDefault="00F418DA" w:rsidP="00E213CE">
            <w:pPr>
              <w:rPr>
                <w:rFonts w:ascii="Palatino Linotype" w:eastAsia="Times New Roman" w:hAnsi="Palatino Linotype" w:cs="Calibri"/>
                <w:b/>
                <w:bCs/>
                <w:color w:val="000000"/>
                <w:sz w:val="20"/>
                <w:szCs w:val="20"/>
                <w:lang w:val="en-IN" w:eastAsia="en-IN" w:bidi="hi-IN"/>
              </w:rPr>
            </w:pPr>
            <w:r w:rsidRPr="004B7914">
              <w:rPr>
                <w:rFonts w:ascii="Palatino Linotype" w:eastAsia="Times New Roman" w:hAnsi="Palatino Linotype" w:cs="Calibri"/>
                <w:b/>
                <w:bCs/>
                <w:color w:val="000000"/>
                <w:sz w:val="20"/>
                <w:szCs w:val="20"/>
                <w:lang w:val="en-IN" w:eastAsia="en-IN" w:bidi="hi-IN"/>
              </w:rPr>
              <w:t>A. Indices</w:t>
            </w:r>
          </w:p>
        </w:tc>
      </w:tr>
      <w:tr w:rsidR="00F418DA" w:rsidRPr="004B7914" w14:paraId="12182E8A" w14:textId="77777777" w:rsidTr="00E213CE">
        <w:trPr>
          <w:trHeight w:val="244"/>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337B72B3" w14:textId="77777777" w:rsidR="00F418DA" w:rsidRPr="004B7914" w:rsidRDefault="00F418DA" w:rsidP="00E213CE">
            <w:pPr>
              <w:rPr>
                <w:rFonts w:ascii="Palatino Linotype" w:eastAsia="Times New Roman" w:hAnsi="Palatino Linotype" w:cs="Calibri"/>
                <w:color w:val="000000"/>
                <w:sz w:val="20"/>
                <w:szCs w:val="20"/>
                <w:lang w:val="en-IN" w:eastAsia="en-IN" w:bidi="hi-IN"/>
              </w:rPr>
            </w:pPr>
            <w:r w:rsidRPr="00D45369">
              <w:rPr>
                <w:rFonts w:ascii="Palatino Linotype" w:eastAsia="Times New Roman" w:hAnsi="Palatino Linotype" w:cs="Calibri"/>
                <w:color w:val="000000"/>
                <w:sz w:val="20"/>
                <w:szCs w:val="20"/>
                <w:lang w:val="en-IN" w:eastAsia="en-IN" w:bidi="hi-IN"/>
              </w:rPr>
              <w:t xml:space="preserve">         </w:t>
            </w:r>
            <w:r w:rsidRPr="004B7914">
              <w:rPr>
                <w:rFonts w:ascii="Palatino Linotype" w:eastAsia="Times New Roman" w:hAnsi="Palatino Linotype" w:cs="Calibri"/>
                <w:color w:val="000000"/>
                <w:sz w:val="20"/>
                <w:szCs w:val="20"/>
                <w:lang w:val="en-IN" w:eastAsia="en-IN" w:bidi="hi-IN"/>
              </w:rPr>
              <w:t>Nkrishi</w:t>
            </w:r>
          </w:p>
        </w:tc>
        <w:tc>
          <w:tcPr>
            <w:tcW w:w="1437" w:type="dxa"/>
            <w:tcBorders>
              <w:top w:val="nil"/>
              <w:left w:val="nil"/>
              <w:bottom w:val="single" w:sz="4" w:space="0" w:color="auto"/>
              <w:right w:val="single" w:sz="4" w:space="0" w:color="auto"/>
            </w:tcBorders>
            <w:shd w:val="clear" w:color="auto" w:fill="auto"/>
            <w:noWrap/>
            <w:hideMark/>
          </w:tcPr>
          <w:p w14:paraId="21EC0483" w14:textId="77777777" w:rsidR="00F418DA" w:rsidRPr="004B7914" w:rsidRDefault="00F418DA" w:rsidP="00E213CE">
            <w:pPr>
              <w:jc w:val="right"/>
              <w:rPr>
                <w:rFonts w:ascii="Palatino Linotype" w:eastAsia="Times New Roman" w:hAnsi="Palatino Linotype" w:cs="Calibri"/>
                <w:sz w:val="20"/>
                <w:szCs w:val="20"/>
                <w:lang w:val="en-IN" w:eastAsia="en-IN" w:bidi="hi-IN"/>
              </w:rPr>
            </w:pPr>
            <w:r w:rsidRPr="004B7914">
              <w:rPr>
                <w:rFonts w:ascii="Palatino Linotype" w:eastAsia="Times New Roman" w:hAnsi="Palatino Linotype" w:cs="Calibri"/>
                <w:sz w:val="20"/>
                <w:szCs w:val="20"/>
                <w:lang w:val="en-IN" w:eastAsia="en-IN" w:bidi="hi-IN"/>
              </w:rPr>
              <w:t>4,711</w:t>
            </w:r>
          </w:p>
        </w:tc>
        <w:tc>
          <w:tcPr>
            <w:tcW w:w="1437" w:type="dxa"/>
            <w:tcBorders>
              <w:top w:val="nil"/>
              <w:left w:val="nil"/>
              <w:bottom w:val="single" w:sz="4" w:space="0" w:color="auto"/>
              <w:right w:val="single" w:sz="4" w:space="0" w:color="auto"/>
            </w:tcBorders>
            <w:shd w:val="clear" w:color="auto" w:fill="auto"/>
            <w:noWrap/>
            <w:hideMark/>
          </w:tcPr>
          <w:p w14:paraId="7675D401" w14:textId="77777777" w:rsidR="00F418DA" w:rsidRPr="004B7914" w:rsidRDefault="00F418DA" w:rsidP="00E213CE">
            <w:pPr>
              <w:jc w:val="right"/>
              <w:rPr>
                <w:rFonts w:ascii="Palatino Linotype" w:eastAsia="Times New Roman" w:hAnsi="Palatino Linotype" w:cs="Calibri"/>
                <w:sz w:val="20"/>
                <w:szCs w:val="20"/>
                <w:lang w:val="en-IN" w:eastAsia="en-IN" w:bidi="hi-IN"/>
              </w:rPr>
            </w:pPr>
            <w:r w:rsidRPr="004B7914">
              <w:rPr>
                <w:rFonts w:ascii="Palatino Linotype" w:eastAsia="Times New Roman" w:hAnsi="Palatino Linotype" w:cs="Calibri"/>
                <w:sz w:val="20"/>
                <w:szCs w:val="20"/>
                <w:lang w:val="en-IN" w:eastAsia="en-IN" w:bidi="hi-IN"/>
              </w:rPr>
              <w:t>4,741</w:t>
            </w:r>
          </w:p>
        </w:tc>
        <w:tc>
          <w:tcPr>
            <w:tcW w:w="1437" w:type="dxa"/>
            <w:tcBorders>
              <w:top w:val="nil"/>
              <w:left w:val="nil"/>
              <w:bottom w:val="single" w:sz="4" w:space="0" w:color="auto"/>
              <w:right w:val="single" w:sz="4" w:space="0" w:color="auto"/>
            </w:tcBorders>
            <w:shd w:val="clear" w:color="auto" w:fill="auto"/>
            <w:noWrap/>
            <w:hideMark/>
          </w:tcPr>
          <w:p w14:paraId="21530FF8" w14:textId="77777777" w:rsidR="00F418DA" w:rsidRPr="004B7914" w:rsidRDefault="00F418DA" w:rsidP="00E213CE">
            <w:pPr>
              <w:jc w:val="right"/>
              <w:rPr>
                <w:rFonts w:ascii="Palatino Linotype" w:eastAsia="Times New Roman" w:hAnsi="Palatino Linotype" w:cs="Calibri"/>
                <w:sz w:val="20"/>
                <w:szCs w:val="20"/>
                <w:lang w:val="en-IN" w:eastAsia="en-IN" w:bidi="hi-IN"/>
              </w:rPr>
            </w:pPr>
            <w:r w:rsidRPr="004B7914">
              <w:rPr>
                <w:rFonts w:ascii="Palatino Linotype" w:eastAsia="Times New Roman" w:hAnsi="Palatino Linotype" w:cs="Calibri"/>
                <w:sz w:val="20"/>
                <w:szCs w:val="20"/>
                <w:lang w:val="en-IN" w:eastAsia="en-IN" w:bidi="hi-IN"/>
              </w:rPr>
              <w:t>4,733</w:t>
            </w:r>
          </w:p>
        </w:tc>
        <w:tc>
          <w:tcPr>
            <w:tcW w:w="1437" w:type="dxa"/>
            <w:tcBorders>
              <w:top w:val="nil"/>
              <w:left w:val="nil"/>
              <w:bottom w:val="single" w:sz="4" w:space="0" w:color="auto"/>
              <w:right w:val="single" w:sz="4" w:space="0" w:color="auto"/>
            </w:tcBorders>
            <w:shd w:val="clear" w:color="auto" w:fill="auto"/>
            <w:vAlign w:val="center"/>
            <w:hideMark/>
          </w:tcPr>
          <w:p w14:paraId="0A985C43" w14:textId="77777777" w:rsidR="00F418DA" w:rsidRPr="004B7914" w:rsidRDefault="00F418DA" w:rsidP="00E213CE">
            <w:pPr>
              <w:jc w:val="right"/>
              <w:rPr>
                <w:rFonts w:ascii="Palatino Linotype" w:eastAsia="Times New Roman" w:hAnsi="Palatino Linotype" w:cs="Calibri"/>
                <w:i/>
                <w:iCs/>
                <w:color w:val="000000"/>
                <w:sz w:val="20"/>
                <w:szCs w:val="20"/>
                <w:lang w:val="en-IN" w:eastAsia="en-IN" w:bidi="hi-IN"/>
              </w:rPr>
            </w:pPr>
            <w:r w:rsidRPr="004B7914">
              <w:rPr>
                <w:rFonts w:ascii="Palatino Linotype" w:eastAsia="Times New Roman" w:hAnsi="Palatino Linotype" w:cs="Calibri"/>
                <w:i/>
                <w:iCs/>
                <w:color w:val="000000"/>
                <w:sz w:val="20"/>
                <w:szCs w:val="20"/>
                <w:lang w:val="en-IN" w:eastAsia="en-IN" w:bidi="hi-IN"/>
              </w:rPr>
              <w:t>-0.2</w:t>
            </w:r>
          </w:p>
        </w:tc>
      </w:tr>
      <w:tr w:rsidR="00F418DA" w:rsidRPr="004B7914" w14:paraId="21D93777" w14:textId="77777777" w:rsidTr="00E213CE">
        <w:trPr>
          <w:trHeight w:val="244"/>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44BE2073" w14:textId="77777777" w:rsidR="00F418DA" w:rsidRPr="004B7914" w:rsidRDefault="00F418DA" w:rsidP="00E213CE">
            <w:pPr>
              <w:rPr>
                <w:rFonts w:ascii="Palatino Linotype" w:eastAsia="Times New Roman" w:hAnsi="Palatino Linotype" w:cs="Calibri"/>
                <w:color w:val="000000"/>
                <w:sz w:val="20"/>
                <w:szCs w:val="20"/>
                <w:lang w:val="en-IN" w:eastAsia="en-IN" w:bidi="hi-IN"/>
              </w:rPr>
            </w:pPr>
            <w:r w:rsidRPr="00D45369">
              <w:rPr>
                <w:rFonts w:ascii="Palatino Linotype" w:eastAsia="Times New Roman" w:hAnsi="Palatino Linotype" w:cs="Calibri"/>
                <w:color w:val="000000"/>
                <w:sz w:val="20"/>
                <w:szCs w:val="20"/>
                <w:lang w:val="en-IN" w:eastAsia="en-IN" w:bidi="hi-IN"/>
              </w:rPr>
              <w:t xml:space="preserve">         </w:t>
            </w:r>
            <w:r w:rsidRPr="004B7914">
              <w:rPr>
                <w:rFonts w:ascii="Palatino Linotype" w:eastAsia="Times New Roman" w:hAnsi="Palatino Linotype" w:cs="Calibri"/>
                <w:color w:val="000000"/>
                <w:sz w:val="20"/>
                <w:szCs w:val="20"/>
                <w:lang w:val="en-IN" w:eastAsia="en-IN" w:bidi="hi-IN"/>
              </w:rPr>
              <w:t>MCX iCOMDEX</w:t>
            </w:r>
          </w:p>
        </w:tc>
        <w:tc>
          <w:tcPr>
            <w:tcW w:w="1437" w:type="dxa"/>
            <w:tcBorders>
              <w:top w:val="nil"/>
              <w:left w:val="nil"/>
              <w:bottom w:val="single" w:sz="4" w:space="0" w:color="auto"/>
              <w:right w:val="single" w:sz="4" w:space="0" w:color="auto"/>
            </w:tcBorders>
            <w:shd w:val="clear" w:color="auto" w:fill="auto"/>
            <w:noWrap/>
            <w:hideMark/>
          </w:tcPr>
          <w:p w14:paraId="4CEFBE15" w14:textId="77777777" w:rsidR="00F418DA" w:rsidRPr="004B7914" w:rsidRDefault="00F418DA" w:rsidP="00E213CE">
            <w:pPr>
              <w:jc w:val="right"/>
              <w:rPr>
                <w:rFonts w:ascii="Palatino Linotype" w:eastAsia="Times New Roman" w:hAnsi="Palatino Linotype" w:cs="Calibri"/>
                <w:sz w:val="20"/>
                <w:szCs w:val="20"/>
                <w:lang w:val="en-IN" w:eastAsia="en-IN" w:bidi="hi-IN"/>
              </w:rPr>
            </w:pPr>
            <w:r w:rsidRPr="004B7914">
              <w:rPr>
                <w:rFonts w:ascii="Palatino Linotype" w:eastAsia="Times New Roman" w:hAnsi="Palatino Linotype" w:cs="Calibri"/>
                <w:sz w:val="20"/>
                <w:szCs w:val="20"/>
                <w:lang w:val="en-IN" w:eastAsia="en-IN" w:bidi="hi-IN"/>
              </w:rPr>
              <w:t>11,127</w:t>
            </w:r>
          </w:p>
        </w:tc>
        <w:tc>
          <w:tcPr>
            <w:tcW w:w="1437" w:type="dxa"/>
            <w:tcBorders>
              <w:top w:val="nil"/>
              <w:left w:val="nil"/>
              <w:bottom w:val="single" w:sz="4" w:space="0" w:color="auto"/>
              <w:right w:val="single" w:sz="4" w:space="0" w:color="auto"/>
            </w:tcBorders>
            <w:shd w:val="clear" w:color="auto" w:fill="auto"/>
            <w:noWrap/>
            <w:hideMark/>
          </w:tcPr>
          <w:p w14:paraId="245C1175" w14:textId="77777777" w:rsidR="00F418DA" w:rsidRPr="004B7914" w:rsidRDefault="00F418DA" w:rsidP="00E213CE">
            <w:pPr>
              <w:jc w:val="right"/>
              <w:rPr>
                <w:rFonts w:ascii="Palatino Linotype" w:eastAsia="Times New Roman" w:hAnsi="Palatino Linotype" w:cs="Calibri"/>
                <w:sz w:val="20"/>
                <w:szCs w:val="20"/>
                <w:lang w:val="en-IN" w:eastAsia="en-IN" w:bidi="hi-IN"/>
              </w:rPr>
            </w:pPr>
            <w:r w:rsidRPr="004B7914">
              <w:rPr>
                <w:rFonts w:ascii="Palatino Linotype" w:eastAsia="Times New Roman" w:hAnsi="Palatino Linotype" w:cs="Calibri"/>
                <w:sz w:val="20"/>
                <w:szCs w:val="20"/>
                <w:lang w:val="en-IN" w:eastAsia="en-IN" w:bidi="hi-IN"/>
              </w:rPr>
              <w:t>11,457</w:t>
            </w:r>
          </w:p>
        </w:tc>
        <w:tc>
          <w:tcPr>
            <w:tcW w:w="1437" w:type="dxa"/>
            <w:tcBorders>
              <w:top w:val="nil"/>
              <w:left w:val="nil"/>
              <w:bottom w:val="single" w:sz="4" w:space="0" w:color="auto"/>
              <w:right w:val="single" w:sz="4" w:space="0" w:color="auto"/>
            </w:tcBorders>
            <w:shd w:val="clear" w:color="auto" w:fill="auto"/>
            <w:noWrap/>
            <w:hideMark/>
          </w:tcPr>
          <w:p w14:paraId="7B168992" w14:textId="77777777" w:rsidR="00F418DA" w:rsidRPr="004B7914" w:rsidRDefault="00F418DA" w:rsidP="00E213CE">
            <w:pPr>
              <w:jc w:val="right"/>
              <w:rPr>
                <w:rFonts w:ascii="Palatino Linotype" w:eastAsia="Times New Roman" w:hAnsi="Palatino Linotype" w:cs="Calibri"/>
                <w:sz w:val="20"/>
                <w:szCs w:val="20"/>
                <w:lang w:val="en-IN" w:eastAsia="en-IN" w:bidi="hi-IN"/>
              </w:rPr>
            </w:pPr>
            <w:r w:rsidRPr="004B7914">
              <w:rPr>
                <w:rFonts w:ascii="Palatino Linotype" w:eastAsia="Times New Roman" w:hAnsi="Palatino Linotype" w:cs="Calibri"/>
                <w:sz w:val="20"/>
                <w:szCs w:val="20"/>
                <w:lang w:val="en-IN" w:eastAsia="en-IN" w:bidi="hi-IN"/>
              </w:rPr>
              <w:t>11,313</w:t>
            </w:r>
          </w:p>
        </w:tc>
        <w:tc>
          <w:tcPr>
            <w:tcW w:w="1437" w:type="dxa"/>
            <w:tcBorders>
              <w:top w:val="nil"/>
              <w:left w:val="nil"/>
              <w:bottom w:val="single" w:sz="4" w:space="0" w:color="auto"/>
              <w:right w:val="single" w:sz="4" w:space="0" w:color="auto"/>
            </w:tcBorders>
            <w:shd w:val="clear" w:color="auto" w:fill="auto"/>
            <w:vAlign w:val="center"/>
            <w:hideMark/>
          </w:tcPr>
          <w:p w14:paraId="2AA89E9A" w14:textId="77777777" w:rsidR="00F418DA" w:rsidRPr="004B7914" w:rsidRDefault="00F418DA" w:rsidP="00E213CE">
            <w:pPr>
              <w:jc w:val="right"/>
              <w:rPr>
                <w:rFonts w:ascii="Palatino Linotype" w:eastAsia="Times New Roman" w:hAnsi="Palatino Linotype" w:cs="Calibri"/>
                <w:i/>
                <w:iCs/>
                <w:color w:val="000000"/>
                <w:sz w:val="20"/>
                <w:szCs w:val="20"/>
                <w:lang w:val="en-IN" w:eastAsia="en-IN" w:bidi="hi-IN"/>
              </w:rPr>
            </w:pPr>
            <w:r w:rsidRPr="004B7914">
              <w:rPr>
                <w:rFonts w:ascii="Palatino Linotype" w:eastAsia="Times New Roman" w:hAnsi="Palatino Linotype" w:cs="Calibri"/>
                <w:i/>
                <w:iCs/>
                <w:color w:val="000000"/>
                <w:sz w:val="20"/>
                <w:szCs w:val="20"/>
                <w:lang w:val="en-IN" w:eastAsia="en-IN" w:bidi="hi-IN"/>
              </w:rPr>
              <w:t>-1.3</w:t>
            </w:r>
          </w:p>
        </w:tc>
      </w:tr>
      <w:tr w:rsidR="00F418DA" w:rsidRPr="004B7914" w14:paraId="78516004" w14:textId="77777777" w:rsidTr="00E213CE">
        <w:trPr>
          <w:trHeight w:val="255"/>
        </w:trPr>
        <w:tc>
          <w:tcPr>
            <w:tcW w:w="885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25318894" w14:textId="77777777" w:rsidR="00F418DA" w:rsidRPr="004B7914" w:rsidRDefault="00F418DA" w:rsidP="00E213CE">
            <w:pPr>
              <w:rPr>
                <w:rFonts w:ascii="Palatino Linotype" w:eastAsia="Times New Roman" w:hAnsi="Palatino Linotype" w:cs="Calibri"/>
                <w:b/>
                <w:bCs/>
                <w:color w:val="000000"/>
                <w:sz w:val="20"/>
                <w:szCs w:val="20"/>
                <w:lang w:val="en-IN" w:eastAsia="en-IN" w:bidi="hi-IN"/>
              </w:rPr>
            </w:pPr>
            <w:r w:rsidRPr="004B7914">
              <w:rPr>
                <w:rFonts w:ascii="Palatino Linotype" w:eastAsia="Times New Roman" w:hAnsi="Palatino Linotype" w:cs="Calibri"/>
                <w:b/>
                <w:bCs/>
                <w:color w:val="000000"/>
                <w:sz w:val="20"/>
                <w:szCs w:val="20"/>
                <w:lang w:val="en-IN" w:eastAsia="en-IN" w:bidi="hi-IN"/>
              </w:rPr>
              <w:t>B. Turnover (</w:t>
            </w:r>
            <w:r w:rsidRPr="004B7914">
              <w:rPr>
                <w:rFonts w:ascii="Times New Roman" w:eastAsia="Times New Roman" w:hAnsi="Times New Roman"/>
                <w:b/>
                <w:bCs/>
                <w:color w:val="000000"/>
                <w:sz w:val="20"/>
                <w:szCs w:val="20"/>
                <w:lang w:val="en-IN" w:eastAsia="en-IN" w:bidi="hi-IN"/>
              </w:rPr>
              <w:t>₹</w:t>
            </w:r>
            <w:r w:rsidRPr="004B7914">
              <w:rPr>
                <w:rFonts w:ascii="Palatino Linotype" w:eastAsia="Times New Roman" w:hAnsi="Palatino Linotype" w:cs="Calibri"/>
                <w:b/>
                <w:bCs/>
                <w:color w:val="000000"/>
                <w:sz w:val="20"/>
                <w:szCs w:val="20"/>
                <w:lang w:val="en-IN" w:eastAsia="en-IN" w:bidi="hi-IN"/>
              </w:rPr>
              <w:t>crore)</w:t>
            </w:r>
          </w:p>
        </w:tc>
      </w:tr>
      <w:tr w:rsidR="00F418DA" w:rsidRPr="004B7914" w14:paraId="22616CFF" w14:textId="77777777" w:rsidTr="00E213CE">
        <w:trPr>
          <w:trHeight w:val="255"/>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64DD79E1" w14:textId="77777777" w:rsidR="00F418DA" w:rsidRPr="004B7914" w:rsidRDefault="00F418DA" w:rsidP="00E213CE">
            <w:pPr>
              <w:rPr>
                <w:rFonts w:ascii="Palatino Linotype" w:eastAsia="Times New Roman" w:hAnsi="Palatino Linotype" w:cs="Calibri"/>
                <w:b/>
                <w:bCs/>
                <w:color w:val="000000"/>
                <w:sz w:val="20"/>
                <w:szCs w:val="20"/>
                <w:lang w:val="en-IN" w:eastAsia="en-IN" w:bidi="hi-IN"/>
              </w:rPr>
            </w:pPr>
            <w:r w:rsidRPr="004B7914">
              <w:rPr>
                <w:rFonts w:ascii="Palatino Linotype" w:eastAsia="Times New Roman" w:hAnsi="Palatino Linotype" w:cs="Calibri"/>
                <w:b/>
                <w:bCs/>
                <w:color w:val="000000"/>
                <w:sz w:val="20"/>
                <w:szCs w:val="20"/>
                <w:lang w:val="en-IN" w:eastAsia="en-IN" w:bidi="hi-IN"/>
              </w:rPr>
              <w:t>All-India</w:t>
            </w:r>
          </w:p>
        </w:tc>
        <w:tc>
          <w:tcPr>
            <w:tcW w:w="1437" w:type="dxa"/>
            <w:tcBorders>
              <w:top w:val="nil"/>
              <w:left w:val="nil"/>
              <w:bottom w:val="single" w:sz="4" w:space="0" w:color="auto"/>
              <w:right w:val="single" w:sz="4" w:space="0" w:color="auto"/>
            </w:tcBorders>
            <w:shd w:val="clear" w:color="auto" w:fill="auto"/>
            <w:noWrap/>
            <w:hideMark/>
          </w:tcPr>
          <w:p w14:paraId="1F999378" w14:textId="77777777" w:rsidR="00F418DA" w:rsidRPr="004B7914" w:rsidRDefault="00F418DA" w:rsidP="00E213CE">
            <w:pPr>
              <w:jc w:val="right"/>
              <w:rPr>
                <w:rFonts w:ascii="Palatino Linotype" w:eastAsia="Times New Roman" w:hAnsi="Palatino Linotype" w:cs="Calibri"/>
                <w:b/>
                <w:bCs/>
                <w:sz w:val="20"/>
                <w:szCs w:val="20"/>
                <w:lang w:val="en-IN" w:eastAsia="en-IN" w:bidi="hi-IN"/>
              </w:rPr>
            </w:pPr>
            <w:r w:rsidRPr="004B7914">
              <w:rPr>
                <w:rFonts w:ascii="Palatino Linotype" w:eastAsia="Times New Roman" w:hAnsi="Palatino Linotype" w:cs="Calibri"/>
                <w:b/>
                <w:bCs/>
                <w:sz w:val="20"/>
                <w:szCs w:val="20"/>
                <w:lang w:val="en-IN" w:eastAsia="en-IN" w:bidi="hi-IN"/>
              </w:rPr>
              <w:t>6,91,011</w:t>
            </w:r>
          </w:p>
        </w:tc>
        <w:tc>
          <w:tcPr>
            <w:tcW w:w="1437" w:type="dxa"/>
            <w:tcBorders>
              <w:top w:val="nil"/>
              <w:left w:val="nil"/>
              <w:bottom w:val="single" w:sz="4" w:space="0" w:color="auto"/>
              <w:right w:val="single" w:sz="4" w:space="0" w:color="auto"/>
            </w:tcBorders>
            <w:shd w:val="clear" w:color="auto" w:fill="auto"/>
            <w:noWrap/>
            <w:hideMark/>
          </w:tcPr>
          <w:p w14:paraId="61BB1731" w14:textId="77777777" w:rsidR="00F418DA" w:rsidRPr="004B7914" w:rsidRDefault="00F418DA" w:rsidP="00E213CE">
            <w:pPr>
              <w:jc w:val="right"/>
              <w:rPr>
                <w:rFonts w:ascii="Palatino Linotype" w:eastAsia="Times New Roman" w:hAnsi="Palatino Linotype" w:cs="Calibri"/>
                <w:b/>
                <w:bCs/>
                <w:sz w:val="20"/>
                <w:szCs w:val="20"/>
                <w:lang w:val="en-IN" w:eastAsia="en-IN" w:bidi="hi-IN"/>
              </w:rPr>
            </w:pPr>
            <w:r w:rsidRPr="004B7914">
              <w:rPr>
                <w:rFonts w:ascii="Palatino Linotype" w:eastAsia="Times New Roman" w:hAnsi="Palatino Linotype" w:cs="Calibri"/>
                <w:b/>
                <w:bCs/>
                <w:sz w:val="20"/>
                <w:szCs w:val="20"/>
                <w:lang w:val="en-IN" w:eastAsia="en-IN" w:bidi="hi-IN"/>
              </w:rPr>
              <w:t>8,22,176</w:t>
            </w:r>
          </w:p>
        </w:tc>
        <w:tc>
          <w:tcPr>
            <w:tcW w:w="1437" w:type="dxa"/>
            <w:tcBorders>
              <w:top w:val="nil"/>
              <w:left w:val="nil"/>
              <w:bottom w:val="single" w:sz="4" w:space="0" w:color="auto"/>
              <w:right w:val="single" w:sz="4" w:space="0" w:color="auto"/>
            </w:tcBorders>
            <w:shd w:val="clear" w:color="auto" w:fill="auto"/>
            <w:noWrap/>
            <w:hideMark/>
          </w:tcPr>
          <w:p w14:paraId="6175A045" w14:textId="77777777" w:rsidR="00F418DA" w:rsidRPr="004B7914" w:rsidRDefault="00F418DA" w:rsidP="00E213CE">
            <w:pPr>
              <w:jc w:val="right"/>
              <w:rPr>
                <w:rFonts w:ascii="Palatino Linotype" w:eastAsia="Times New Roman" w:hAnsi="Palatino Linotype" w:cs="Calibri"/>
                <w:b/>
                <w:bCs/>
                <w:sz w:val="20"/>
                <w:szCs w:val="20"/>
                <w:lang w:val="en-IN" w:eastAsia="en-IN" w:bidi="hi-IN"/>
              </w:rPr>
            </w:pPr>
            <w:r w:rsidRPr="004B7914">
              <w:rPr>
                <w:rFonts w:ascii="Palatino Linotype" w:eastAsia="Times New Roman" w:hAnsi="Palatino Linotype" w:cs="Calibri"/>
                <w:b/>
                <w:bCs/>
                <w:sz w:val="20"/>
                <w:szCs w:val="20"/>
                <w:lang w:val="en-IN" w:eastAsia="en-IN" w:bidi="hi-IN"/>
              </w:rPr>
              <w:t>7,53,505</w:t>
            </w:r>
          </w:p>
        </w:tc>
        <w:tc>
          <w:tcPr>
            <w:tcW w:w="1437" w:type="dxa"/>
            <w:tcBorders>
              <w:top w:val="nil"/>
              <w:left w:val="nil"/>
              <w:bottom w:val="single" w:sz="4" w:space="0" w:color="auto"/>
              <w:right w:val="single" w:sz="4" w:space="0" w:color="auto"/>
            </w:tcBorders>
            <w:shd w:val="clear" w:color="auto" w:fill="auto"/>
            <w:noWrap/>
            <w:hideMark/>
          </w:tcPr>
          <w:p w14:paraId="78925F5D" w14:textId="77777777" w:rsidR="00F418DA" w:rsidRPr="004B7914" w:rsidRDefault="00F418DA" w:rsidP="00E213CE">
            <w:pPr>
              <w:jc w:val="right"/>
              <w:rPr>
                <w:rFonts w:ascii="Palatino Linotype" w:eastAsia="Times New Roman" w:hAnsi="Palatino Linotype" w:cs="Calibri"/>
                <w:i/>
                <w:iCs/>
                <w:sz w:val="20"/>
                <w:szCs w:val="20"/>
                <w:lang w:val="en-IN" w:eastAsia="en-IN" w:bidi="hi-IN"/>
              </w:rPr>
            </w:pPr>
            <w:r w:rsidRPr="004B7914">
              <w:rPr>
                <w:rFonts w:ascii="Palatino Linotype" w:eastAsia="Times New Roman" w:hAnsi="Palatino Linotype" w:cs="Calibri"/>
                <w:i/>
                <w:iCs/>
                <w:sz w:val="20"/>
                <w:szCs w:val="20"/>
                <w:lang w:val="en-IN" w:eastAsia="en-IN" w:bidi="hi-IN"/>
              </w:rPr>
              <w:t>-8.4</w:t>
            </w:r>
          </w:p>
        </w:tc>
      </w:tr>
      <w:tr w:rsidR="00F418DA" w:rsidRPr="004B7914" w14:paraId="60200993" w14:textId="77777777" w:rsidTr="00E213CE">
        <w:trPr>
          <w:trHeight w:val="255"/>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0E9F3002" w14:textId="77777777" w:rsidR="00F418DA" w:rsidRPr="004B7914" w:rsidRDefault="00F418DA" w:rsidP="00E213CE">
            <w:pPr>
              <w:rPr>
                <w:rFonts w:ascii="Palatino Linotype" w:eastAsia="Times New Roman" w:hAnsi="Palatino Linotype" w:cs="Calibri"/>
                <w:b/>
                <w:bCs/>
                <w:color w:val="000000"/>
                <w:sz w:val="20"/>
                <w:szCs w:val="20"/>
                <w:lang w:val="en-IN" w:eastAsia="en-IN" w:bidi="hi-IN"/>
              </w:rPr>
            </w:pPr>
            <w:r w:rsidRPr="004B7914">
              <w:rPr>
                <w:rFonts w:ascii="Palatino Linotype" w:eastAsia="Times New Roman" w:hAnsi="Palatino Linotype" w:cs="Calibri"/>
                <w:b/>
                <w:bCs/>
                <w:color w:val="000000"/>
                <w:sz w:val="20"/>
                <w:szCs w:val="20"/>
                <w:lang w:val="en-IN" w:eastAsia="en-IN" w:bidi="hi-IN"/>
              </w:rPr>
              <w:t>MCX, of which</w:t>
            </w:r>
          </w:p>
        </w:tc>
        <w:tc>
          <w:tcPr>
            <w:tcW w:w="1437" w:type="dxa"/>
            <w:tcBorders>
              <w:top w:val="nil"/>
              <w:left w:val="nil"/>
              <w:bottom w:val="single" w:sz="4" w:space="0" w:color="auto"/>
              <w:right w:val="single" w:sz="4" w:space="0" w:color="auto"/>
            </w:tcBorders>
            <w:shd w:val="clear" w:color="auto" w:fill="auto"/>
            <w:noWrap/>
            <w:hideMark/>
          </w:tcPr>
          <w:p w14:paraId="0C016724" w14:textId="77777777" w:rsidR="00F418DA" w:rsidRPr="004B7914" w:rsidRDefault="00F418DA" w:rsidP="00E213CE">
            <w:pPr>
              <w:jc w:val="right"/>
              <w:rPr>
                <w:rFonts w:ascii="Palatino Linotype" w:eastAsia="Times New Roman" w:hAnsi="Palatino Linotype" w:cs="Calibri"/>
                <w:b/>
                <w:bCs/>
                <w:sz w:val="20"/>
                <w:szCs w:val="20"/>
                <w:lang w:val="en-IN" w:eastAsia="en-IN" w:bidi="hi-IN"/>
              </w:rPr>
            </w:pPr>
            <w:r w:rsidRPr="004B7914">
              <w:rPr>
                <w:rFonts w:ascii="Palatino Linotype" w:eastAsia="Times New Roman" w:hAnsi="Palatino Linotype" w:cs="Calibri"/>
                <w:b/>
                <w:bCs/>
                <w:sz w:val="20"/>
                <w:szCs w:val="20"/>
                <w:lang w:val="en-IN" w:eastAsia="en-IN" w:bidi="hi-IN"/>
              </w:rPr>
              <w:t>5,67,936</w:t>
            </w:r>
          </w:p>
        </w:tc>
        <w:tc>
          <w:tcPr>
            <w:tcW w:w="1437" w:type="dxa"/>
            <w:tcBorders>
              <w:top w:val="nil"/>
              <w:left w:val="nil"/>
              <w:bottom w:val="single" w:sz="4" w:space="0" w:color="auto"/>
              <w:right w:val="single" w:sz="4" w:space="0" w:color="auto"/>
            </w:tcBorders>
            <w:shd w:val="clear" w:color="auto" w:fill="auto"/>
            <w:noWrap/>
            <w:hideMark/>
          </w:tcPr>
          <w:p w14:paraId="2CDE7C36" w14:textId="77777777" w:rsidR="00F418DA" w:rsidRPr="004B7914" w:rsidRDefault="00F418DA" w:rsidP="00E213CE">
            <w:pPr>
              <w:jc w:val="right"/>
              <w:rPr>
                <w:rFonts w:ascii="Palatino Linotype" w:eastAsia="Times New Roman" w:hAnsi="Palatino Linotype" w:cs="Calibri"/>
                <w:b/>
                <w:bCs/>
                <w:sz w:val="20"/>
                <w:szCs w:val="20"/>
                <w:lang w:val="en-IN" w:eastAsia="en-IN" w:bidi="hi-IN"/>
              </w:rPr>
            </w:pPr>
            <w:r w:rsidRPr="004B7914">
              <w:rPr>
                <w:rFonts w:ascii="Palatino Linotype" w:eastAsia="Times New Roman" w:hAnsi="Palatino Linotype" w:cs="Calibri"/>
                <w:b/>
                <w:bCs/>
                <w:sz w:val="20"/>
                <w:szCs w:val="20"/>
                <w:lang w:val="en-IN" w:eastAsia="en-IN" w:bidi="hi-IN"/>
              </w:rPr>
              <w:t>7,09,903</w:t>
            </w:r>
          </w:p>
        </w:tc>
        <w:tc>
          <w:tcPr>
            <w:tcW w:w="1437" w:type="dxa"/>
            <w:tcBorders>
              <w:top w:val="nil"/>
              <w:left w:val="nil"/>
              <w:bottom w:val="single" w:sz="4" w:space="0" w:color="auto"/>
              <w:right w:val="single" w:sz="4" w:space="0" w:color="auto"/>
            </w:tcBorders>
            <w:shd w:val="clear" w:color="auto" w:fill="auto"/>
            <w:noWrap/>
            <w:hideMark/>
          </w:tcPr>
          <w:p w14:paraId="6E4FFCEE" w14:textId="77777777" w:rsidR="00F418DA" w:rsidRPr="004B7914" w:rsidRDefault="00F418DA" w:rsidP="00E213CE">
            <w:pPr>
              <w:jc w:val="right"/>
              <w:rPr>
                <w:rFonts w:ascii="Palatino Linotype" w:eastAsia="Times New Roman" w:hAnsi="Palatino Linotype" w:cs="Calibri"/>
                <w:b/>
                <w:bCs/>
                <w:sz w:val="20"/>
                <w:szCs w:val="20"/>
                <w:lang w:val="en-IN" w:eastAsia="en-IN" w:bidi="hi-IN"/>
              </w:rPr>
            </w:pPr>
            <w:r w:rsidRPr="004B7914">
              <w:rPr>
                <w:rFonts w:ascii="Palatino Linotype" w:eastAsia="Times New Roman" w:hAnsi="Palatino Linotype" w:cs="Calibri"/>
                <w:b/>
                <w:bCs/>
                <w:sz w:val="20"/>
                <w:szCs w:val="20"/>
                <w:lang w:val="en-IN" w:eastAsia="en-IN" w:bidi="hi-IN"/>
              </w:rPr>
              <w:t>6,37,698</w:t>
            </w:r>
          </w:p>
        </w:tc>
        <w:tc>
          <w:tcPr>
            <w:tcW w:w="1437" w:type="dxa"/>
            <w:tcBorders>
              <w:top w:val="nil"/>
              <w:left w:val="nil"/>
              <w:bottom w:val="single" w:sz="4" w:space="0" w:color="auto"/>
              <w:right w:val="single" w:sz="4" w:space="0" w:color="auto"/>
            </w:tcBorders>
            <w:shd w:val="clear" w:color="auto" w:fill="auto"/>
            <w:noWrap/>
            <w:hideMark/>
          </w:tcPr>
          <w:p w14:paraId="0DA72416" w14:textId="77777777" w:rsidR="00F418DA" w:rsidRPr="004B7914" w:rsidRDefault="00F418DA" w:rsidP="00E213CE">
            <w:pPr>
              <w:jc w:val="right"/>
              <w:rPr>
                <w:rFonts w:ascii="Palatino Linotype" w:eastAsia="Times New Roman" w:hAnsi="Palatino Linotype" w:cs="Calibri"/>
                <w:i/>
                <w:iCs/>
                <w:sz w:val="20"/>
                <w:szCs w:val="20"/>
                <w:lang w:val="en-IN" w:eastAsia="en-IN" w:bidi="hi-IN"/>
              </w:rPr>
            </w:pPr>
            <w:r w:rsidRPr="004B7914">
              <w:rPr>
                <w:rFonts w:ascii="Palatino Linotype" w:eastAsia="Times New Roman" w:hAnsi="Palatino Linotype" w:cs="Calibri"/>
                <w:i/>
                <w:iCs/>
                <w:sz w:val="20"/>
                <w:szCs w:val="20"/>
                <w:lang w:val="en-IN" w:eastAsia="en-IN" w:bidi="hi-IN"/>
              </w:rPr>
              <w:t>-10.2</w:t>
            </w:r>
          </w:p>
        </w:tc>
      </w:tr>
      <w:tr w:rsidR="00F418DA" w:rsidRPr="004B7914" w14:paraId="656B5A94" w14:textId="77777777" w:rsidTr="00E213CE">
        <w:trPr>
          <w:trHeight w:val="244"/>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481C4556" w14:textId="77777777" w:rsidR="00F418DA" w:rsidRPr="004B7914" w:rsidRDefault="00F418DA" w:rsidP="00E213CE">
            <w:pPr>
              <w:rPr>
                <w:rFonts w:ascii="Palatino Linotype" w:eastAsia="Times New Roman" w:hAnsi="Palatino Linotype" w:cs="Calibri"/>
                <w:color w:val="000000"/>
                <w:sz w:val="20"/>
                <w:szCs w:val="20"/>
                <w:lang w:val="en-IN" w:eastAsia="en-IN" w:bidi="hi-IN"/>
              </w:rPr>
            </w:pPr>
            <w:r w:rsidRPr="004B7914">
              <w:rPr>
                <w:rFonts w:ascii="Palatino Linotype" w:eastAsia="Times New Roman" w:hAnsi="Palatino Linotype" w:cs="Calibri"/>
                <w:color w:val="000000"/>
                <w:sz w:val="20"/>
                <w:szCs w:val="20"/>
                <w:lang w:val="en-IN" w:eastAsia="en-IN" w:bidi="hi-IN"/>
              </w:rPr>
              <w:t xml:space="preserve">             Futures</w:t>
            </w:r>
          </w:p>
        </w:tc>
        <w:tc>
          <w:tcPr>
            <w:tcW w:w="1437" w:type="dxa"/>
            <w:tcBorders>
              <w:top w:val="nil"/>
              <w:left w:val="nil"/>
              <w:bottom w:val="single" w:sz="4" w:space="0" w:color="auto"/>
              <w:right w:val="single" w:sz="4" w:space="0" w:color="auto"/>
            </w:tcBorders>
            <w:shd w:val="clear" w:color="auto" w:fill="auto"/>
            <w:noWrap/>
            <w:hideMark/>
          </w:tcPr>
          <w:p w14:paraId="7F9CD486" w14:textId="77777777" w:rsidR="00F418DA" w:rsidRPr="004B7914" w:rsidRDefault="00F418DA" w:rsidP="00E213CE">
            <w:pPr>
              <w:jc w:val="right"/>
              <w:rPr>
                <w:rFonts w:ascii="Palatino Linotype" w:eastAsia="Times New Roman" w:hAnsi="Palatino Linotype" w:cs="Calibri"/>
                <w:sz w:val="20"/>
                <w:szCs w:val="20"/>
                <w:lang w:val="en-IN" w:eastAsia="en-IN" w:bidi="hi-IN"/>
              </w:rPr>
            </w:pPr>
            <w:r w:rsidRPr="004B7914">
              <w:rPr>
                <w:rFonts w:ascii="Palatino Linotype" w:eastAsia="Times New Roman" w:hAnsi="Palatino Linotype" w:cs="Calibri"/>
                <w:sz w:val="20"/>
                <w:szCs w:val="20"/>
                <w:lang w:val="en-IN" w:eastAsia="en-IN" w:bidi="hi-IN"/>
              </w:rPr>
              <w:t>5,38,190</w:t>
            </w:r>
          </w:p>
        </w:tc>
        <w:tc>
          <w:tcPr>
            <w:tcW w:w="1437" w:type="dxa"/>
            <w:tcBorders>
              <w:top w:val="nil"/>
              <w:left w:val="nil"/>
              <w:bottom w:val="single" w:sz="4" w:space="0" w:color="auto"/>
              <w:right w:val="single" w:sz="4" w:space="0" w:color="auto"/>
            </w:tcBorders>
            <w:shd w:val="clear" w:color="auto" w:fill="auto"/>
            <w:noWrap/>
            <w:hideMark/>
          </w:tcPr>
          <w:p w14:paraId="3E92022E" w14:textId="77777777" w:rsidR="00F418DA" w:rsidRPr="004B7914" w:rsidRDefault="00F418DA" w:rsidP="00E213CE">
            <w:pPr>
              <w:jc w:val="right"/>
              <w:rPr>
                <w:rFonts w:ascii="Palatino Linotype" w:eastAsia="Times New Roman" w:hAnsi="Palatino Linotype" w:cs="Calibri"/>
                <w:sz w:val="20"/>
                <w:szCs w:val="20"/>
                <w:lang w:val="en-IN" w:eastAsia="en-IN" w:bidi="hi-IN"/>
              </w:rPr>
            </w:pPr>
            <w:r w:rsidRPr="004B7914">
              <w:rPr>
                <w:rFonts w:ascii="Palatino Linotype" w:eastAsia="Times New Roman" w:hAnsi="Palatino Linotype" w:cs="Calibri"/>
                <w:sz w:val="20"/>
                <w:szCs w:val="20"/>
                <w:lang w:val="en-IN" w:eastAsia="en-IN" w:bidi="hi-IN"/>
              </w:rPr>
              <w:t>6,68,166</w:t>
            </w:r>
          </w:p>
        </w:tc>
        <w:tc>
          <w:tcPr>
            <w:tcW w:w="1437" w:type="dxa"/>
            <w:tcBorders>
              <w:top w:val="nil"/>
              <w:left w:val="nil"/>
              <w:bottom w:val="single" w:sz="4" w:space="0" w:color="auto"/>
              <w:right w:val="single" w:sz="4" w:space="0" w:color="auto"/>
            </w:tcBorders>
            <w:shd w:val="clear" w:color="auto" w:fill="auto"/>
            <w:noWrap/>
            <w:hideMark/>
          </w:tcPr>
          <w:p w14:paraId="026A6EF7" w14:textId="77777777" w:rsidR="00F418DA" w:rsidRPr="004B7914" w:rsidRDefault="00F418DA" w:rsidP="00E213CE">
            <w:pPr>
              <w:jc w:val="right"/>
              <w:rPr>
                <w:rFonts w:ascii="Palatino Linotype" w:eastAsia="Times New Roman" w:hAnsi="Palatino Linotype" w:cs="Calibri"/>
                <w:sz w:val="20"/>
                <w:szCs w:val="20"/>
                <w:lang w:val="en-IN" w:eastAsia="en-IN" w:bidi="hi-IN"/>
              </w:rPr>
            </w:pPr>
            <w:r w:rsidRPr="004B7914">
              <w:rPr>
                <w:rFonts w:ascii="Palatino Linotype" w:eastAsia="Times New Roman" w:hAnsi="Palatino Linotype" w:cs="Calibri"/>
                <w:sz w:val="20"/>
                <w:szCs w:val="20"/>
                <w:lang w:val="en-IN" w:eastAsia="en-IN" w:bidi="hi-IN"/>
              </w:rPr>
              <w:t>5,87,599</w:t>
            </w:r>
          </w:p>
        </w:tc>
        <w:tc>
          <w:tcPr>
            <w:tcW w:w="1437" w:type="dxa"/>
            <w:tcBorders>
              <w:top w:val="nil"/>
              <w:left w:val="nil"/>
              <w:bottom w:val="single" w:sz="4" w:space="0" w:color="auto"/>
              <w:right w:val="single" w:sz="4" w:space="0" w:color="auto"/>
            </w:tcBorders>
            <w:shd w:val="clear" w:color="auto" w:fill="auto"/>
            <w:noWrap/>
            <w:hideMark/>
          </w:tcPr>
          <w:p w14:paraId="482F9B73" w14:textId="77777777" w:rsidR="00F418DA" w:rsidRPr="004B7914" w:rsidRDefault="00F418DA" w:rsidP="00E213CE">
            <w:pPr>
              <w:jc w:val="right"/>
              <w:rPr>
                <w:rFonts w:ascii="Palatino Linotype" w:eastAsia="Times New Roman" w:hAnsi="Palatino Linotype" w:cs="Calibri"/>
                <w:i/>
                <w:iCs/>
                <w:sz w:val="20"/>
                <w:szCs w:val="20"/>
                <w:lang w:val="en-IN" w:eastAsia="en-IN" w:bidi="hi-IN"/>
              </w:rPr>
            </w:pPr>
            <w:r w:rsidRPr="004B7914">
              <w:rPr>
                <w:rFonts w:ascii="Palatino Linotype" w:eastAsia="Times New Roman" w:hAnsi="Palatino Linotype" w:cs="Calibri"/>
                <w:i/>
                <w:iCs/>
                <w:sz w:val="20"/>
                <w:szCs w:val="20"/>
                <w:lang w:val="en-IN" w:eastAsia="en-IN" w:bidi="hi-IN"/>
              </w:rPr>
              <w:t>-12.1</w:t>
            </w:r>
          </w:p>
        </w:tc>
      </w:tr>
      <w:tr w:rsidR="00F418DA" w:rsidRPr="004B7914" w14:paraId="68EBE341" w14:textId="77777777" w:rsidTr="00E213CE">
        <w:trPr>
          <w:trHeight w:val="244"/>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627EBB67" w14:textId="77777777" w:rsidR="00F418DA" w:rsidRPr="004B7914" w:rsidRDefault="00F418DA" w:rsidP="00E213CE">
            <w:pPr>
              <w:rPr>
                <w:rFonts w:ascii="Palatino Linotype" w:eastAsia="Times New Roman" w:hAnsi="Palatino Linotype" w:cs="Calibri"/>
                <w:color w:val="000000"/>
                <w:sz w:val="20"/>
                <w:szCs w:val="20"/>
                <w:lang w:val="en-IN" w:eastAsia="en-IN" w:bidi="hi-IN"/>
              </w:rPr>
            </w:pPr>
            <w:r w:rsidRPr="004B7914">
              <w:rPr>
                <w:rFonts w:ascii="Palatino Linotype" w:eastAsia="Times New Roman" w:hAnsi="Palatino Linotype" w:cs="Calibri"/>
                <w:color w:val="000000"/>
                <w:sz w:val="20"/>
                <w:szCs w:val="20"/>
                <w:lang w:val="en-IN" w:eastAsia="en-IN" w:bidi="hi-IN"/>
              </w:rPr>
              <w:t xml:space="preserve">            Options</w:t>
            </w:r>
          </w:p>
        </w:tc>
        <w:tc>
          <w:tcPr>
            <w:tcW w:w="1437" w:type="dxa"/>
            <w:tcBorders>
              <w:top w:val="nil"/>
              <w:left w:val="nil"/>
              <w:bottom w:val="single" w:sz="4" w:space="0" w:color="auto"/>
              <w:right w:val="single" w:sz="4" w:space="0" w:color="auto"/>
            </w:tcBorders>
            <w:shd w:val="clear" w:color="auto" w:fill="auto"/>
            <w:noWrap/>
            <w:hideMark/>
          </w:tcPr>
          <w:p w14:paraId="32E83DE1" w14:textId="77777777" w:rsidR="00F418DA" w:rsidRPr="004B7914" w:rsidRDefault="00F418DA" w:rsidP="00E213CE">
            <w:pPr>
              <w:jc w:val="right"/>
              <w:rPr>
                <w:rFonts w:ascii="Palatino Linotype" w:eastAsia="Times New Roman" w:hAnsi="Palatino Linotype" w:cs="Calibri"/>
                <w:sz w:val="20"/>
                <w:szCs w:val="20"/>
                <w:lang w:val="en-IN" w:eastAsia="en-IN" w:bidi="hi-IN"/>
              </w:rPr>
            </w:pPr>
            <w:r w:rsidRPr="004B7914">
              <w:rPr>
                <w:rFonts w:ascii="Palatino Linotype" w:eastAsia="Times New Roman" w:hAnsi="Palatino Linotype" w:cs="Calibri"/>
                <w:sz w:val="20"/>
                <w:szCs w:val="20"/>
                <w:lang w:val="en-IN" w:eastAsia="en-IN" w:bidi="hi-IN"/>
              </w:rPr>
              <w:t>29,746</w:t>
            </w:r>
          </w:p>
        </w:tc>
        <w:tc>
          <w:tcPr>
            <w:tcW w:w="1437" w:type="dxa"/>
            <w:tcBorders>
              <w:top w:val="nil"/>
              <w:left w:val="nil"/>
              <w:bottom w:val="single" w:sz="4" w:space="0" w:color="auto"/>
              <w:right w:val="single" w:sz="4" w:space="0" w:color="auto"/>
            </w:tcBorders>
            <w:shd w:val="clear" w:color="auto" w:fill="auto"/>
            <w:noWrap/>
            <w:hideMark/>
          </w:tcPr>
          <w:p w14:paraId="129AA3F4" w14:textId="77777777" w:rsidR="00F418DA" w:rsidRPr="004B7914" w:rsidRDefault="00F418DA" w:rsidP="00E213CE">
            <w:pPr>
              <w:jc w:val="right"/>
              <w:rPr>
                <w:rFonts w:ascii="Palatino Linotype" w:eastAsia="Times New Roman" w:hAnsi="Palatino Linotype" w:cs="Calibri"/>
                <w:sz w:val="20"/>
                <w:szCs w:val="20"/>
                <w:lang w:val="en-IN" w:eastAsia="en-IN" w:bidi="hi-IN"/>
              </w:rPr>
            </w:pPr>
            <w:r w:rsidRPr="004B7914">
              <w:rPr>
                <w:rFonts w:ascii="Palatino Linotype" w:eastAsia="Times New Roman" w:hAnsi="Palatino Linotype" w:cs="Calibri"/>
                <w:sz w:val="20"/>
                <w:szCs w:val="20"/>
                <w:lang w:val="en-IN" w:eastAsia="en-IN" w:bidi="hi-IN"/>
              </w:rPr>
              <w:t>41,738</w:t>
            </w:r>
          </w:p>
        </w:tc>
        <w:tc>
          <w:tcPr>
            <w:tcW w:w="1437" w:type="dxa"/>
            <w:tcBorders>
              <w:top w:val="nil"/>
              <w:left w:val="nil"/>
              <w:bottom w:val="single" w:sz="4" w:space="0" w:color="auto"/>
              <w:right w:val="single" w:sz="4" w:space="0" w:color="auto"/>
            </w:tcBorders>
            <w:shd w:val="clear" w:color="auto" w:fill="auto"/>
            <w:noWrap/>
            <w:hideMark/>
          </w:tcPr>
          <w:p w14:paraId="5190787E" w14:textId="77777777" w:rsidR="00F418DA" w:rsidRPr="004B7914" w:rsidRDefault="00F418DA" w:rsidP="00E213CE">
            <w:pPr>
              <w:jc w:val="right"/>
              <w:rPr>
                <w:rFonts w:ascii="Palatino Linotype" w:eastAsia="Times New Roman" w:hAnsi="Palatino Linotype" w:cs="Calibri"/>
                <w:sz w:val="20"/>
                <w:szCs w:val="20"/>
                <w:lang w:val="en-IN" w:eastAsia="en-IN" w:bidi="hi-IN"/>
              </w:rPr>
            </w:pPr>
            <w:r w:rsidRPr="004B7914">
              <w:rPr>
                <w:rFonts w:ascii="Palatino Linotype" w:eastAsia="Times New Roman" w:hAnsi="Palatino Linotype" w:cs="Calibri"/>
                <w:sz w:val="20"/>
                <w:szCs w:val="20"/>
                <w:lang w:val="en-IN" w:eastAsia="en-IN" w:bidi="hi-IN"/>
              </w:rPr>
              <w:t>50,099</w:t>
            </w:r>
          </w:p>
        </w:tc>
        <w:tc>
          <w:tcPr>
            <w:tcW w:w="1437" w:type="dxa"/>
            <w:tcBorders>
              <w:top w:val="nil"/>
              <w:left w:val="nil"/>
              <w:bottom w:val="single" w:sz="4" w:space="0" w:color="auto"/>
              <w:right w:val="single" w:sz="4" w:space="0" w:color="auto"/>
            </w:tcBorders>
            <w:shd w:val="clear" w:color="auto" w:fill="auto"/>
            <w:noWrap/>
            <w:hideMark/>
          </w:tcPr>
          <w:p w14:paraId="2E6B6419" w14:textId="77777777" w:rsidR="00F418DA" w:rsidRPr="004B7914" w:rsidRDefault="00F418DA" w:rsidP="00E213CE">
            <w:pPr>
              <w:jc w:val="right"/>
              <w:rPr>
                <w:rFonts w:ascii="Palatino Linotype" w:eastAsia="Times New Roman" w:hAnsi="Palatino Linotype" w:cs="Calibri"/>
                <w:i/>
                <w:iCs/>
                <w:sz w:val="20"/>
                <w:szCs w:val="20"/>
                <w:lang w:val="en-IN" w:eastAsia="en-IN" w:bidi="hi-IN"/>
              </w:rPr>
            </w:pPr>
            <w:r w:rsidRPr="004B7914">
              <w:rPr>
                <w:rFonts w:ascii="Palatino Linotype" w:eastAsia="Times New Roman" w:hAnsi="Palatino Linotype" w:cs="Calibri"/>
                <w:i/>
                <w:iCs/>
                <w:sz w:val="20"/>
                <w:szCs w:val="20"/>
                <w:lang w:val="en-IN" w:eastAsia="en-IN" w:bidi="hi-IN"/>
              </w:rPr>
              <w:t>20.0</w:t>
            </w:r>
          </w:p>
        </w:tc>
      </w:tr>
      <w:tr w:rsidR="00F418DA" w:rsidRPr="004B7914" w14:paraId="3C84175E" w14:textId="77777777" w:rsidTr="00E213CE">
        <w:trPr>
          <w:trHeight w:val="255"/>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3C7A1C17" w14:textId="77777777" w:rsidR="00F418DA" w:rsidRPr="004B7914" w:rsidRDefault="00F418DA" w:rsidP="00E213CE">
            <w:pPr>
              <w:rPr>
                <w:rFonts w:ascii="Palatino Linotype" w:eastAsia="Times New Roman" w:hAnsi="Palatino Linotype" w:cs="Calibri"/>
                <w:b/>
                <w:bCs/>
                <w:color w:val="000000"/>
                <w:sz w:val="20"/>
                <w:szCs w:val="20"/>
                <w:lang w:val="en-IN" w:eastAsia="en-IN" w:bidi="hi-IN"/>
              </w:rPr>
            </w:pPr>
            <w:r w:rsidRPr="004B7914">
              <w:rPr>
                <w:rFonts w:ascii="Palatino Linotype" w:eastAsia="Times New Roman" w:hAnsi="Palatino Linotype" w:cs="Calibri"/>
                <w:b/>
                <w:bCs/>
                <w:color w:val="000000"/>
                <w:sz w:val="20"/>
                <w:szCs w:val="20"/>
                <w:lang w:val="en-IN" w:eastAsia="en-IN" w:bidi="hi-IN"/>
              </w:rPr>
              <w:t>BSE, of which</w:t>
            </w:r>
          </w:p>
        </w:tc>
        <w:tc>
          <w:tcPr>
            <w:tcW w:w="1437" w:type="dxa"/>
            <w:tcBorders>
              <w:top w:val="nil"/>
              <w:left w:val="nil"/>
              <w:bottom w:val="single" w:sz="4" w:space="0" w:color="auto"/>
              <w:right w:val="single" w:sz="4" w:space="0" w:color="auto"/>
            </w:tcBorders>
            <w:shd w:val="clear" w:color="auto" w:fill="auto"/>
            <w:noWrap/>
            <w:hideMark/>
          </w:tcPr>
          <w:p w14:paraId="33947247" w14:textId="77777777" w:rsidR="00F418DA" w:rsidRPr="004B7914" w:rsidRDefault="00F418DA" w:rsidP="00E213CE">
            <w:pPr>
              <w:jc w:val="right"/>
              <w:rPr>
                <w:rFonts w:ascii="Palatino Linotype" w:eastAsia="Times New Roman" w:hAnsi="Palatino Linotype" w:cs="Calibri"/>
                <w:b/>
                <w:bCs/>
                <w:sz w:val="20"/>
                <w:szCs w:val="20"/>
                <w:lang w:val="en-IN" w:eastAsia="en-IN" w:bidi="hi-IN"/>
              </w:rPr>
            </w:pPr>
            <w:r w:rsidRPr="004B7914">
              <w:rPr>
                <w:rFonts w:ascii="Palatino Linotype" w:eastAsia="Times New Roman" w:hAnsi="Palatino Linotype" w:cs="Calibri"/>
                <w:b/>
                <w:bCs/>
                <w:sz w:val="20"/>
                <w:szCs w:val="20"/>
                <w:lang w:val="en-IN" w:eastAsia="en-IN" w:bidi="hi-IN"/>
              </w:rPr>
              <w:t>66,275</w:t>
            </w:r>
          </w:p>
        </w:tc>
        <w:tc>
          <w:tcPr>
            <w:tcW w:w="1437" w:type="dxa"/>
            <w:tcBorders>
              <w:top w:val="nil"/>
              <w:left w:val="nil"/>
              <w:bottom w:val="single" w:sz="4" w:space="0" w:color="auto"/>
              <w:right w:val="single" w:sz="4" w:space="0" w:color="auto"/>
            </w:tcBorders>
            <w:shd w:val="clear" w:color="auto" w:fill="auto"/>
            <w:noWrap/>
            <w:hideMark/>
          </w:tcPr>
          <w:p w14:paraId="60F0D20D" w14:textId="77777777" w:rsidR="00F418DA" w:rsidRPr="004B7914" w:rsidRDefault="00F418DA" w:rsidP="00E213CE">
            <w:pPr>
              <w:jc w:val="right"/>
              <w:rPr>
                <w:rFonts w:ascii="Palatino Linotype" w:eastAsia="Times New Roman" w:hAnsi="Palatino Linotype" w:cs="Calibri"/>
                <w:b/>
                <w:bCs/>
                <w:sz w:val="20"/>
                <w:szCs w:val="20"/>
                <w:lang w:val="en-IN" w:eastAsia="en-IN" w:bidi="hi-IN"/>
              </w:rPr>
            </w:pPr>
            <w:r w:rsidRPr="004B7914">
              <w:rPr>
                <w:rFonts w:ascii="Palatino Linotype" w:eastAsia="Times New Roman" w:hAnsi="Palatino Linotype" w:cs="Calibri"/>
                <w:b/>
                <w:bCs/>
                <w:sz w:val="20"/>
                <w:szCs w:val="20"/>
                <w:lang w:val="en-IN" w:eastAsia="en-IN" w:bidi="hi-IN"/>
              </w:rPr>
              <w:t>68,167</w:t>
            </w:r>
          </w:p>
        </w:tc>
        <w:tc>
          <w:tcPr>
            <w:tcW w:w="1437" w:type="dxa"/>
            <w:tcBorders>
              <w:top w:val="nil"/>
              <w:left w:val="nil"/>
              <w:bottom w:val="single" w:sz="4" w:space="0" w:color="auto"/>
              <w:right w:val="single" w:sz="4" w:space="0" w:color="auto"/>
            </w:tcBorders>
            <w:shd w:val="clear" w:color="auto" w:fill="auto"/>
            <w:noWrap/>
            <w:hideMark/>
          </w:tcPr>
          <w:p w14:paraId="11B728C6" w14:textId="77777777" w:rsidR="00F418DA" w:rsidRPr="004B7914" w:rsidRDefault="00F418DA" w:rsidP="00E213CE">
            <w:pPr>
              <w:jc w:val="right"/>
              <w:rPr>
                <w:rFonts w:ascii="Palatino Linotype" w:eastAsia="Times New Roman" w:hAnsi="Palatino Linotype" w:cs="Calibri"/>
                <w:b/>
                <w:bCs/>
                <w:sz w:val="20"/>
                <w:szCs w:val="20"/>
                <w:lang w:val="en-IN" w:eastAsia="en-IN" w:bidi="hi-IN"/>
              </w:rPr>
            </w:pPr>
            <w:r w:rsidRPr="004B7914">
              <w:rPr>
                <w:rFonts w:ascii="Palatino Linotype" w:eastAsia="Times New Roman" w:hAnsi="Palatino Linotype" w:cs="Calibri"/>
                <w:b/>
                <w:bCs/>
                <w:sz w:val="20"/>
                <w:szCs w:val="20"/>
                <w:lang w:val="en-IN" w:eastAsia="en-IN" w:bidi="hi-IN"/>
              </w:rPr>
              <w:t>71,872</w:t>
            </w:r>
          </w:p>
        </w:tc>
        <w:tc>
          <w:tcPr>
            <w:tcW w:w="1437" w:type="dxa"/>
            <w:tcBorders>
              <w:top w:val="nil"/>
              <w:left w:val="nil"/>
              <w:bottom w:val="single" w:sz="4" w:space="0" w:color="auto"/>
              <w:right w:val="single" w:sz="4" w:space="0" w:color="auto"/>
            </w:tcBorders>
            <w:shd w:val="clear" w:color="auto" w:fill="auto"/>
            <w:noWrap/>
            <w:hideMark/>
          </w:tcPr>
          <w:p w14:paraId="3AA3E48F" w14:textId="77777777" w:rsidR="00F418DA" w:rsidRPr="004B7914" w:rsidRDefault="00F418DA" w:rsidP="00E213CE">
            <w:pPr>
              <w:jc w:val="right"/>
              <w:rPr>
                <w:rFonts w:ascii="Palatino Linotype" w:eastAsia="Times New Roman" w:hAnsi="Palatino Linotype" w:cs="Calibri"/>
                <w:i/>
                <w:iCs/>
                <w:sz w:val="20"/>
                <w:szCs w:val="20"/>
                <w:lang w:val="en-IN" w:eastAsia="en-IN" w:bidi="hi-IN"/>
              </w:rPr>
            </w:pPr>
            <w:r w:rsidRPr="004B7914">
              <w:rPr>
                <w:rFonts w:ascii="Palatino Linotype" w:eastAsia="Times New Roman" w:hAnsi="Palatino Linotype" w:cs="Calibri"/>
                <w:i/>
                <w:iCs/>
                <w:sz w:val="20"/>
                <w:szCs w:val="20"/>
                <w:lang w:val="en-IN" w:eastAsia="en-IN" w:bidi="hi-IN"/>
              </w:rPr>
              <w:t>5.4</w:t>
            </w:r>
          </w:p>
        </w:tc>
      </w:tr>
      <w:tr w:rsidR="00F418DA" w:rsidRPr="004B7914" w14:paraId="757795EE" w14:textId="77777777" w:rsidTr="00E213CE">
        <w:trPr>
          <w:trHeight w:val="244"/>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32814DB0" w14:textId="77777777" w:rsidR="00F418DA" w:rsidRPr="004B7914" w:rsidRDefault="00F418DA" w:rsidP="00E213CE">
            <w:pPr>
              <w:rPr>
                <w:rFonts w:ascii="Palatino Linotype" w:eastAsia="Times New Roman" w:hAnsi="Palatino Linotype" w:cs="Calibri"/>
                <w:color w:val="000000"/>
                <w:sz w:val="20"/>
                <w:szCs w:val="20"/>
                <w:lang w:val="en-IN" w:eastAsia="en-IN" w:bidi="hi-IN"/>
              </w:rPr>
            </w:pPr>
            <w:r w:rsidRPr="004B7914">
              <w:rPr>
                <w:rFonts w:ascii="Palatino Linotype" w:eastAsia="Times New Roman" w:hAnsi="Palatino Linotype" w:cs="Calibri"/>
                <w:color w:val="000000"/>
                <w:sz w:val="20"/>
                <w:szCs w:val="20"/>
                <w:lang w:val="en-IN" w:eastAsia="en-IN" w:bidi="hi-IN"/>
              </w:rPr>
              <w:t xml:space="preserve">             Futures</w:t>
            </w:r>
          </w:p>
        </w:tc>
        <w:tc>
          <w:tcPr>
            <w:tcW w:w="1437" w:type="dxa"/>
            <w:tcBorders>
              <w:top w:val="nil"/>
              <w:left w:val="nil"/>
              <w:bottom w:val="single" w:sz="4" w:space="0" w:color="auto"/>
              <w:right w:val="single" w:sz="4" w:space="0" w:color="auto"/>
            </w:tcBorders>
            <w:shd w:val="clear" w:color="auto" w:fill="auto"/>
            <w:noWrap/>
            <w:hideMark/>
          </w:tcPr>
          <w:p w14:paraId="258E18EE" w14:textId="77777777" w:rsidR="00F418DA" w:rsidRPr="004B7914" w:rsidRDefault="00F418DA" w:rsidP="00E213CE">
            <w:pPr>
              <w:jc w:val="right"/>
              <w:rPr>
                <w:rFonts w:ascii="Palatino Linotype" w:eastAsia="Times New Roman" w:hAnsi="Palatino Linotype" w:cs="Calibri"/>
                <w:sz w:val="20"/>
                <w:szCs w:val="20"/>
                <w:lang w:val="en-IN" w:eastAsia="en-IN" w:bidi="hi-IN"/>
              </w:rPr>
            </w:pPr>
            <w:r w:rsidRPr="004B7914">
              <w:rPr>
                <w:rFonts w:ascii="Palatino Linotype" w:eastAsia="Times New Roman" w:hAnsi="Palatino Linotype" w:cs="Calibri"/>
                <w:sz w:val="20"/>
                <w:szCs w:val="20"/>
                <w:lang w:val="en-IN" w:eastAsia="en-IN" w:bidi="hi-IN"/>
              </w:rPr>
              <w:t>185</w:t>
            </w:r>
          </w:p>
        </w:tc>
        <w:tc>
          <w:tcPr>
            <w:tcW w:w="1437" w:type="dxa"/>
            <w:tcBorders>
              <w:top w:val="nil"/>
              <w:left w:val="nil"/>
              <w:bottom w:val="single" w:sz="4" w:space="0" w:color="auto"/>
              <w:right w:val="single" w:sz="4" w:space="0" w:color="auto"/>
            </w:tcBorders>
            <w:shd w:val="clear" w:color="auto" w:fill="auto"/>
            <w:noWrap/>
            <w:hideMark/>
          </w:tcPr>
          <w:p w14:paraId="575F1A95" w14:textId="77777777" w:rsidR="00F418DA" w:rsidRPr="004B7914" w:rsidRDefault="00F418DA" w:rsidP="00E213CE">
            <w:pPr>
              <w:jc w:val="right"/>
              <w:rPr>
                <w:rFonts w:ascii="Palatino Linotype" w:eastAsia="Times New Roman" w:hAnsi="Palatino Linotype" w:cs="Calibri"/>
                <w:sz w:val="20"/>
                <w:szCs w:val="20"/>
                <w:lang w:val="en-IN" w:eastAsia="en-IN" w:bidi="hi-IN"/>
              </w:rPr>
            </w:pPr>
            <w:r w:rsidRPr="004B7914">
              <w:rPr>
                <w:rFonts w:ascii="Palatino Linotype" w:eastAsia="Times New Roman" w:hAnsi="Palatino Linotype" w:cs="Calibri"/>
                <w:sz w:val="20"/>
                <w:szCs w:val="20"/>
                <w:lang w:val="en-IN" w:eastAsia="en-IN" w:bidi="hi-IN"/>
              </w:rPr>
              <w:t>195</w:t>
            </w:r>
          </w:p>
        </w:tc>
        <w:tc>
          <w:tcPr>
            <w:tcW w:w="1437" w:type="dxa"/>
            <w:tcBorders>
              <w:top w:val="nil"/>
              <w:left w:val="nil"/>
              <w:bottom w:val="single" w:sz="4" w:space="0" w:color="auto"/>
              <w:right w:val="single" w:sz="4" w:space="0" w:color="auto"/>
            </w:tcBorders>
            <w:shd w:val="clear" w:color="auto" w:fill="auto"/>
            <w:noWrap/>
            <w:hideMark/>
          </w:tcPr>
          <w:p w14:paraId="768BA1D7" w14:textId="77777777" w:rsidR="00F418DA" w:rsidRPr="004B7914" w:rsidRDefault="00F418DA" w:rsidP="00E213CE">
            <w:pPr>
              <w:jc w:val="right"/>
              <w:rPr>
                <w:rFonts w:ascii="Palatino Linotype" w:eastAsia="Times New Roman" w:hAnsi="Palatino Linotype" w:cs="Calibri"/>
                <w:sz w:val="20"/>
                <w:szCs w:val="20"/>
                <w:lang w:val="en-IN" w:eastAsia="en-IN" w:bidi="hi-IN"/>
              </w:rPr>
            </w:pPr>
            <w:r w:rsidRPr="004B7914">
              <w:rPr>
                <w:rFonts w:ascii="Palatino Linotype" w:eastAsia="Times New Roman" w:hAnsi="Palatino Linotype" w:cs="Calibri"/>
                <w:sz w:val="20"/>
                <w:szCs w:val="20"/>
                <w:lang w:val="en-IN" w:eastAsia="en-IN" w:bidi="hi-IN"/>
              </w:rPr>
              <w:t>239</w:t>
            </w:r>
          </w:p>
        </w:tc>
        <w:tc>
          <w:tcPr>
            <w:tcW w:w="1437" w:type="dxa"/>
            <w:tcBorders>
              <w:top w:val="nil"/>
              <w:left w:val="nil"/>
              <w:bottom w:val="single" w:sz="4" w:space="0" w:color="auto"/>
              <w:right w:val="single" w:sz="4" w:space="0" w:color="auto"/>
            </w:tcBorders>
            <w:shd w:val="clear" w:color="auto" w:fill="auto"/>
            <w:noWrap/>
            <w:hideMark/>
          </w:tcPr>
          <w:p w14:paraId="65CC9B88" w14:textId="77777777" w:rsidR="00F418DA" w:rsidRPr="004B7914" w:rsidRDefault="00F418DA" w:rsidP="00E213CE">
            <w:pPr>
              <w:jc w:val="right"/>
              <w:rPr>
                <w:rFonts w:ascii="Palatino Linotype" w:eastAsia="Times New Roman" w:hAnsi="Palatino Linotype" w:cs="Calibri"/>
                <w:i/>
                <w:iCs/>
                <w:sz w:val="20"/>
                <w:szCs w:val="20"/>
                <w:lang w:val="en-IN" w:eastAsia="en-IN" w:bidi="hi-IN"/>
              </w:rPr>
            </w:pPr>
            <w:r w:rsidRPr="004B7914">
              <w:rPr>
                <w:rFonts w:ascii="Palatino Linotype" w:eastAsia="Times New Roman" w:hAnsi="Palatino Linotype" w:cs="Calibri"/>
                <w:i/>
                <w:iCs/>
                <w:sz w:val="20"/>
                <w:szCs w:val="20"/>
                <w:lang w:val="en-IN" w:eastAsia="en-IN" w:bidi="hi-IN"/>
              </w:rPr>
              <w:t>22.3</w:t>
            </w:r>
          </w:p>
        </w:tc>
      </w:tr>
      <w:tr w:rsidR="00F418DA" w:rsidRPr="004B7914" w14:paraId="59775F1A" w14:textId="77777777" w:rsidTr="00E213CE">
        <w:trPr>
          <w:trHeight w:val="244"/>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07BFD063" w14:textId="77777777" w:rsidR="00F418DA" w:rsidRPr="004B7914" w:rsidRDefault="00F418DA" w:rsidP="00E213CE">
            <w:pPr>
              <w:rPr>
                <w:rFonts w:ascii="Palatino Linotype" w:eastAsia="Times New Roman" w:hAnsi="Palatino Linotype" w:cs="Calibri"/>
                <w:color w:val="000000"/>
                <w:sz w:val="20"/>
                <w:szCs w:val="20"/>
                <w:lang w:val="en-IN" w:eastAsia="en-IN" w:bidi="hi-IN"/>
              </w:rPr>
            </w:pPr>
            <w:r w:rsidRPr="004B7914">
              <w:rPr>
                <w:rFonts w:ascii="Palatino Linotype" w:eastAsia="Times New Roman" w:hAnsi="Palatino Linotype" w:cs="Calibri"/>
                <w:color w:val="000000"/>
                <w:sz w:val="20"/>
                <w:szCs w:val="20"/>
                <w:lang w:val="en-IN" w:eastAsia="en-IN" w:bidi="hi-IN"/>
              </w:rPr>
              <w:t xml:space="preserve">            Options</w:t>
            </w:r>
          </w:p>
        </w:tc>
        <w:tc>
          <w:tcPr>
            <w:tcW w:w="1437" w:type="dxa"/>
            <w:tcBorders>
              <w:top w:val="nil"/>
              <w:left w:val="nil"/>
              <w:bottom w:val="single" w:sz="4" w:space="0" w:color="auto"/>
              <w:right w:val="single" w:sz="4" w:space="0" w:color="auto"/>
            </w:tcBorders>
            <w:shd w:val="clear" w:color="auto" w:fill="auto"/>
            <w:noWrap/>
            <w:hideMark/>
          </w:tcPr>
          <w:p w14:paraId="64AA226E" w14:textId="77777777" w:rsidR="00F418DA" w:rsidRPr="004B7914" w:rsidRDefault="00F418DA" w:rsidP="00E213CE">
            <w:pPr>
              <w:jc w:val="right"/>
              <w:rPr>
                <w:rFonts w:ascii="Palatino Linotype" w:eastAsia="Times New Roman" w:hAnsi="Palatino Linotype" w:cs="Calibri"/>
                <w:sz w:val="20"/>
                <w:szCs w:val="20"/>
                <w:lang w:val="en-IN" w:eastAsia="en-IN" w:bidi="hi-IN"/>
              </w:rPr>
            </w:pPr>
            <w:r w:rsidRPr="004B7914">
              <w:rPr>
                <w:rFonts w:ascii="Palatino Linotype" w:eastAsia="Times New Roman" w:hAnsi="Palatino Linotype" w:cs="Calibri"/>
                <w:sz w:val="20"/>
                <w:szCs w:val="20"/>
                <w:lang w:val="en-IN" w:eastAsia="en-IN" w:bidi="hi-IN"/>
              </w:rPr>
              <w:t>66,089</w:t>
            </w:r>
          </w:p>
        </w:tc>
        <w:tc>
          <w:tcPr>
            <w:tcW w:w="1437" w:type="dxa"/>
            <w:tcBorders>
              <w:top w:val="nil"/>
              <w:left w:val="nil"/>
              <w:bottom w:val="single" w:sz="4" w:space="0" w:color="auto"/>
              <w:right w:val="single" w:sz="4" w:space="0" w:color="auto"/>
            </w:tcBorders>
            <w:shd w:val="clear" w:color="auto" w:fill="auto"/>
            <w:noWrap/>
            <w:hideMark/>
          </w:tcPr>
          <w:p w14:paraId="6DF7C633" w14:textId="77777777" w:rsidR="00F418DA" w:rsidRPr="004B7914" w:rsidRDefault="00F418DA" w:rsidP="00E213CE">
            <w:pPr>
              <w:jc w:val="right"/>
              <w:rPr>
                <w:rFonts w:ascii="Palatino Linotype" w:eastAsia="Times New Roman" w:hAnsi="Palatino Linotype" w:cs="Calibri"/>
                <w:sz w:val="20"/>
                <w:szCs w:val="20"/>
                <w:lang w:val="en-IN" w:eastAsia="en-IN" w:bidi="hi-IN"/>
              </w:rPr>
            </w:pPr>
            <w:r w:rsidRPr="004B7914">
              <w:rPr>
                <w:rFonts w:ascii="Palatino Linotype" w:eastAsia="Times New Roman" w:hAnsi="Palatino Linotype" w:cs="Calibri"/>
                <w:sz w:val="20"/>
                <w:szCs w:val="20"/>
                <w:lang w:val="en-IN" w:eastAsia="en-IN" w:bidi="hi-IN"/>
              </w:rPr>
              <w:t>67,972</w:t>
            </w:r>
          </w:p>
        </w:tc>
        <w:tc>
          <w:tcPr>
            <w:tcW w:w="1437" w:type="dxa"/>
            <w:tcBorders>
              <w:top w:val="nil"/>
              <w:left w:val="nil"/>
              <w:bottom w:val="single" w:sz="4" w:space="0" w:color="auto"/>
              <w:right w:val="single" w:sz="4" w:space="0" w:color="auto"/>
            </w:tcBorders>
            <w:shd w:val="clear" w:color="auto" w:fill="auto"/>
            <w:noWrap/>
            <w:hideMark/>
          </w:tcPr>
          <w:p w14:paraId="557B967A" w14:textId="77777777" w:rsidR="00F418DA" w:rsidRPr="004B7914" w:rsidRDefault="00F418DA" w:rsidP="00E213CE">
            <w:pPr>
              <w:jc w:val="right"/>
              <w:rPr>
                <w:rFonts w:ascii="Palatino Linotype" w:eastAsia="Times New Roman" w:hAnsi="Palatino Linotype" w:cs="Calibri"/>
                <w:sz w:val="20"/>
                <w:szCs w:val="20"/>
                <w:lang w:val="en-IN" w:eastAsia="en-IN" w:bidi="hi-IN"/>
              </w:rPr>
            </w:pPr>
            <w:r w:rsidRPr="004B7914">
              <w:rPr>
                <w:rFonts w:ascii="Palatino Linotype" w:eastAsia="Times New Roman" w:hAnsi="Palatino Linotype" w:cs="Calibri"/>
                <w:sz w:val="20"/>
                <w:szCs w:val="20"/>
                <w:lang w:val="en-IN" w:eastAsia="en-IN" w:bidi="hi-IN"/>
              </w:rPr>
              <w:t>71,633</w:t>
            </w:r>
          </w:p>
        </w:tc>
        <w:tc>
          <w:tcPr>
            <w:tcW w:w="1437" w:type="dxa"/>
            <w:tcBorders>
              <w:top w:val="nil"/>
              <w:left w:val="nil"/>
              <w:bottom w:val="single" w:sz="4" w:space="0" w:color="auto"/>
              <w:right w:val="single" w:sz="4" w:space="0" w:color="auto"/>
            </w:tcBorders>
            <w:shd w:val="clear" w:color="auto" w:fill="auto"/>
            <w:noWrap/>
            <w:hideMark/>
          </w:tcPr>
          <w:p w14:paraId="01489B38" w14:textId="77777777" w:rsidR="00F418DA" w:rsidRPr="004B7914" w:rsidRDefault="00F418DA" w:rsidP="00E213CE">
            <w:pPr>
              <w:jc w:val="right"/>
              <w:rPr>
                <w:rFonts w:ascii="Palatino Linotype" w:eastAsia="Times New Roman" w:hAnsi="Palatino Linotype" w:cs="Calibri"/>
                <w:i/>
                <w:iCs/>
                <w:sz w:val="20"/>
                <w:szCs w:val="20"/>
                <w:lang w:val="en-IN" w:eastAsia="en-IN" w:bidi="hi-IN"/>
              </w:rPr>
            </w:pPr>
            <w:r w:rsidRPr="004B7914">
              <w:rPr>
                <w:rFonts w:ascii="Palatino Linotype" w:eastAsia="Times New Roman" w:hAnsi="Palatino Linotype" w:cs="Calibri"/>
                <w:i/>
                <w:iCs/>
                <w:sz w:val="20"/>
                <w:szCs w:val="20"/>
                <w:lang w:val="en-IN" w:eastAsia="en-IN" w:bidi="hi-IN"/>
              </w:rPr>
              <w:t>5.4</w:t>
            </w:r>
          </w:p>
        </w:tc>
      </w:tr>
      <w:tr w:rsidR="00F418DA" w:rsidRPr="004B7914" w14:paraId="1FE81A4E" w14:textId="77777777" w:rsidTr="00E213CE">
        <w:trPr>
          <w:trHeight w:val="255"/>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53884548" w14:textId="77777777" w:rsidR="00F418DA" w:rsidRPr="004B7914" w:rsidRDefault="00F418DA" w:rsidP="00E213CE">
            <w:pPr>
              <w:rPr>
                <w:rFonts w:ascii="Palatino Linotype" w:eastAsia="Times New Roman" w:hAnsi="Palatino Linotype" w:cs="Calibri"/>
                <w:b/>
                <w:bCs/>
                <w:color w:val="000000"/>
                <w:sz w:val="20"/>
                <w:szCs w:val="20"/>
                <w:lang w:val="en-IN" w:eastAsia="en-IN" w:bidi="hi-IN"/>
              </w:rPr>
            </w:pPr>
            <w:r w:rsidRPr="004B7914">
              <w:rPr>
                <w:rFonts w:ascii="Palatino Linotype" w:eastAsia="Times New Roman" w:hAnsi="Palatino Linotype" w:cs="Calibri"/>
                <w:b/>
                <w:bCs/>
                <w:color w:val="000000"/>
                <w:sz w:val="20"/>
                <w:szCs w:val="20"/>
                <w:lang w:val="en-IN" w:eastAsia="en-IN" w:bidi="hi-IN"/>
              </w:rPr>
              <w:t>NCDEX, of which</w:t>
            </w:r>
          </w:p>
        </w:tc>
        <w:tc>
          <w:tcPr>
            <w:tcW w:w="1437" w:type="dxa"/>
            <w:tcBorders>
              <w:top w:val="nil"/>
              <w:left w:val="nil"/>
              <w:bottom w:val="single" w:sz="4" w:space="0" w:color="auto"/>
              <w:right w:val="single" w:sz="4" w:space="0" w:color="auto"/>
            </w:tcBorders>
            <w:shd w:val="clear" w:color="auto" w:fill="auto"/>
            <w:noWrap/>
            <w:hideMark/>
          </w:tcPr>
          <w:p w14:paraId="2DD6C27C" w14:textId="77777777" w:rsidR="00F418DA" w:rsidRPr="004B7914" w:rsidRDefault="00F418DA" w:rsidP="00E213CE">
            <w:pPr>
              <w:jc w:val="right"/>
              <w:rPr>
                <w:rFonts w:ascii="Palatino Linotype" w:eastAsia="Times New Roman" w:hAnsi="Palatino Linotype" w:cs="Calibri"/>
                <w:b/>
                <w:bCs/>
                <w:sz w:val="20"/>
                <w:szCs w:val="20"/>
                <w:lang w:val="en-IN" w:eastAsia="en-IN" w:bidi="hi-IN"/>
              </w:rPr>
            </w:pPr>
            <w:r w:rsidRPr="004B7914">
              <w:rPr>
                <w:rFonts w:ascii="Palatino Linotype" w:eastAsia="Times New Roman" w:hAnsi="Palatino Linotype" w:cs="Calibri"/>
                <w:b/>
                <w:bCs/>
                <w:sz w:val="20"/>
                <w:szCs w:val="20"/>
                <w:lang w:val="en-IN" w:eastAsia="en-IN" w:bidi="hi-IN"/>
              </w:rPr>
              <w:t>55,231</w:t>
            </w:r>
          </w:p>
        </w:tc>
        <w:tc>
          <w:tcPr>
            <w:tcW w:w="1437" w:type="dxa"/>
            <w:tcBorders>
              <w:top w:val="nil"/>
              <w:left w:val="nil"/>
              <w:bottom w:val="single" w:sz="4" w:space="0" w:color="auto"/>
              <w:right w:val="single" w:sz="4" w:space="0" w:color="auto"/>
            </w:tcBorders>
            <w:shd w:val="clear" w:color="auto" w:fill="auto"/>
            <w:noWrap/>
            <w:hideMark/>
          </w:tcPr>
          <w:p w14:paraId="22EFD508" w14:textId="77777777" w:rsidR="00F418DA" w:rsidRPr="004B7914" w:rsidRDefault="00F418DA" w:rsidP="00E213CE">
            <w:pPr>
              <w:jc w:val="right"/>
              <w:rPr>
                <w:rFonts w:ascii="Palatino Linotype" w:eastAsia="Times New Roman" w:hAnsi="Palatino Linotype" w:cs="Calibri"/>
                <w:b/>
                <w:bCs/>
                <w:sz w:val="20"/>
                <w:szCs w:val="20"/>
                <w:lang w:val="en-IN" w:eastAsia="en-IN" w:bidi="hi-IN"/>
              </w:rPr>
            </w:pPr>
            <w:r w:rsidRPr="004B7914">
              <w:rPr>
                <w:rFonts w:ascii="Palatino Linotype" w:eastAsia="Times New Roman" w:hAnsi="Palatino Linotype" w:cs="Calibri"/>
                <w:b/>
                <w:bCs/>
                <w:sz w:val="20"/>
                <w:szCs w:val="20"/>
                <w:lang w:val="en-IN" w:eastAsia="en-IN" w:bidi="hi-IN"/>
              </w:rPr>
              <w:t>42,923</w:t>
            </w:r>
          </w:p>
        </w:tc>
        <w:tc>
          <w:tcPr>
            <w:tcW w:w="1437" w:type="dxa"/>
            <w:tcBorders>
              <w:top w:val="nil"/>
              <w:left w:val="nil"/>
              <w:bottom w:val="single" w:sz="4" w:space="0" w:color="auto"/>
              <w:right w:val="single" w:sz="4" w:space="0" w:color="auto"/>
            </w:tcBorders>
            <w:shd w:val="clear" w:color="auto" w:fill="auto"/>
            <w:noWrap/>
            <w:hideMark/>
          </w:tcPr>
          <w:p w14:paraId="65CC6068" w14:textId="77777777" w:rsidR="00F418DA" w:rsidRPr="004B7914" w:rsidRDefault="00F418DA" w:rsidP="00E213CE">
            <w:pPr>
              <w:jc w:val="right"/>
              <w:rPr>
                <w:rFonts w:ascii="Palatino Linotype" w:eastAsia="Times New Roman" w:hAnsi="Palatino Linotype" w:cs="Calibri"/>
                <w:b/>
                <w:bCs/>
                <w:sz w:val="20"/>
                <w:szCs w:val="20"/>
                <w:lang w:val="en-IN" w:eastAsia="en-IN" w:bidi="hi-IN"/>
              </w:rPr>
            </w:pPr>
            <w:r w:rsidRPr="004B7914">
              <w:rPr>
                <w:rFonts w:ascii="Palatino Linotype" w:eastAsia="Times New Roman" w:hAnsi="Palatino Linotype" w:cs="Calibri"/>
                <w:b/>
                <w:bCs/>
                <w:sz w:val="20"/>
                <w:szCs w:val="20"/>
                <w:lang w:val="en-IN" w:eastAsia="en-IN" w:bidi="hi-IN"/>
              </w:rPr>
              <w:t>42,786</w:t>
            </w:r>
          </w:p>
        </w:tc>
        <w:tc>
          <w:tcPr>
            <w:tcW w:w="1437" w:type="dxa"/>
            <w:tcBorders>
              <w:top w:val="nil"/>
              <w:left w:val="nil"/>
              <w:bottom w:val="single" w:sz="4" w:space="0" w:color="auto"/>
              <w:right w:val="single" w:sz="4" w:space="0" w:color="auto"/>
            </w:tcBorders>
            <w:shd w:val="clear" w:color="auto" w:fill="auto"/>
            <w:noWrap/>
            <w:hideMark/>
          </w:tcPr>
          <w:p w14:paraId="6C9B6113" w14:textId="77777777" w:rsidR="00F418DA" w:rsidRPr="004B7914" w:rsidRDefault="00F418DA" w:rsidP="00E213CE">
            <w:pPr>
              <w:jc w:val="right"/>
              <w:rPr>
                <w:rFonts w:ascii="Palatino Linotype" w:eastAsia="Times New Roman" w:hAnsi="Palatino Linotype" w:cs="Calibri"/>
                <w:i/>
                <w:iCs/>
                <w:sz w:val="20"/>
                <w:szCs w:val="20"/>
                <w:lang w:val="en-IN" w:eastAsia="en-IN" w:bidi="hi-IN"/>
              </w:rPr>
            </w:pPr>
            <w:r w:rsidRPr="004B7914">
              <w:rPr>
                <w:rFonts w:ascii="Palatino Linotype" w:eastAsia="Times New Roman" w:hAnsi="Palatino Linotype" w:cs="Calibri"/>
                <w:i/>
                <w:iCs/>
                <w:sz w:val="20"/>
                <w:szCs w:val="20"/>
                <w:lang w:val="en-IN" w:eastAsia="en-IN" w:bidi="hi-IN"/>
              </w:rPr>
              <w:t>-0.3</w:t>
            </w:r>
          </w:p>
        </w:tc>
      </w:tr>
      <w:tr w:rsidR="00F418DA" w:rsidRPr="004B7914" w14:paraId="106A6C71" w14:textId="77777777" w:rsidTr="00E213CE">
        <w:trPr>
          <w:trHeight w:val="244"/>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2645D451" w14:textId="77777777" w:rsidR="00F418DA" w:rsidRPr="004B7914" w:rsidRDefault="00F418DA" w:rsidP="00E213CE">
            <w:pPr>
              <w:rPr>
                <w:rFonts w:ascii="Palatino Linotype" w:eastAsia="Times New Roman" w:hAnsi="Palatino Linotype" w:cs="Calibri"/>
                <w:color w:val="000000"/>
                <w:sz w:val="20"/>
                <w:szCs w:val="20"/>
                <w:lang w:val="en-IN" w:eastAsia="en-IN" w:bidi="hi-IN"/>
              </w:rPr>
            </w:pPr>
            <w:r w:rsidRPr="004B7914">
              <w:rPr>
                <w:rFonts w:ascii="Palatino Linotype" w:eastAsia="Times New Roman" w:hAnsi="Palatino Linotype" w:cs="Calibri"/>
                <w:color w:val="000000"/>
                <w:sz w:val="20"/>
                <w:szCs w:val="20"/>
                <w:lang w:val="en-IN" w:eastAsia="en-IN" w:bidi="hi-IN"/>
              </w:rPr>
              <w:t xml:space="preserve">            Futures</w:t>
            </w:r>
          </w:p>
        </w:tc>
        <w:tc>
          <w:tcPr>
            <w:tcW w:w="1437" w:type="dxa"/>
            <w:tcBorders>
              <w:top w:val="nil"/>
              <w:left w:val="nil"/>
              <w:bottom w:val="single" w:sz="4" w:space="0" w:color="auto"/>
              <w:right w:val="single" w:sz="4" w:space="0" w:color="auto"/>
            </w:tcBorders>
            <w:shd w:val="clear" w:color="auto" w:fill="auto"/>
            <w:noWrap/>
            <w:hideMark/>
          </w:tcPr>
          <w:p w14:paraId="5FEEE0D2" w14:textId="77777777" w:rsidR="00F418DA" w:rsidRPr="004B7914" w:rsidRDefault="00F418DA" w:rsidP="00E213CE">
            <w:pPr>
              <w:jc w:val="right"/>
              <w:rPr>
                <w:rFonts w:ascii="Palatino Linotype" w:eastAsia="Times New Roman" w:hAnsi="Palatino Linotype" w:cs="Calibri"/>
                <w:sz w:val="20"/>
                <w:szCs w:val="20"/>
                <w:lang w:val="en-IN" w:eastAsia="en-IN" w:bidi="hi-IN"/>
              </w:rPr>
            </w:pPr>
            <w:r w:rsidRPr="004B7914">
              <w:rPr>
                <w:rFonts w:ascii="Palatino Linotype" w:eastAsia="Times New Roman" w:hAnsi="Palatino Linotype" w:cs="Calibri"/>
                <w:sz w:val="20"/>
                <w:szCs w:val="20"/>
                <w:lang w:val="en-IN" w:eastAsia="en-IN" w:bidi="hi-IN"/>
              </w:rPr>
              <w:t>55,197</w:t>
            </w:r>
          </w:p>
        </w:tc>
        <w:tc>
          <w:tcPr>
            <w:tcW w:w="1437" w:type="dxa"/>
            <w:tcBorders>
              <w:top w:val="nil"/>
              <w:left w:val="nil"/>
              <w:bottom w:val="single" w:sz="4" w:space="0" w:color="auto"/>
              <w:right w:val="single" w:sz="4" w:space="0" w:color="auto"/>
            </w:tcBorders>
            <w:shd w:val="clear" w:color="auto" w:fill="auto"/>
            <w:noWrap/>
            <w:hideMark/>
          </w:tcPr>
          <w:p w14:paraId="6A33B75F" w14:textId="77777777" w:rsidR="00F418DA" w:rsidRPr="004B7914" w:rsidRDefault="00F418DA" w:rsidP="00E213CE">
            <w:pPr>
              <w:jc w:val="right"/>
              <w:rPr>
                <w:rFonts w:ascii="Palatino Linotype" w:eastAsia="Times New Roman" w:hAnsi="Palatino Linotype" w:cs="Calibri"/>
                <w:sz w:val="20"/>
                <w:szCs w:val="20"/>
                <w:lang w:val="en-IN" w:eastAsia="en-IN" w:bidi="hi-IN"/>
              </w:rPr>
            </w:pPr>
            <w:r w:rsidRPr="004B7914">
              <w:rPr>
                <w:rFonts w:ascii="Palatino Linotype" w:eastAsia="Times New Roman" w:hAnsi="Palatino Linotype" w:cs="Calibri"/>
                <w:sz w:val="20"/>
                <w:szCs w:val="20"/>
                <w:lang w:val="en-IN" w:eastAsia="en-IN" w:bidi="hi-IN"/>
              </w:rPr>
              <w:t>42,920</w:t>
            </w:r>
          </w:p>
        </w:tc>
        <w:tc>
          <w:tcPr>
            <w:tcW w:w="1437" w:type="dxa"/>
            <w:tcBorders>
              <w:top w:val="nil"/>
              <w:left w:val="nil"/>
              <w:bottom w:val="single" w:sz="4" w:space="0" w:color="auto"/>
              <w:right w:val="single" w:sz="4" w:space="0" w:color="auto"/>
            </w:tcBorders>
            <w:shd w:val="clear" w:color="auto" w:fill="auto"/>
            <w:noWrap/>
            <w:hideMark/>
          </w:tcPr>
          <w:p w14:paraId="5D0EA49B" w14:textId="77777777" w:rsidR="00F418DA" w:rsidRPr="004B7914" w:rsidRDefault="00F418DA" w:rsidP="00E213CE">
            <w:pPr>
              <w:jc w:val="right"/>
              <w:rPr>
                <w:rFonts w:ascii="Palatino Linotype" w:eastAsia="Times New Roman" w:hAnsi="Palatino Linotype" w:cs="Calibri"/>
                <w:sz w:val="20"/>
                <w:szCs w:val="20"/>
                <w:lang w:val="en-IN" w:eastAsia="en-IN" w:bidi="hi-IN"/>
              </w:rPr>
            </w:pPr>
            <w:r w:rsidRPr="004B7914">
              <w:rPr>
                <w:rFonts w:ascii="Palatino Linotype" w:eastAsia="Times New Roman" w:hAnsi="Palatino Linotype" w:cs="Calibri"/>
                <w:sz w:val="20"/>
                <w:szCs w:val="20"/>
                <w:lang w:val="en-IN" w:eastAsia="en-IN" w:bidi="hi-IN"/>
              </w:rPr>
              <w:t>42,777</w:t>
            </w:r>
          </w:p>
        </w:tc>
        <w:tc>
          <w:tcPr>
            <w:tcW w:w="1437" w:type="dxa"/>
            <w:tcBorders>
              <w:top w:val="nil"/>
              <w:left w:val="nil"/>
              <w:bottom w:val="single" w:sz="4" w:space="0" w:color="auto"/>
              <w:right w:val="single" w:sz="4" w:space="0" w:color="auto"/>
            </w:tcBorders>
            <w:shd w:val="clear" w:color="auto" w:fill="auto"/>
            <w:noWrap/>
            <w:hideMark/>
          </w:tcPr>
          <w:p w14:paraId="15CDBA22" w14:textId="77777777" w:rsidR="00F418DA" w:rsidRPr="004B7914" w:rsidRDefault="00F418DA" w:rsidP="00E213CE">
            <w:pPr>
              <w:jc w:val="right"/>
              <w:rPr>
                <w:rFonts w:ascii="Palatino Linotype" w:eastAsia="Times New Roman" w:hAnsi="Palatino Linotype" w:cs="Calibri"/>
                <w:i/>
                <w:iCs/>
                <w:sz w:val="20"/>
                <w:szCs w:val="20"/>
                <w:lang w:val="en-IN" w:eastAsia="en-IN" w:bidi="hi-IN"/>
              </w:rPr>
            </w:pPr>
            <w:r w:rsidRPr="004B7914">
              <w:rPr>
                <w:rFonts w:ascii="Palatino Linotype" w:eastAsia="Times New Roman" w:hAnsi="Palatino Linotype" w:cs="Calibri"/>
                <w:i/>
                <w:iCs/>
                <w:sz w:val="20"/>
                <w:szCs w:val="20"/>
                <w:lang w:val="en-IN" w:eastAsia="en-IN" w:bidi="hi-IN"/>
              </w:rPr>
              <w:t>-0.3</w:t>
            </w:r>
          </w:p>
        </w:tc>
      </w:tr>
      <w:tr w:rsidR="00F418DA" w:rsidRPr="004B7914" w14:paraId="2264D012" w14:textId="77777777" w:rsidTr="00E213CE">
        <w:trPr>
          <w:trHeight w:val="244"/>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5DCEE678" w14:textId="77777777" w:rsidR="00F418DA" w:rsidRPr="004B7914" w:rsidRDefault="00F418DA" w:rsidP="00E213CE">
            <w:pPr>
              <w:rPr>
                <w:rFonts w:ascii="Palatino Linotype" w:eastAsia="Times New Roman" w:hAnsi="Palatino Linotype" w:cs="Calibri"/>
                <w:color w:val="000000"/>
                <w:sz w:val="20"/>
                <w:szCs w:val="20"/>
                <w:lang w:val="en-IN" w:eastAsia="en-IN" w:bidi="hi-IN"/>
              </w:rPr>
            </w:pPr>
            <w:r w:rsidRPr="004B7914">
              <w:rPr>
                <w:rFonts w:ascii="Palatino Linotype" w:eastAsia="Times New Roman" w:hAnsi="Palatino Linotype" w:cs="Calibri"/>
                <w:color w:val="000000"/>
                <w:sz w:val="20"/>
                <w:szCs w:val="20"/>
                <w:lang w:val="en-IN" w:eastAsia="en-IN" w:bidi="hi-IN"/>
              </w:rPr>
              <w:t xml:space="preserve">          Options</w:t>
            </w:r>
          </w:p>
        </w:tc>
        <w:tc>
          <w:tcPr>
            <w:tcW w:w="1437" w:type="dxa"/>
            <w:tcBorders>
              <w:top w:val="nil"/>
              <w:left w:val="nil"/>
              <w:bottom w:val="single" w:sz="4" w:space="0" w:color="auto"/>
              <w:right w:val="single" w:sz="4" w:space="0" w:color="auto"/>
            </w:tcBorders>
            <w:shd w:val="clear" w:color="auto" w:fill="auto"/>
            <w:noWrap/>
            <w:hideMark/>
          </w:tcPr>
          <w:p w14:paraId="656C6501" w14:textId="77777777" w:rsidR="00F418DA" w:rsidRPr="004B7914" w:rsidRDefault="00F418DA" w:rsidP="00E213CE">
            <w:pPr>
              <w:jc w:val="right"/>
              <w:rPr>
                <w:rFonts w:ascii="Palatino Linotype" w:eastAsia="Times New Roman" w:hAnsi="Palatino Linotype" w:cs="Calibri"/>
                <w:sz w:val="20"/>
                <w:szCs w:val="20"/>
                <w:lang w:val="en-IN" w:eastAsia="en-IN" w:bidi="hi-IN"/>
              </w:rPr>
            </w:pPr>
            <w:r w:rsidRPr="004B7914">
              <w:rPr>
                <w:rFonts w:ascii="Palatino Linotype" w:eastAsia="Times New Roman" w:hAnsi="Palatino Linotype" w:cs="Calibri"/>
                <w:sz w:val="20"/>
                <w:szCs w:val="20"/>
                <w:lang w:val="en-IN" w:eastAsia="en-IN" w:bidi="hi-IN"/>
              </w:rPr>
              <w:t>35</w:t>
            </w:r>
          </w:p>
        </w:tc>
        <w:tc>
          <w:tcPr>
            <w:tcW w:w="1437" w:type="dxa"/>
            <w:tcBorders>
              <w:top w:val="nil"/>
              <w:left w:val="nil"/>
              <w:bottom w:val="single" w:sz="4" w:space="0" w:color="auto"/>
              <w:right w:val="single" w:sz="4" w:space="0" w:color="auto"/>
            </w:tcBorders>
            <w:shd w:val="clear" w:color="auto" w:fill="auto"/>
            <w:noWrap/>
            <w:hideMark/>
          </w:tcPr>
          <w:p w14:paraId="0A6BC849" w14:textId="77777777" w:rsidR="00F418DA" w:rsidRPr="004B7914" w:rsidRDefault="00F418DA" w:rsidP="00E213CE">
            <w:pPr>
              <w:jc w:val="right"/>
              <w:rPr>
                <w:rFonts w:ascii="Palatino Linotype" w:eastAsia="Times New Roman" w:hAnsi="Palatino Linotype" w:cs="Calibri"/>
                <w:sz w:val="20"/>
                <w:szCs w:val="20"/>
                <w:lang w:val="en-IN" w:eastAsia="en-IN" w:bidi="hi-IN"/>
              </w:rPr>
            </w:pPr>
            <w:r w:rsidRPr="004B7914">
              <w:rPr>
                <w:rFonts w:ascii="Palatino Linotype" w:eastAsia="Times New Roman" w:hAnsi="Palatino Linotype" w:cs="Calibri"/>
                <w:sz w:val="20"/>
                <w:szCs w:val="20"/>
                <w:lang w:val="en-IN" w:eastAsia="en-IN" w:bidi="hi-IN"/>
              </w:rPr>
              <w:t>3</w:t>
            </w:r>
          </w:p>
        </w:tc>
        <w:tc>
          <w:tcPr>
            <w:tcW w:w="1437" w:type="dxa"/>
            <w:tcBorders>
              <w:top w:val="nil"/>
              <w:left w:val="nil"/>
              <w:bottom w:val="single" w:sz="4" w:space="0" w:color="auto"/>
              <w:right w:val="single" w:sz="4" w:space="0" w:color="auto"/>
            </w:tcBorders>
            <w:shd w:val="clear" w:color="auto" w:fill="auto"/>
            <w:noWrap/>
            <w:hideMark/>
          </w:tcPr>
          <w:p w14:paraId="63EF41BA" w14:textId="77777777" w:rsidR="00F418DA" w:rsidRPr="004B7914" w:rsidRDefault="00F418DA" w:rsidP="00E213CE">
            <w:pPr>
              <w:jc w:val="right"/>
              <w:rPr>
                <w:rFonts w:ascii="Palatino Linotype" w:eastAsia="Times New Roman" w:hAnsi="Palatino Linotype" w:cs="Calibri"/>
                <w:sz w:val="20"/>
                <w:szCs w:val="20"/>
                <w:lang w:val="en-IN" w:eastAsia="en-IN" w:bidi="hi-IN"/>
              </w:rPr>
            </w:pPr>
            <w:r w:rsidRPr="004B7914">
              <w:rPr>
                <w:rFonts w:ascii="Palatino Linotype" w:eastAsia="Times New Roman" w:hAnsi="Palatino Linotype" w:cs="Calibri"/>
                <w:sz w:val="20"/>
                <w:szCs w:val="20"/>
                <w:lang w:val="en-IN" w:eastAsia="en-IN" w:bidi="hi-IN"/>
              </w:rPr>
              <w:t>10</w:t>
            </w:r>
          </w:p>
        </w:tc>
        <w:tc>
          <w:tcPr>
            <w:tcW w:w="1437" w:type="dxa"/>
            <w:tcBorders>
              <w:top w:val="nil"/>
              <w:left w:val="nil"/>
              <w:bottom w:val="single" w:sz="4" w:space="0" w:color="auto"/>
              <w:right w:val="single" w:sz="4" w:space="0" w:color="auto"/>
            </w:tcBorders>
            <w:shd w:val="clear" w:color="auto" w:fill="auto"/>
            <w:noWrap/>
            <w:hideMark/>
          </w:tcPr>
          <w:p w14:paraId="6CB97906" w14:textId="77777777" w:rsidR="00F418DA" w:rsidRPr="004B7914" w:rsidRDefault="00F418DA" w:rsidP="00E213CE">
            <w:pPr>
              <w:jc w:val="right"/>
              <w:rPr>
                <w:rFonts w:ascii="Palatino Linotype" w:eastAsia="Times New Roman" w:hAnsi="Palatino Linotype" w:cs="Calibri"/>
                <w:i/>
                <w:iCs/>
                <w:sz w:val="20"/>
                <w:szCs w:val="20"/>
                <w:lang w:val="en-IN" w:eastAsia="en-IN" w:bidi="hi-IN"/>
              </w:rPr>
            </w:pPr>
            <w:r w:rsidRPr="004B7914">
              <w:rPr>
                <w:rFonts w:ascii="Palatino Linotype" w:eastAsia="Times New Roman" w:hAnsi="Palatino Linotype" w:cs="Calibri"/>
                <w:i/>
                <w:iCs/>
                <w:sz w:val="20"/>
                <w:szCs w:val="20"/>
                <w:lang w:val="en-IN" w:eastAsia="en-IN" w:bidi="hi-IN"/>
              </w:rPr>
              <w:t>286.4</w:t>
            </w:r>
          </w:p>
        </w:tc>
      </w:tr>
      <w:tr w:rsidR="00F418DA" w:rsidRPr="004B7914" w14:paraId="7298BD7D" w14:textId="77777777" w:rsidTr="00E213CE">
        <w:trPr>
          <w:trHeight w:val="255"/>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108F03CE" w14:textId="77777777" w:rsidR="00F418DA" w:rsidRPr="004B7914" w:rsidRDefault="00F418DA" w:rsidP="00E213CE">
            <w:pPr>
              <w:rPr>
                <w:rFonts w:ascii="Palatino Linotype" w:eastAsia="Times New Roman" w:hAnsi="Palatino Linotype" w:cs="Calibri"/>
                <w:b/>
                <w:bCs/>
                <w:color w:val="000000"/>
                <w:sz w:val="20"/>
                <w:szCs w:val="20"/>
                <w:lang w:val="en-IN" w:eastAsia="en-IN" w:bidi="hi-IN"/>
              </w:rPr>
            </w:pPr>
            <w:r w:rsidRPr="004B7914">
              <w:rPr>
                <w:rFonts w:ascii="Palatino Linotype" w:eastAsia="Times New Roman" w:hAnsi="Palatino Linotype" w:cs="Calibri"/>
                <w:b/>
                <w:bCs/>
                <w:color w:val="000000"/>
                <w:sz w:val="20"/>
                <w:szCs w:val="20"/>
                <w:lang w:val="en-IN" w:eastAsia="en-IN" w:bidi="hi-IN"/>
              </w:rPr>
              <w:t>NSE, of which</w:t>
            </w:r>
          </w:p>
        </w:tc>
        <w:tc>
          <w:tcPr>
            <w:tcW w:w="1437" w:type="dxa"/>
            <w:tcBorders>
              <w:top w:val="nil"/>
              <w:left w:val="nil"/>
              <w:bottom w:val="single" w:sz="4" w:space="0" w:color="auto"/>
              <w:right w:val="single" w:sz="4" w:space="0" w:color="auto"/>
            </w:tcBorders>
            <w:shd w:val="clear" w:color="auto" w:fill="auto"/>
            <w:noWrap/>
            <w:hideMark/>
          </w:tcPr>
          <w:p w14:paraId="5991B154" w14:textId="77777777" w:rsidR="00F418DA" w:rsidRPr="004B7914" w:rsidRDefault="00F418DA" w:rsidP="00E213CE">
            <w:pPr>
              <w:jc w:val="right"/>
              <w:rPr>
                <w:rFonts w:ascii="Palatino Linotype" w:eastAsia="Times New Roman" w:hAnsi="Palatino Linotype" w:cs="Calibri"/>
                <w:b/>
                <w:bCs/>
                <w:sz w:val="20"/>
                <w:szCs w:val="20"/>
                <w:lang w:val="en-IN" w:eastAsia="en-IN" w:bidi="hi-IN"/>
              </w:rPr>
            </w:pPr>
            <w:r w:rsidRPr="004B7914">
              <w:rPr>
                <w:rFonts w:ascii="Palatino Linotype" w:eastAsia="Times New Roman" w:hAnsi="Palatino Linotype" w:cs="Calibri"/>
                <w:b/>
                <w:bCs/>
                <w:sz w:val="20"/>
                <w:szCs w:val="20"/>
                <w:lang w:val="en-IN" w:eastAsia="en-IN" w:bidi="hi-IN"/>
              </w:rPr>
              <w:t>1,550</w:t>
            </w:r>
          </w:p>
        </w:tc>
        <w:tc>
          <w:tcPr>
            <w:tcW w:w="1437" w:type="dxa"/>
            <w:tcBorders>
              <w:top w:val="nil"/>
              <w:left w:val="nil"/>
              <w:bottom w:val="single" w:sz="4" w:space="0" w:color="auto"/>
              <w:right w:val="single" w:sz="4" w:space="0" w:color="auto"/>
            </w:tcBorders>
            <w:shd w:val="clear" w:color="auto" w:fill="auto"/>
            <w:noWrap/>
            <w:hideMark/>
          </w:tcPr>
          <w:p w14:paraId="454CC5E5" w14:textId="77777777" w:rsidR="00F418DA" w:rsidRPr="004B7914" w:rsidRDefault="00F418DA" w:rsidP="00E213CE">
            <w:pPr>
              <w:jc w:val="right"/>
              <w:rPr>
                <w:rFonts w:ascii="Palatino Linotype" w:eastAsia="Times New Roman" w:hAnsi="Palatino Linotype" w:cs="Calibri"/>
                <w:b/>
                <w:bCs/>
                <w:sz w:val="20"/>
                <w:szCs w:val="20"/>
                <w:lang w:val="en-IN" w:eastAsia="en-IN" w:bidi="hi-IN"/>
              </w:rPr>
            </w:pPr>
            <w:r w:rsidRPr="004B7914">
              <w:rPr>
                <w:rFonts w:ascii="Palatino Linotype" w:eastAsia="Times New Roman" w:hAnsi="Palatino Linotype" w:cs="Calibri"/>
                <w:b/>
                <w:bCs/>
                <w:sz w:val="20"/>
                <w:szCs w:val="20"/>
                <w:lang w:val="en-IN" w:eastAsia="en-IN" w:bidi="hi-IN"/>
              </w:rPr>
              <w:t>1,160</w:t>
            </w:r>
          </w:p>
        </w:tc>
        <w:tc>
          <w:tcPr>
            <w:tcW w:w="1437" w:type="dxa"/>
            <w:tcBorders>
              <w:top w:val="nil"/>
              <w:left w:val="nil"/>
              <w:bottom w:val="single" w:sz="4" w:space="0" w:color="auto"/>
              <w:right w:val="single" w:sz="4" w:space="0" w:color="auto"/>
            </w:tcBorders>
            <w:shd w:val="clear" w:color="auto" w:fill="auto"/>
            <w:noWrap/>
            <w:hideMark/>
          </w:tcPr>
          <w:p w14:paraId="2D50CEFD" w14:textId="77777777" w:rsidR="00F418DA" w:rsidRPr="004B7914" w:rsidRDefault="00F418DA" w:rsidP="00E213CE">
            <w:pPr>
              <w:jc w:val="right"/>
              <w:rPr>
                <w:rFonts w:ascii="Palatino Linotype" w:eastAsia="Times New Roman" w:hAnsi="Palatino Linotype" w:cs="Calibri"/>
                <w:b/>
                <w:bCs/>
                <w:sz w:val="20"/>
                <w:szCs w:val="20"/>
                <w:lang w:val="en-IN" w:eastAsia="en-IN" w:bidi="hi-IN"/>
              </w:rPr>
            </w:pPr>
            <w:r w:rsidRPr="004B7914">
              <w:rPr>
                <w:rFonts w:ascii="Palatino Linotype" w:eastAsia="Times New Roman" w:hAnsi="Palatino Linotype" w:cs="Calibri"/>
                <w:b/>
                <w:bCs/>
                <w:sz w:val="20"/>
                <w:szCs w:val="20"/>
                <w:lang w:val="en-IN" w:eastAsia="en-IN" w:bidi="hi-IN"/>
              </w:rPr>
              <w:t>1,122</w:t>
            </w:r>
          </w:p>
        </w:tc>
        <w:tc>
          <w:tcPr>
            <w:tcW w:w="1437" w:type="dxa"/>
            <w:tcBorders>
              <w:top w:val="nil"/>
              <w:left w:val="nil"/>
              <w:bottom w:val="single" w:sz="4" w:space="0" w:color="auto"/>
              <w:right w:val="single" w:sz="4" w:space="0" w:color="auto"/>
            </w:tcBorders>
            <w:shd w:val="clear" w:color="auto" w:fill="auto"/>
            <w:noWrap/>
            <w:hideMark/>
          </w:tcPr>
          <w:p w14:paraId="10218FDD" w14:textId="77777777" w:rsidR="00F418DA" w:rsidRPr="004B7914" w:rsidRDefault="00F418DA" w:rsidP="00E213CE">
            <w:pPr>
              <w:jc w:val="right"/>
              <w:rPr>
                <w:rFonts w:ascii="Palatino Linotype" w:eastAsia="Times New Roman" w:hAnsi="Palatino Linotype" w:cs="Calibri"/>
                <w:i/>
                <w:iCs/>
                <w:sz w:val="20"/>
                <w:szCs w:val="20"/>
                <w:lang w:val="en-IN" w:eastAsia="en-IN" w:bidi="hi-IN"/>
              </w:rPr>
            </w:pPr>
            <w:r w:rsidRPr="004B7914">
              <w:rPr>
                <w:rFonts w:ascii="Palatino Linotype" w:eastAsia="Times New Roman" w:hAnsi="Palatino Linotype" w:cs="Calibri"/>
                <w:i/>
                <w:iCs/>
                <w:sz w:val="20"/>
                <w:szCs w:val="20"/>
                <w:lang w:val="en-IN" w:eastAsia="en-IN" w:bidi="hi-IN"/>
              </w:rPr>
              <w:t>-3.2</w:t>
            </w:r>
          </w:p>
        </w:tc>
      </w:tr>
      <w:tr w:rsidR="00F418DA" w:rsidRPr="004B7914" w14:paraId="7DB2978B" w14:textId="77777777" w:rsidTr="00E213CE">
        <w:trPr>
          <w:trHeight w:val="244"/>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68AA6B0E" w14:textId="77777777" w:rsidR="00F418DA" w:rsidRPr="004B7914" w:rsidRDefault="00F418DA" w:rsidP="00E213CE">
            <w:pPr>
              <w:rPr>
                <w:rFonts w:ascii="Palatino Linotype" w:eastAsia="Times New Roman" w:hAnsi="Palatino Linotype" w:cs="Calibri"/>
                <w:color w:val="000000"/>
                <w:sz w:val="20"/>
                <w:szCs w:val="20"/>
                <w:lang w:val="en-IN" w:eastAsia="en-IN" w:bidi="hi-IN"/>
              </w:rPr>
            </w:pPr>
            <w:r w:rsidRPr="004B7914">
              <w:rPr>
                <w:rFonts w:ascii="Palatino Linotype" w:eastAsia="Times New Roman" w:hAnsi="Palatino Linotype" w:cs="Calibri"/>
                <w:color w:val="000000"/>
                <w:sz w:val="20"/>
                <w:szCs w:val="20"/>
                <w:lang w:val="en-IN" w:eastAsia="en-IN" w:bidi="hi-IN"/>
              </w:rPr>
              <w:t xml:space="preserve">             Futures</w:t>
            </w:r>
          </w:p>
        </w:tc>
        <w:tc>
          <w:tcPr>
            <w:tcW w:w="1437" w:type="dxa"/>
            <w:tcBorders>
              <w:top w:val="nil"/>
              <w:left w:val="nil"/>
              <w:bottom w:val="single" w:sz="4" w:space="0" w:color="auto"/>
              <w:right w:val="single" w:sz="4" w:space="0" w:color="auto"/>
            </w:tcBorders>
            <w:shd w:val="clear" w:color="auto" w:fill="auto"/>
            <w:noWrap/>
            <w:hideMark/>
          </w:tcPr>
          <w:p w14:paraId="6CD9E1A8" w14:textId="77777777" w:rsidR="00F418DA" w:rsidRPr="004B7914" w:rsidRDefault="00F418DA" w:rsidP="00E213CE">
            <w:pPr>
              <w:jc w:val="right"/>
              <w:rPr>
                <w:rFonts w:ascii="Palatino Linotype" w:eastAsia="Times New Roman" w:hAnsi="Palatino Linotype" w:cs="Calibri"/>
                <w:sz w:val="20"/>
                <w:szCs w:val="20"/>
                <w:lang w:val="en-IN" w:eastAsia="en-IN" w:bidi="hi-IN"/>
              </w:rPr>
            </w:pPr>
            <w:r w:rsidRPr="004B7914">
              <w:rPr>
                <w:rFonts w:ascii="Palatino Linotype" w:eastAsia="Times New Roman" w:hAnsi="Palatino Linotype" w:cs="Calibri"/>
                <w:sz w:val="20"/>
                <w:szCs w:val="20"/>
                <w:lang w:val="en-IN" w:eastAsia="en-IN" w:bidi="hi-IN"/>
              </w:rPr>
              <w:t>599</w:t>
            </w:r>
          </w:p>
        </w:tc>
        <w:tc>
          <w:tcPr>
            <w:tcW w:w="1437" w:type="dxa"/>
            <w:tcBorders>
              <w:top w:val="nil"/>
              <w:left w:val="nil"/>
              <w:bottom w:val="single" w:sz="4" w:space="0" w:color="auto"/>
              <w:right w:val="single" w:sz="4" w:space="0" w:color="auto"/>
            </w:tcBorders>
            <w:shd w:val="clear" w:color="auto" w:fill="auto"/>
            <w:noWrap/>
            <w:hideMark/>
          </w:tcPr>
          <w:p w14:paraId="7DB2E79C" w14:textId="77777777" w:rsidR="00F418DA" w:rsidRPr="004B7914" w:rsidRDefault="00F418DA" w:rsidP="00E213CE">
            <w:pPr>
              <w:jc w:val="right"/>
              <w:rPr>
                <w:rFonts w:ascii="Palatino Linotype" w:eastAsia="Times New Roman" w:hAnsi="Palatino Linotype" w:cs="Calibri"/>
                <w:sz w:val="20"/>
                <w:szCs w:val="20"/>
                <w:lang w:val="en-IN" w:eastAsia="en-IN" w:bidi="hi-IN"/>
              </w:rPr>
            </w:pPr>
            <w:r w:rsidRPr="004B7914">
              <w:rPr>
                <w:rFonts w:ascii="Palatino Linotype" w:eastAsia="Times New Roman" w:hAnsi="Palatino Linotype" w:cs="Calibri"/>
                <w:sz w:val="20"/>
                <w:szCs w:val="20"/>
                <w:lang w:val="en-IN" w:eastAsia="en-IN" w:bidi="hi-IN"/>
              </w:rPr>
              <w:t>314</w:t>
            </w:r>
          </w:p>
        </w:tc>
        <w:tc>
          <w:tcPr>
            <w:tcW w:w="1437" w:type="dxa"/>
            <w:tcBorders>
              <w:top w:val="nil"/>
              <w:left w:val="nil"/>
              <w:bottom w:val="single" w:sz="4" w:space="0" w:color="auto"/>
              <w:right w:val="single" w:sz="4" w:space="0" w:color="auto"/>
            </w:tcBorders>
            <w:shd w:val="clear" w:color="auto" w:fill="auto"/>
            <w:noWrap/>
            <w:hideMark/>
          </w:tcPr>
          <w:p w14:paraId="536C35FF" w14:textId="77777777" w:rsidR="00F418DA" w:rsidRPr="004B7914" w:rsidRDefault="00F418DA" w:rsidP="00E213CE">
            <w:pPr>
              <w:jc w:val="right"/>
              <w:rPr>
                <w:rFonts w:ascii="Palatino Linotype" w:eastAsia="Times New Roman" w:hAnsi="Palatino Linotype" w:cs="Calibri"/>
                <w:sz w:val="20"/>
                <w:szCs w:val="20"/>
                <w:lang w:val="en-IN" w:eastAsia="en-IN" w:bidi="hi-IN"/>
              </w:rPr>
            </w:pPr>
            <w:r w:rsidRPr="004B7914">
              <w:rPr>
                <w:rFonts w:ascii="Palatino Linotype" w:eastAsia="Times New Roman" w:hAnsi="Palatino Linotype" w:cs="Calibri"/>
                <w:sz w:val="20"/>
                <w:szCs w:val="20"/>
                <w:lang w:val="en-IN" w:eastAsia="en-IN" w:bidi="hi-IN"/>
              </w:rPr>
              <w:t>423</w:t>
            </w:r>
          </w:p>
        </w:tc>
        <w:tc>
          <w:tcPr>
            <w:tcW w:w="1437" w:type="dxa"/>
            <w:tcBorders>
              <w:top w:val="nil"/>
              <w:left w:val="nil"/>
              <w:bottom w:val="single" w:sz="4" w:space="0" w:color="auto"/>
              <w:right w:val="single" w:sz="4" w:space="0" w:color="auto"/>
            </w:tcBorders>
            <w:shd w:val="clear" w:color="auto" w:fill="auto"/>
            <w:noWrap/>
            <w:hideMark/>
          </w:tcPr>
          <w:p w14:paraId="796047E2" w14:textId="77777777" w:rsidR="00F418DA" w:rsidRPr="004B7914" w:rsidRDefault="00F418DA" w:rsidP="00E213CE">
            <w:pPr>
              <w:jc w:val="right"/>
              <w:rPr>
                <w:rFonts w:ascii="Palatino Linotype" w:eastAsia="Times New Roman" w:hAnsi="Palatino Linotype" w:cs="Calibri"/>
                <w:i/>
                <w:iCs/>
                <w:sz w:val="20"/>
                <w:szCs w:val="20"/>
                <w:lang w:val="en-IN" w:eastAsia="en-IN" w:bidi="hi-IN"/>
              </w:rPr>
            </w:pPr>
            <w:r w:rsidRPr="004B7914">
              <w:rPr>
                <w:rFonts w:ascii="Palatino Linotype" w:eastAsia="Times New Roman" w:hAnsi="Palatino Linotype" w:cs="Calibri"/>
                <w:i/>
                <w:iCs/>
                <w:sz w:val="20"/>
                <w:szCs w:val="20"/>
                <w:lang w:val="en-IN" w:eastAsia="en-IN" w:bidi="hi-IN"/>
              </w:rPr>
              <w:t>34.9</w:t>
            </w:r>
          </w:p>
        </w:tc>
      </w:tr>
      <w:tr w:rsidR="00F418DA" w:rsidRPr="004B7914" w14:paraId="5E926970" w14:textId="77777777" w:rsidTr="00E213CE">
        <w:trPr>
          <w:trHeight w:val="244"/>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476CA5CF" w14:textId="77777777" w:rsidR="00F418DA" w:rsidRPr="004B7914" w:rsidRDefault="00F418DA" w:rsidP="00E213CE">
            <w:pPr>
              <w:rPr>
                <w:rFonts w:ascii="Palatino Linotype" w:eastAsia="Times New Roman" w:hAnsi="Palatino Linotype" w:cs="Calibri"/>
                <w:color w:val="000000"/>
                <w:sz w:val="20"/>
                <w:szCs w:val="20"/>
                <w:lang w:val="en-IN" w:eastAsia="en-IN" w:bidi="hi-IN"/>
              </w:rPr>
            </w:pPr>
            <w:r w:rsidRPr="004B7914">
              <w:rPr>
                <w:rFonts w:ascii="Palatino Linotype" w:eastAsia="Times New Roman" w:hAnsi="Palatino Linotype" w:cs="Calibri"/>
                <w:color w:val="000000"/>
                <w:sz w:val="20"/>
                <w:szCs w:val="20"/>
                <w:lang w:val="en-IN" w:eastAsia="en-IN" w:bidi="hi-IN"/>
              </w:rPr>
              <w:t xml:space="preserve">            Options</w:t>
            </w:r>
          </w:p>
        </w:tc>
        <w:tc>
          <w:tcPr>
            <w:tcW w:w="1437" w:type="dxa"/>
            <w:tcBorders>
              <w:top w:val="nil"/>
              <w:left w:val="nil"/>
              <w:bottom w:val="single" w:sz="4" w:space="0" w:color="auto"/>
              <w:right w:val="single" w:sz="4" w:space="0" w:color="auto"/>
            </w:tcBorders>
            <w:shd w:val="clear" w:color="auto" w:fill="auto"/>
            <w:noWrap/>
            <w:hideMark/>
          </w:tcPr>
          <w:p w14:paraId="2E21C8D9" w14:textId="77777777" w:rsidR="00F418DA" w:rsidRPr="004B7914" w:rsidRDefault="00F418DA" w:rsidP="00E213CE">
            <w:pPr>
              <w:jc w:val="right"/>
              <w:rPr>
                <w:rFonts w:ascii="Palatino Linotype" w:eastAsia="Times New Roman" w:hAnsi="Palatino Linotype" w:cs="Calibri"/>
                <w:sz w:val="20"/>
                <w:szCs w:val="20"/>
                <w:lang w:val="en-IN" w:eastAsia="en-IN" w:bidi="hi-IN"/>
              </w:rPr>
            </w:pPr>
            <w:r w:rsidRPr="004B7914">
              <w:rPr>
                <w:rFonts w:ascii="Palatino Linotype" w:eastAsia="Times New Roman" w:hAnsi="Palatino Linotype" w:cs="Calibri"/>
                <w:sz w:val="20"/>
                <w:szCs w:val="20"/>
                <w:lang w:val="en-IN" w:eastAsia="en-IN" w:bidi="hi-IN"/>
              </w:rPr>
              <w:t>951</w:t>
            </w:r>
          </w:p>
        </w:tc>
        <w:tc>
          <w:tcPr>
            <w:tcW w:w="1437" w:type="dxa"/>
            <w:tcBorders>
              <w:top w:val="nil"/>
              <w:left w:val="nil"/>
              <w:bottom w:val="single" w:sz="4" w:space="0" w:color="auto"/>
              <w:right w:val="single" w:sz="4" w:space="0" w:color="auto"/>
            </w:tcBorders>
            <w:shd w:val="clear" w:color="auto" w:fill="auto"/>
            <w:noWrap/>
            <w:hideMark/>
          </w:tcPr>
          <w:p w14:paraId="6122EDB8" w14:textId="77777777" w:rsidR="00F418DA" w:rsidRPr="004B7914" w:rsidRDefault="00F418DA" w:rsidP="00E213CE">
            <w:pPr>
              <w:jc w:val="right"/>
              <w:rPr>
                <w:rFonts w:ascii="Palatino Linotype" w:eastAsia="Times New Roman" w:hAnsi="Palatino Linotype" w:cs="Calibri"/>
                <w:sz w:val="20"/>
                <w:szCs w:val="20"/>
                <w:lang w:val="en-IN" w:eastAsia="en-IN" w:bidi="hi-IN"/>
              </w:rPr>
            </w:pPr>
            <w:r w:rsidRPr="004B7914">
              <w:rPr>
                <w:rFonts w:ascii="Palatino Linotype" w:eastAsia="Times New Roman" w:hAnsi="Palatino Linotype" w:cs="Calibri"/>
                <w:sz w:val="20"/>
                <w:szCs w:val="20"/>
                <w:lang w:val="en-IN" w:eastAsia="en-IN" w:bidi="hi-IN"/>
              </w:rPr>
              <w:t>846</w:t>
            </w:r>
          </w:p>
        </w:tc>
        <w:tc>
          <w:tcPr>
            <w:tcW w:w="1437" w:type="dxa"/>
            <w:tcBorders>
              <w:top w:val="nil"/>
              <w:left w:val="nil"/>
              <w:bottom w:val="single" w:sz="4" w:space="0" w:color="auto"/>
              <w:right w:val="single" w:sz="4" w:space="0" w:color="auto"/>
            </w:tcBorders>
            <w:shd w:val="clear" w:color="auto" w:fill="auto"/>
            <w:noWrap/>
            <w:hideMark/>
          </w:tcPr>
          <w:p w14:paraId="1406913A" w14:textId="77777777" w:rsidR="00F418DA" w:rsidRPr="004B7914" w:rsidRDefault="00F418DA" w:rsidP="00E213CE">
            <w:pPr>
              <w:jc w:val="right"/>
              <w:rPr>
                <w:rFonts w:ascii="Palatino Linotype" w:eastAsia="Times New Roman" w:hAnsi="Palatino Linotype" w:cs="Calibri"/>
                <w:sz w:val="20"/>
                <w:szCs w:val="20"/>
                <w:lang w:val="en-IN" w:eastAsia="en-IN" w:bidi="hi-IN"/>
              </w:rPr>
            </w:pPr>
            <w:r w:rsidRPr="004B7914">
              <w:rPr>
                <w:rFonts w:ascii="Palatino Linotype" w:eastAsia="Times New Roman" w:hAnsi="Palatino Linotype" w:cs="Calibri"/>
                <w:sz w:val="20"/>
                <w:szCs w:val="20"/>
                <w:lang w:val="en-IN" w:eastAsia="en-IN" w:bidi="hi-IN"/>
              </w:rPr>
              <w:t>699</w:t>
            </w:r>
          </w:p>
        </w:tc>
        <w:tc>
          <w:tcPr>
            <w:tcW w:w="1437" w:type="dxa"/>
            <w:tcBorders>
              <w:top w:val="nil"/>
              <w:left w:val="nil"/>
              <w:bottom w:val="single" w:sz="4" w:space="0" w:color="auto"/>
              <w:right w:val="single" w:sz="4" w:space="0" w:color="auto"/>
            </w:tcBorders>
            <w:shd w:val="clear" w:color="auto" w:fill="auto"/>
            <w:noWrap/>
            <w:hideMark/>
          </w:tcPr>
          <w:p w14:paraId="5AFE0854" w14:textId="77777777" w:rsidR="00F418DA" w:rsidRPr="004B7914" w:rsidRDefault="00F418DA" w:rsidP="00E213CE">
            <w:pPr>
              <w:jc w:val="right"/>
              <w:rPr>
                <w:rFonts w:ascii="Palatino Linotype" w:eastAsia="Times New Roman" w:hAnsi="Palatino Linotype" w:cs="Calibri"/>
                <w:i/>
                <w:iCs/>
                <w:sz w:val="20"/>
                <w:szCs w:val="20"/>
                <w:lang w:val="en-IN" w:eastAsia="en-IN" w:bidi="hi-IN"/>
              </w:rPr>
            </w:pPr>
            <w:r w:rsidRPr="004B7914">
              <w:rPr>
                <w:rFonts w:ascii="Palatino Linotype" w:eastAsia="Times New Roman" w:hAnsi="Palatino Linotype" w:cs="Calibri"/>
                <w:i/>
                <w:iCs/>
                <w:sz w:val="20"/>
                <w:szCs w:val="20"/>
                <w:lang w:val="en-IN" w:eastAsia="en-IN" w:bidi="hi-IN"/>
              </w:rPr>
              <w:t>-17.4</w:t>
            </w:r>
          </w:p>
        </w:tc>
      </w:tr>
      <w:tr w:rsidR="00F418DA" w:rsidRPr="004B7914" w14:paraId="59A9BC59" w14:textId="77777777" w:rsidTr="00E213CE">
        <w:trPr>
          <w:trHeight w:val="255"/>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31E3CF3F" w14:textId="77777777" w:rsidR="00F418DA" w:rsidRPr="004B7914" w:rsidRDefault="00F418DA" w:rsidP="00E213CE">
            <w:pPr>
              <w:rPr>
                <w:rFonts w:ascii="Palatino Linotype" w:eastAsia="Times New Roman" w:hAnsi="Palatino Linotype" w:cs="Calibri"/>
                <w:b/>
                <w:bCs/>
                <w:color w:val="000000"/>
                <w:sz w:val="20"/>
                <w:szCs w:val="20"/>
                <w:lang w:val="en-IN" w:eastAsia="en-IN" w:bidi="hi-IN"/>
              </w:rPr>
            </w:pPr>
            <w:r w:rsidRPr="004B7914">
              <w:rPr>
                <w:rFonts w:ascii="Palatino Linotype" w:eastAsia="Times New Roman" w:hAnsi="Palatino Linotype" w:cs="Calibri"/>
                <w:b/>
                <w:bCs/>
                <w:color w:val="000000"/>
                <w:sz w:val="20"/>
                <w:szCs w:val="20"/>
                <w:lang w:val="en-IN" w:eastAsia="en-IN" w:bidi="hi-IN"/>
              </w:rPr>
              <w:t>ICEX (Futures)</w:t>
            </w:r>
          </w:p>
        </w:tc>
        <w:tc>
          <w:tcPr>
            <w:tcW w:w="1437" w:type="dxa"/>
            <w:tcBorders>
              <w:top w:val="nil"/>
              <w:left w:val="nil"/>
              <w:bottom w:val="single" w:sz="4" w:space="0" w:color="auto"/>
              <w:right w:val="single" w:sz="4" w:space="0" w:color="auto"/>
            </w:tcBorders>
            <w:shd w:val="clear" w:color="auto" w:fill="auto"/>
            <w:noWrap/>
            <w:hideMark/>
          </w:tcPr>
          <w:p w14:paraId="0B926A66" w14:textId="77777777" w:rsidR="00F418DA" w:rsidRPr="004B7914" w:rsidRDefault="00F418DA" w:rsidP="00E213CE">
            <w:pPr>
              <w:jc w:val="right"/>
              <w:rPr>
                <w:rFonts w:ascii="Palatino Linotype" w:eastAsia="Times New Roman" w:hAnsi="Palatino Linotype" w:cs="Calibri"/>
                <w:b/>
                <w:bCs/>
                <w:sz w:val="20"/>
                <w:szCs w:val="20"/>
                <w:lang w:val="en-IN" w:eastAsia="en-IN" w:bidi="hi-IN"/>
              </w:rPr>
            </w:pPr>
            <w:r w:rsidRPr="004B7914">
              <w:rPr>
                <w:rFonts w:ascii="Palatino Linotype" w:eastAsia="Times New Roman" w:hAnsi="Palatino Linotype" w:cs="Calibri"/>
                <w:b/>
                <w:bCs/>
                <w:sz w:val="20"/>
                <w:szCs w:val="20"/>
                <w:lang w:val="en-IN" w:eastAsia="en-IN" w:bidi="hi-IN"/>
              </w:rPr>
              <w:t>19</w:t>
            </w:r>
          </w:p>
        </w:tc>
        <w:tc>
          <w:tcPr>
            <w:tcW w:w="1437" w:type="dxa"/>
            <w:tcBorders>
              <w:top w:val="nil"/>
              <w:left w:val="nil"/>
              <w:bottom w:val="single" w:sz="4" w:space="0" w:color="auto"/>
              <w:right w:val="single" w:sz="4" w:space="0" w:color="auto"/>
            </w:tcBorders>
            <w:shd w:val="clear" w:color="auto" w:fill="auto"/>
            <w:noWrap/>
            <w:hideMark/>
          </w:tcPr>
          <w:p w14:paraId="0B087B9D" w14:textId="77777777" w:rsidR="00F418DA" w:rsidRPr="004B7914" w:rsidRDefault="00F418DA" w:rsidP="00E213CE">
            <w:pPr>
              <w:jc w:val="right"/>
              <w:rPr>
                <w:rFonts w:ascii="Palatino Linotype" w:eastAsia="Times New Roman" w:hAnsi="Palatino Linotype" w:cs="Calibri"/>
                <w:b/>
                <w:bCs/>
                <w:sz w:val="20"/>
                <w:szCs w:val="20"/>
                <w:lang w:val="en-IN" w:eastAsia="en-IN" w:bidi="hi-IN"/>
              </w:rPr>
            </w:pPr>
            <w:r w:rsidRPr="004B7914">
              <w:rPr>
                <w:rFonts w:ascii="Palatino Linotype" w:eastAsia="Times New Roman" w:hAnsi="Palatino Linotype" w:cs="Calibri"/>
                <w:b/>
                <w:bCs/>
                <w:sz w:val="20"/>
                <w:szCs w:val="20"/>
                <w:lang w:val="en-IN" w:eastAsia="en-IN" w:bidi="hi-IN"/>
              </w:rPr>
              <w:t>23</w:t>
            </w:r>
          </w:p>
        </w:tc>
        <w:tc>
          <w:tcPr>
            <w:tcW w:w="1437" w:type="dxa"/>
            <w:tcBorders>
              <w:top w:val="nil"/>
              <w:left w:val="nil"/>
              <w:bottom w:val="single" w:sz="4" w:space="0" w:color="auto"/>
              <w:right w:val="single" w:sz="4" w:space="0" w:color="auto"/>
            </w:tcBorders>
            <w:shd w:val="clear" w:color="auto" w:fill="auto"/>
            <w:noWrap/>
            <w:hideMark/>
          </w:tcPr>
          <w:p w14:paraId="5F7ADE1F" w14:textId="77777777" w:rsidR="00F418DA" w:rsidRPr="004B7914" w:rsidRDefault="00F418DA" w:rsidP="00E213CE">
            <w:pPr>
              <w:jc w:val="right"/>
              <w:rPr>
                <w:rFonts w:ascii="Palatino Linotype" w:eastAsia="Times New Roman" w:hAnsi="Palatino Linotype" w:cs="Calibri"/>
                <w:b/>
                <w:bCs/>
                <w:sz w:val="20"/>
                <w:szCs w:val="20"/>
                <w:lang w:val="en-IN" w:eastAsia="en-IN" w:bidi="hi-IN"/>
              </w:rPr>
            </w:pPr>
            <w:r w:rsidRPr="004B7914">
              <w:rPr>
                <w:rFonts w:ascii="Palatino Linotype" w:eastAsia="Times New Roman" w:hAnsi="Palatino Linotype" w:cs="Calibri"/>
                <w:b/>
                <w:bCs/>
                <w:sz w:val="20"/>
                <w:szCs w:val="20"/>
                <w:lang w:val="en-IN" w:eastAsia="en-IN" w:bidi="hi-IN"/>
              </w:rPr>
              <w:t>26</w:t>
            </w:r>
          </w:p>
        </w:tc>
        <w:tc>
          <w:tcPr>
            <w:tcW w:w="1437" w:type="dxa"/>
            <w:tcBorders>
              <w:top w:val="nil"/>
              <w:left w:val="nil"/>
              <w:bottom w:val="single" w:sz="4" w:space="0" w:color="auto"/>
              <w:right w:val="single" w:sz="4" w:space="0" w:color="auto"/>
            </w:tcBorders>
            <w:shd w:val="clear" w:color="auto" w:fill="auto"/>
            <w:noWrap/>
            <w:hideMark/>
          </w:tcPr>
          <w:p w14:paraId="07A82BEC" w14:textId="77777777" w:rsidR="00F418DA" w:rsidRPr="004B7914" w:rsidRDefault="00F418DA" w:rsidP="00E213CE">
            <w:pPr>
              <w:jc w:val="right"/>
              <w:rPr>
                <w:rFonts w:ascii="Palatino Linotype" w:eastAsia="Times New Roman" w:hAnsi="Palatino Linotype" w:cs="Calibri"/>
                <w:i/>
                <w:iCs/>
                <w:sz w:val="20"/>
                <w:szCs w:val="20"/>
                <w:lang w:val="en-IN" w:eastAsia="en-IN" w:bidi="hi-IN"/>
              </w:rPr>
            </w:pPr>
            <w:r w:rsidRPr="004B7914">
              <w:rPr>
                <w:rFonts w:ascii="Palatino Linotype" w:eastAsia="Times New Roman" w:hAnsi="Palatino Linotype" w:cs="Calibri"/>
                <w:i/>
                <w:iCs/>
                <w:sz w:val="20"/>
                <w:szCs w:val="20"/>
                <w:lang w:val="en-IN" w:eastAsia="en-IN" w:bidi="hi-IN"/>
              </w:rPr>
              <w:t>17.4</w:t>
            </w:r>
          </w:p>
        </w:tc>
      </w:tr>
    </w:tbl>
    <w:p w14:paraId="5FAB8456" w14:textId="77777777" w:rsidR="00F418DA" w:rsidRPr="00DF31BD" w:rsidRDefault="00F418DA" w:rsidP="00F418DA">
      <w:pPr>
        <w:jc w:val="both"/>
        <w:rPr>
          <w:rFonts w:ascii="Palatino Linotype" w:hAnsi="Palatino Linotype" w:cs="Arial"/>
          <w:b/>
          <w:bCs/>
          <w:sz w:val="18"/>
          <w:szCs w:val="18"/>
        </w:rPr>
      </w:pPr>
      <w:r w:rsidRPr="00DF31BD">
        <w:rPr>
          <w:rFonts w:ascii="Palatino Linotype" w:hAnsi="Palatino Linotype" w:cs="Arial"/>
          <w:b/>
          <w:bCs/>
          <w:sz w:val="18"/>
          <w:szCs w:val="18"/>
        </w:rPr>
        <w:t xml:space="preserve">Source: </w:t>
      </w:r>
      <w:r>
        <w:rPr>
          <w:rFonts w:ascii="Palatino Linotype" w:hAnsi="Palatino Linotype" w:cs="Arial"/>
          <w:b/>
          <w:bCs/>
          <w:sz w:val="18"/>
          <w:szCs w:val="18"/>
        </w:rPr>
        <w:t>MCX, BSE, NCDEX, NSE, ICEX</w:t>
      </w:r>
      <w:r w:rsidRPr="00DF31BD">
        <w:rPr>
          <w:rFonts w:ascii="Palatino Linotype" w:hAnsi="Palatino Linotype" w:cs="Arial"/>
          <w:b/>
          <w:bCs/>
          <w:sz w:val="18"/>
          <w:szCs w:val="18"/>
        </w:rPr>
        <w:t>.</w:t>
      </w:r>
    </w:p>
    <w:p w14:paraId="5200C78F" w14:textId="77777777" w:rsidR="00F418DA" w:rsidRPr="00DF31BD" w:rsidRDefault="00F418DA" w:rsidP="00F418DA">
      <w:pPr>
        <w:jc w:val="both"/>
        <w:rPr>
          <w:rFonts w:ascii="Palatino Linotype" w:hAnsi="Palatino Linotype" w:cs="Arial"/>
          <w:b/>
          <w:bCs/>
          <w:sz w:val="18"/>
          <w:szCs w:val="18"/>
        </w:rPr>
      </w:pPr>
    </w:p>
    <w:p w14:paraId="02F49D82" w14:textId="77777777" w:rsidR="00F418DA" w:rsidRPr="00FF2B41" w:rsidRDefault="00F418DA" w:rsidP="00F418DA">
      <w:pPr>
        <w:pStyle w:val="ListParagraph"/>
        <w:numPr>
          <w:ilvl w:val="0"/>
          <w:numId w:val="12"/>
        </w:numPr>
        <w:tabs>
          <w:tab w:val="left" w:pos="567"/>
        </w:tabs>
        <w:spacing w:after="0" w:line="240" w:lineRule="auto"/>
        <w:ind w:left="0" w:firstLine="0"/>
        <w:jc w:val="both"/>
        <w:rPr>
          <w:rFonts w:ascii="Palatino Linotype" w:eastAsia="Times New Roman" w:hAnsi="Palatino Linotype"/>
          <w:b/>
          <w:color w:val="000000"/>
          <w:sz w:val="22"/>
          <w:szCs w:val="22"/>
        </w:rPr>
      </w:pPr>
      <w:r>
        <w:rPr>
          <w:rFonts w:ascii="Palatino Linotype" w:eastAsia="Times New Roman" w:hAnsi="Palatino Linotype"/>
          <w:b/>
          <w:color w:val="000000"/>
          <w:sz w:val="22"/>
          <w:szCs w:val="22"/>
        </w:rPr>
        <w:t xml:space="preserve">Commodity Derivatives </w:t>
      </w:r>
      <w:r w:rsidRPr="00FF2B41">
        <w:rPr>
          <w:rFonts w:ascii="Palatino Linotype" w:eastAsia="Times New Roman" w:hAnsi="Palatino Linotype"/>
          <w:b/>
          <w:color w:val="000000"/>
          <w:sz w:val="22"/>
          <w:szCs w:val="22"/>
        </w:rPr>
        <w:t>Turnover</w:t>
      </w:r>
    </w:p>
    <w:p w14:paraId="7D4B2E8F" w14:textId="77777777" w:rsidR="00F418DA" w:rsidRDefault="00F418DA" w:rsidP="00F418DA">
      <w:pPr>
        <w:pStyle w:val="ListParagraph"/>
        <w:numPr>
          <w:ilvl w:val="0"/>
          <w:numId w:val="13"/>
        </w:numPr>
        <w:spacing w:after="0" w:line="240" w:lineRule="auto"/>
        <w:ind w:left="567" w:hanging="526"/>
        <w:jc w:val="both"/>
        <w:rPr>
          <w:rFonts w:ascii="Palatino Linotype" w:eastAsia="Times New Roman" w:hAnsi="Palatino Linotype"/>
          <w:color w:val="000000"/>
          <w:sz w:val="22"/>
          <w:szCs w:val="22"/>
        </w:rPr>
      </w:pPr>
      <w:r w:rsidRPr="00F111BA">
        <w:rPr>
          <w:rFonts w:ascii="Palatino Linotype" w:eastAsia="Times New Roman" w:hAnsi="Palatino Linotype"/>
          <w:color w:val="000000"/>
          <w:sz w:val="22"/>
          <w:szCs w:val="22"/>
        </w:rPr>
        <w:t xml:space="preserve">During June 2021, pan- India turnover of commodity derivatives decreased by 8.4 per cent to </w:t>
      </w:r>
      <w:r w:rsidRPr="00F111BA">
        <w:rPr>
          <w:rFonts w:ascii="Times New Roman" w:eastAsia="Times New Roman" w:hAnsi="Times New Roman"/>
          <w:color w:val="000000"/>
          <w:sz w:val="22"/>
          <w:szCs w:val="22"/>
        </w:rPr>
        <w:t>₹</w:t>
      </w:r>
      <w:r w:rsidRPr="00F111BA">
        <w:rPr>
          <w:rFonts w:ascii="Palatino Linotype" w:eastAsia="Times New Roman" w:hAnsi="Palatino Linotype"/>
          <w:color w:val="000000"/>
          <w:sz w:val="22"/>
          <w:szCs w:val="22"/>
        </w:rPr>
        <w:t xml:space="preserve">7.53 lakh crore from </w:t>
      </w:r>
      <w:r w:rsidRPr="00F111BA">
        <w:rPr>
          <w:rFonts w:ascii="Times New Roman" w:eastAsia="Times New Roman" w:hAnsi="Times New Roman"/>
          <w:color w:val="000000"/>
          <w:sz w:val="22"/>
          <w:szCs w:val="22"/>
        </w:rPr>
        <w:t>₹</w:t>
      </w:r>
      <w:r w:rsidRPr="00F111BA">
        <w:rPr>
          <w:rFonts w:ascii="Palatino Linotype" w:eastAsia="Times New Roman" w:hAnsi="Palatino Linotype"/>
          <w:color w:val="000000"/>
          <w:sz w:val="22"/>
          <w:szCs w:val="22"/>
        </w:rPr>
        <w:t xml:space="preserve">8.22 lakh crore in the previous month.  This </w:t>
      </w:r>
      <w:r>
        <w:rPr>
          <w:rFonts w:ascii="Palatino Linotype" w:eastAsia="Times New Roman" w:hAnsi="Palatino Linotype"/>
          <w:color w:val="000000"/>
          <w:sz w:val="22"/>
          <w:szCs w:val="22"/>
        </w:rPr>
        <w:t xml:space="preserve">downtrend </w:t>
      </w:r>
      <w:r w:rsidRPr="00F111BA">
        <w:rPr>
          <w:rFonts w:ascii="Palatino Linotype" w:eastAsia="Times New Roman" w:hAnsi="Palatino Linotype"/>
          <w:color w:val="000000"/>
          <w:sz w:val="22"/>
          <w:szCs w:val="22"/>
        </w:rPr>
        <w:t xml:space="preserve">was driven by </w:t>
      </w:r>
      <w:r w:rsidRPr="00FB06AA">
        <w:rPr>
          <w:rFonts w:ascii="Palatino Linotype" w:eastAsia="Times New Roman" w:hAnsi="Palatino Linotype"/>
          <w:color w:val="000000"/>
          <w:sz w:val="22"/>
          <w:szCs w:val="22"/>
        </w:rPr>
        <w:t xml:space="preserve">12.8 per cent decrease in the </w:t>
      </w:r>
      <w:r>
        <w:rPr>
          <w:rFonts w:ascii="Palatino Linotype" w:eastAsia="Times New Roman" w:hAnsi="Palatino Linotype"/>
          <w:color w:val="000000"/>
          <w:sz w:val="22"/>
          <w:szCs w:val="22"/>
        </w:rPr>
        <w:t xml:space="preserve">turnover of </w:t>
      </w:r>
      <w:r w:rsidRPr="00FB06AA">
        <w:rPr>
          <w:rFonts w:ascii="Palatino Linotype" w:eastAsia="Times New Roman" w:hAnsi="Palatino Linotype"/>
          <w:color w:val="000000"/>
          <w:sz w:val="22"/>
          <w:szCs w:val="22"/>
        </w:rPr>
        <w:t>non-agri. futures</w:t>
      </w:r>
      <w:r w:rsidRPr="00F111BA">
        <w:rPr>
          <w:rFonts w:ascii="Palatino Linotype" w:eastAsia="Times New Roman" w:hAnsi="Palatino Linotype"/>
          <w:color w:val="000000"/>
          <w:sz w:val="22"/>
          <w:szCs w:val="22"/>
        </w:rPr>
        <w:t xml:space="preserve"> segment</w:t>
      </w:r>
      <w:r>
        <w:rPr>
          <w:rFonts w:ascii="Palatino Linotype" w:eastAsia="Times New Roman" w:hAnsi="Palatino Linotype"/>
          <w:color w:val="000000"/>
          <w:sz w:val="22"/>
          <w:szCs w:val="22"/>
        </w:rPr>
        <w:t>.</w:t>
      </w:r>
    </w:p>
    <w:p w14:paraId="484615D8" w14:textId="77777777" w:rsidR="00F418DA" w:rsidRDefault="00F418DA" w:rsidP="00F418DA">
      <w:pPr>
        <w:pStyle w:val="ListParagraph"/>
        <w:numPr>
          <w:ilvl w:val="0"/>
          <w:numId w:val="13"/>
        </w:numPr>
        <w:spacing w:after="0" w:line="240" w:lineRule="auto"/>
        <w:ind w:left="567" w:hanging="526"/>
        <w:jc w:val="both"/>
        <w:rPr>
          <w:rFonts w:ascii="Palatino Linotype" w:eastAsia="Times New Roman" w:hAnsi="Palatino Linotype"/>
          <w:color w:val="000000"/>
          <w:sz w:val="22"/>
          <w:szCs w:val="22"/>
        </w:rPr>
      </w:pPr>
      <w:r w:rsidRPr="00F111BA">
        <w:rPr>
          <w:rFonts w:ascii="Palatino Linotype" w:eastAsia="Times New Roman" w:hAnsi="Palatino Linotype"/>
          <w:color w:val="000000"/>
          <w:sz w:val="22"/>
          <w:szCs w:val="22"/>
        </w:rPr>
        <w:t xml:space="preserve">The </w:t>
      </w:r>
      <w:r>
        <w:rPr>
          <w:rFonts w:ascii="Palatino Linotype" w:eastAsia="Times New Roman" w:hAnsi="Palatino Linotype"/>
          <w:color w:val="000000"/>
          <w:sz w:val="22"/>
          <w:szCs w:val="22"/>
        </w:rPr>
        <w:t xml:space="preserve">percentage share of agri and non-agri segments in overall turnover accounted for 7.7 per cent and 92.3 per cent, respectively.  The turnover of agri. segment increased by 6.1 per cent while that of non-agri segment decreased by 9.4 per cent. </w:t>
      </w:r>
    </w:p>
    <w:p w14:paraId="43C0CD9E" w14:textId="77777777" w:rsidR="00F418DA" w:rsidRPr="00F111BA" w:rsidRDefault="00F418DA" w:rsidP="00F418DA">
      <w:pPr>
        <w:pStyle w:val="ListParagraph"/>
        <w:numPr>
          <w:ilvl w:val="0"/>
          <w:numId w:val="13"/>
        </w:numPr>
        <w:spacing w:after="0" w:line="240" w:lineRule="auto"/>
        <w:ind w:left="567" w:hanging="526"/>
        <w:jc w:val="both"/>
        <w:rPr>
          <w:rFonts w:ascii="Palatino Linotype" w:eastAsia="Times New Roman" w:hAnsi="Palatino Linotype"/>
          <w:color w:val="000000"/>
          <w:sz w:val="22"/>
          <w:szCs w:val="22"/>
        </w:rPr>
      </w:pPr>
      <w:r>
        <w:rPr>
          <w:rFonts w:ascii="Palatino Linotype" w:eastAsia="Times New Roman" w:hAnsi="Palatino Linotype"/>
          <w:color w:val="000000"/>
          <w:sz w:val="22"/>
          <w:szCs w:val="22"/>
        </w:rPr>
        <w:t>T</w:t>
      </w:r>
      <w:r w:rsidRPr="00F111BA">
        <w:rPr>
          <w:rFonts w:ascii="Palatino Linotype" w:eastAsia="Times New Roman" w:hAnsi="Palatino Linotype"/>
          <w:color w:val="000000"/>
          <w:sz w:val="22"/>
          <w:szCs w:val="22"/>
        </w:rPr>
        <w:t xml:space="preserve">he percentage share of futures and options contracts </w:t>
      </w:r>
      <w:r>
        <w:rPr>
          <w:rFonts w:ascii="Palatino Linotype" w:eastAsia="Times New Roman" w:hAnsi="Palatino Linotype"/>
          <w:color w:val="000000"/>
          <w:sz w:val="22"/>
          <w:szCs w:val="22"/>
        </w:rPr>
        <w:t xml:space="preserve">in overall turnover </w:t>
      </w:r>
      <w:r w:rsidRPr="00F111BA">
        <w:rPr>
          <w:rFonts w:ascii="Palatino Linotype" w:eastAsia="Times New Roman" w:hAnsi="Palatino Linotype"/>
          <w:color w:val="000000"/>
          <w:sz w:val="22"/>
          <w:szCs w:val="22"/>
        </w:rPr>
        <w:t>stood at 83.8 per cent and 16.2 per cent, respectively.</w:t>
      </w:r>
      <w:r>
        <w:rPr>
          <w:rFonts w:ascii="Palatino Linotype" w:eastAsia="Times New Roman" w:hAnsi="Palatino Linotype"/>
          <w:color w:val="000000"/>
          <w:sz w:val="22"/>
          <w:szCs w:val="22"/>
        </w:rPr>
        <w:t xml:space="preserve"> The turnover of futures contracts decreased by 11.3 per cent, while that of commodity options increased by 10.7 per cent. </w:t>
      </w:r>
    </w:p>
    <w:p w14:paraId="569D118B" w14:textId="77777777" w:rsidR="00F418DA" w:rsidRDefault="00F418DA" w:rsidP="00F418DA">
      <w:pPr>
        <w:pStyle w:val="ListParagraph"/>
        <w:numPr>
          <w:ilvl w:val="0"/>
          <w:numId w:val="13"/>
        </w:numPr>
        <w:spacing w:after="0" w:line="240" w:lineRule="auto"/>
        <w:ind w:left="567" w:hanging="526"/>
        <w:jc w:val="both"/>
        <w:rPr>
          <w:rFonts w:ascii="Palatino Linotype" w:eastAsia="Times New Roman" w:hAnsi="Palatino Linotype"/>
          <w:color w:val="000000"/>
          <w:sz w:val="22"/>
          <w:szCs w:val="22"/>
        </w:rPr>
      </w:pPr>
      <w:r w:rsidRPr="00F111BA">
        <w:rPr>
          <w:rFonts w:ascii="Palatino Linotype" w:eastAsia="Times New Roman" w:hAnsi="Palatino Linotype"/>
          <w:color w:val="000000"/>
          <w:sz w:val="22"/>
          <w:szCs w:val="22"/>
        </w:rPr>
        <w:t>Amongst the exchanges, the MCX has the highest market share of 84.6 per cent in the total turnover in the commodity derivatives segment, followed by BSE (9.5 per cent), NCDEX (5.7 per cent), NSE (0.1 per cent) and ICEX (0.0 per cent).</w:t>
      </w:r>
    </w:p>
    <w:p w14:paraId="62B6F7F5" w14:textId="77777777" w:rsidR="00F418DA" w:rsidRPr="00F111BA" w:rsidRDefault="00F418DA" w:rsidP="00F418DA">
      <w:pPr>
        <w:pStyle w:val="ListParagraph"/>
        <w:numPr>
          <w:ilvl w:val="0"/>
          <w:numId w:val="13"/>
        </w:numPr>
        <w:spacing w:after="0" w:line="240" w:lineRule="auto"/>
        <w:ind w:left="567" w:hanging="526"/>
        <w:jc w:val="both"/>
        <w:rPr>
          <w:rFonts w:ascii="Palatino Linotype" w:eastAsia="Times New Roman" w:hAnsi="Palatino Linotype"/>
          <w:color w:val="000000"/>
          <w:sz w:val="22"/>
          <w:szCs w:val="22"/>
        </w:rPr>
      </w:pPr>
      <w:r w:rsidRPr="00F111BA">
        <w:rPr>
          <w:rFonts w:ascii="Palatino Linotype" w:eastAsia="Times New Roman" w:hAnsi="Palatino Linotype"/>
          <w:color w:val="000000"/>
          <w:sz w:val="22"/>
          <w:szCs w:val="22"/>
        </w:rPr>
        <w:t>Amongst the commodity exchanges, the turnover at MCX, NCDEX</w:t>
      </w:r>
      <w:r>
        <w:rPr>
          <w:rFonts w:ascii="Palatino Linotype" w:eastAsia="Times New Roman" w:hAnsi="Palatino Linotype"/>
          <w:color w:val="000000"/>
          <w:sz w:val="22"/>
          <w:szCs w:val="22"/>
        </w:rPr>
        <w:t xml:space="preserve"> and </w:t>
      </w:r>
      <w:r w:rsidRPr="00F111BA">
        <w:rPr>
          <w:rFonts w:ascii="Palatino Linotype" w:eastAsia="Times New Roman" w:hAnsi="Palatino Linotype"/>
          <w:color w:val="000000"/>
          <w:sz w:val="22"/>
          <w:szCs w:val="22"/>
        </w:rPr>
        <w:t>NSE decreased by 10.2 per cent, 0.3 per cent</w:t>
      </w:r>
      <w:r>
        <w:rPr>
          <w:rFonts w:ascii="Palatino Linotype" w:eastAsia="Times New Roman" w:hAnsi="Palatino Linotype"/>
          <w:color w:val="000000"/>
          <w:sz w:val="22"/>
          <w:szCs w:val="22"/>
        </w:rPr>
        <w:t xml:space="preserve"> and </w:t>
      </w:r>
      <w:r w:rsidRPr="00F111BA">
        <w:rPr>
          <w:rFonts w:ascii="Palatino Linotype" w:eastAsia="Times New Roman" w:hAnsi="Palatino Linotype"/>
          <w:color w:val="000000"/>
          <w:sz w:val="22"/>
          <w:szCs w:val="22"/>
        </w:rPr>
        <w:t>3.2 per cent, respectively, while that at BSE and ICEX increased by 5.4 and 17.4 per cent, respectively.</w:t>
      </w:r>
    </w:p>
    <w:p w14:paraId="20535284" w14:textId="77777777" w:rsidR="00F418DA" w:rsidRPr="009803F8" w:rsidRDefault="00F418DA" w:rsidP="00F418DA">
      <w:pPr>
        <w:pStyle w:val="ListParagraph"/>
        <w:numPr>
          <w:ilvl w:val="0"/>
          <w:numId w:val="13"/>
        </w:numPr>
        <w:spacing w:after="0" w:line="240" w:lineRule="auto"/>
        <w:ind w:left="567" w:hanging="526"/>
        <w:jc w:val="both"/>
        <w:rPr>
          <w:rFonts w:ascii="Palatino Linotype" w:eastAsia="Times New Roman" w:hAnsi="Palatino Linotype"/>
          <w:color w:val="000000"/>
          <w:sz w:val="22"/>
          <w:szCs w:val="22"/>
        </w:rPr>
      </w:pPr>
      <w:r w:rsidRPr="009803F8">
        <w:rPr>
          <w:rFonts w:ascii="Palatino Linotype" w:eastAsia="Times New Roman" w:hAnsi="Palatino Linotype"/>
          <w:color w:val="000000"/>
          <w:sz w:val="22"/>
          <w:szCs w:val="22"/>
        </w:rPr>
        <w:t xml:space="preserve">The turnover at MCX decreased by 10.2 per cent to </w:t>
      </w:r>
      <w:r w:rsidRPr="009803F8">
        <w:rPr>
          <w:rFonts w:ascii="Times New Roman" w:eastAsia="Times New Roman" w:hAnsi="Times New Roman"/>
          <w:color w:val="000000"/>
          <w:sz w:val="22"/>
          <w:szCs w:val="22"/>
        </w:rPr>
        <w:t>₹</w:t>
      </w:r>
      <w:r w:rsidRPr="009803F8">
        <w:rPr>
          <w:rFonts w:ascii="Palatino Linotype" w:eastAsia="Times New Roman" w:hAnsi="Palatino Linotype"/>
          <w:color w:val="000000"/>
          <w:sz w:val="22"/>
          <w:szCs w:val="22"/>
        </w:rPr>
        <w:t xml:space="preserve"> 6</w:t>
      </w:r>
      <w:r>
        <w:rPr>
          <w:rFonts w:ascii="Palatino Linotype" w:eastAsia="Times New Roman" w:hAnsi="Palatino Linotype"/>
          <w:color w:val="000000"/>
          <w:sz w:val="22"/>
          <w:szCs w:val="22"/>
        </w:rPr>
        <w:t>,</w:t>
      </w:r>
      <w:r w:rsidRPr="009803F8">
        <w:rPr>
          <w:rFonts w:ascii="Palatino Linotype" w:eastAsia="Times New Roman" w:hAnsi="Palatino Linotype"/>
          <w:color w:val="000000"/>
          <w:sz w:val="22"/>
          <w:szCs w:val="22"/>
        </w:rPr>
        <w:t>37</w:t>
      </w:r>
      <w:r>
        <w:rPr>
          <w:rFonts w:ascii="Palatino Linotype" w:eastAsia="Times New Roman" w:hAnsi="Palatino Linotype"/>
          <w:color w:val="000000"/>
          <w:sz w:val="22"/>
          <w:szCs w:val="22"/>
        </w:rPr>
        <w:t>,</w:t>
      </w:r>
      <w:r w:rsidRPr="009803F8">
        <w:rPr>
          <w:rFonts w:ascii="Palatino Linotype" w:eastAsia="Times New Roman" w:hAnsi="Palatino Linotype"/>
          <w:color w:val="000000"/>
          <w:sz w:val="22"/>
          <w:szCs w:val="22"/>
        </w:rPr>
        <w:t xml:space="preserve">698 crore during </w:t>
      </w:r>
      <w:r>
        <w:rPr>
          <w:rFonts w:ascii="Palatino Linotype" w:eastAsia="Times New Roman" w:hAnsi="Palatino Linotype"/>
          <w:color w:val="000000"/>
          <w:sz w:val="22"/>
          <w:szCs w:val="22"/>
        </w:rPr>
        <w:t xml:space="preserve">the month.  This downtrend was </w:t>
      </w:r>
      <w:r w:rsidRPr="009803F8">
        <w:rPr>
          <w:rFonts w:ascii="Palatino Linotype" w:eastAsia="Times New Roman" w:hAnsi="Palatino Linotype"/>
          <w:color w:val="000000"/>
          <w:sz w:val="22"/>
          <w:szCs w:val="22"/>
        </w:rPr>
        <w:t xml:space="preserve">driven </w:t>
      </w:r>
      <w:r>
        <w:rPr>
          <w:rFonts w:ascii="Palatino Linotype" w:eastAsia="Times New Roman" w:hAnsi="Palatino Linotype"/>
          <w:color w:val="000000"/>
          <w:sz w:val="22"/>
          <w:szCs w:val="22"/>
        </w:rPr>
        <w:t xml:space="preserve">by </w:t>
      </w:r>
      <w:r w:rsidRPr="009803F8">
        <w:rPr>
          <w:rFonts w:ascii="Palatino Linotype" w:eastAsia="Times New Roman" w:hAnsi="Palatino Linotype"/>
          <w:color w:val="000000"/>
          <w:sz w:val="22"/>
          <w:szCs w:val="22"/>
        </w:rPr>
        <w:t xml:space="preserve">bullion and metal futures which </w:t>
      </w:r>
      <w:r>
        <w:rPr>
          <w:rFonts w:ascii="Palatino Linotype" w:eastAsia="Times New Roman" w:hAnsi="Palatino Linotype"/>
          <w:color w:val="000000"/>
          <w:sz w:val="22"/>
          <w:szCs w:val="22"/>
        </w:rPr>
        <w:t xml:space="preserve">turnover </w:t>
      </w:r>
      <w:r w:rsidRPr="009803F8">
        <w:rPr>
          <w:rFonts w:ascii="Palatino Linotype" w:eastAsia="Times New Roman" w:hAnsi="Palatino Linotype"/>
          <w:color w:val="000000"/>
          <w:sz w:val="22"/>
          <w:szCs w:val="22"/>
        </w:rPr>
        <w:t>decreased by 14.8 per cent and 16.1 per cent</w:t>
      </w:r>
      <w:r>
        <w:rPr>
          <w:rFonts w:ascii="Palatino Linotype" w:eastAsia="Times New Roman" w:hAnsi="Palatino Linotype"/>
          <w:color w:val="000000"/>
          <w:sz w:val="22"/>
          <w:szCs w:val="22"/>
        </w:rPr>
        <w:t>,</w:t>
      </w:r>
      <w:r w:rsidRPr="009803F8">
        <w:rPr>
          <w:rFonts w:ascii="Palatino Linotype" w:eastAsia="Times New Roman" w:hAnsi="Palatino Linotype"/>
          <w:color w:val="000000"/>
          <w:sz w:val="22"/>
          <w:szCs w:val="22"/>
        </w:rPr>
        <w:t xml:space="preserve"> respectively. However, turnover of agri. </w:t>
      </w:r>
      <w:r>
        <w:rPr>
          <w:rFonts w:ascii="Palatino Linotype" w:eastAsia="Times New Roman" w:hAnsi="Palatino Linotype"/>
          <w:color w:val="000000"/>
          <w:sz w:val="22"/>
          <w:szCs w:val="22"/>
        </w:rPr>
        <w:t xml:space="preserve">and energy commodity futures </w:t>
      </w:r>
      <w:r w:rsidRPr="009803F8">
        <w:rPr>
          <w:rFonts w:ascii="Palatino Linotype" w:eastAsia="Times New Roman" w:hAnsi="Palatino Linotype"/>
          <w:color w:val="000000"/>
          <w:sz w:val="22"/>
          <w:szCs w:val="22"/>
        </w:rPr>
        <w:t xml:space="preserve">increased by 29.9 per cent and 5.8 per cent, respectively. The turnover in iCOMDEX bullion </w:t>
      </w:r>
      <w:r>
        <w:rPr>
          <w:rFonts w:ascii="Palatino Linotype" w:eastAsia="Times New Roman" w:hAnsi="Palatino Linotype"/>
          <w:color w:val="000000"/>
          <w:sz w:val="22"/>
          <w:szCs w:val="22"/>
        </w:rPr>
        <w:t xml:space="preserve">index </w:t>
      </w:r>
      <w:r w:rsidRPr="009803F8">
        <w:rPr>
          <w:rFonts w:ascii="Palatino Linotype" w:eastAsia="Times New Roman" w:hAnsi="Palatino Linotype"/>
          <w:color w:val="000000"/>
          <w:sz w:val="22"/>
          <w:szCs w:val="22"/>
        </w:rPr>
        <w:t xml:space="preserve">and iCOMDEX metal index futures decreased by 11.8 per cent and 22.3 per cent to </w:t>
      </w:r>
      <w:r w:rsidRPr="009803F8">
        <w:rPr>
          <w:rFonts w:ascii="Times New Roman" w:eastAsia="Times New Roman" w:hAnsi="Times New Roman"/>
          <w:color w:val="000000"/>
          <w:sz w:val="22"/>
          <w:szCs w:val="22"/>
        </w:rPr>
        <w:t>₹</w:t>
      </w:r>
      <w:r w:rsidRPr="009803F8">
        <w:rPr>
          <w:rFonts w:ascii="Palatino Linotype" w:eastAsia="Times New Roman" w:hAnsi="Palatino Linotype"/>
          <w:color w:val="000000"/>
          <w:sz w:val="22"/>
          <w:szCs w:val="22"/>
        </w:rPr>
        <w:t xml:space="preserve">4,119 crore and </w:t>
      </w:r>
      <w:r w:rsidRPr="009803F8">
        <w:rPr>
          <w:rFonts w:ascii="Times New Roman" w:eastAsia="Times New Roman" w:hAnsi="Times New Roman"/>
          <w:color w:val="000000"/>
          <w:sz w:val="22"/>
          <w:szCs w:val="22"/>
        </w:rPr>
        <w:t>₹</w:t>
      </w:r>
      <w:r w:rsidRPr="009803F8">
        <w:rPr>
          <w:rFonts w:ascii="Palatino Linotype" w:eastAsia="Times New Roman" w:hAnsi="Palatino Linotype"/>
          <w:color w:val="000000"/>
          <w:sz w:val="22"/>
          <w:szCs w:val="22"/>
        </w:rPr>
        <w:t xml:space="preserve"> 32,792 crore</w:t>
      </w:r>
      <w:r>
        <w:rPr>
          <w:rFonts w:ascii="Palatino Linotype" w:eastAsia="Times New Roman" w:hAnsi="Palatino Linotype"/>
          <w:color w:val="000000"/>
          <w:sz w:val="22"/>
          <w:szCs w:val="22"/>
        </w:rPr>
        <w:t>,</w:t>
      </w:r>
      <w:r w:rsidRPr="009803F8">
        <w:rPr>
          <w:rFonts w:ascii="Palatino Linotype" w:eastAsia="Times New Roman" w:hAnsi="Palatino Linotype"/>
          <w:color w:val="000000"/>
          <w:sz w:val="22"/>
          <w:szCs w:val="22"/>
        </w:rPr>
        <w:t xml:space="preserve"> respectively.</w:t>
      </w:r>
    </w:p>
    <w:p w14:paraId="379143A2" w14:textId="77777777" w:rsidR="00F418DA" w:rsidRDefault="00F418DA" w:rsidP="00F418DA">
      <w:pPr>
        <w:pStyle w:val="ListParagraph"/>
        <w:numPr>
          <w:ilvl w:val="0"/>
          <w:numId w:val="13"/>
        </w:numPr>
        <w:spacing w:after="0" w:line="240" w:lineRule="auto"/>
        <w:ind w:left="567" w:hanging="526"/>
        <w:jc w:val="both"/>
        <w:rPr>
          <w:rFonts w:ascii="Palatino Linotype" w:eastAsia="Times New Roman" w:hAnsi="Palatino Linotype"/>
          <w:color w:val="000000"/>
          <w:sz w:val="22"/>
          <w:szCs w:val="22"/>
        </w:rPr>
      </w:pPr>
      <w:r w:rsidRPr="009803F8">
        <w:rPr>
          <w:rFonts w:ascii="Palatino Linotype" w:eastAsia="Times New Roman" w:hAnsi="Palatino Linotype"/>
          <w:color w:val="000000"/>
          <w:sz w:val="22"/>
          <w:szCs w:val="22"/>
        </w:rPr>
        <w:t>The notional turnover of options contracts at MCX increased by 20.0 per cent</w:t>
      </w:r>
      <w:r>
        <w:rPr>
          <w:rFonts w:ascii="Palatino Linotype" w:eastAsia="Times New Roman" w:hAnsi="Palatino Linotype"/>
          <w:color w:val="000000"/>
          <w:sz w:val="22"/>
          <w:szCs w:val="22"/>
        </w:rPr>
        <w:t xml:space="preserve"> to </w:t>
      </w:r>
      <w:r w:rsidRPr="009803F8">
        <w:rPr>
          <w:rFonts w:ascii="Times New Roman" w:eastAsia="Times New Roman" w:hAnsi="Times New Roman"/>
          <w:color w:val="000000"/>
          <w:sz w:val="22"/>
          <w:szCs w:val="22"/>
        </w:rPr>
        <w:t>₹</w:t>
      </w:r>
      <w:r w:rsidRPr="009803F8">
        <w:rPr>
          <w:rFonts w:ascii="Palatino Linotype" w:eastAsia="Times New Roman" w:hAnsi="Palatino Linotype"/>
          <w:color w:val="000000"/>
          <w:sz w:val="22"/>
          <w:szCs w:val="22"/>
        </w:rPr>
        <w:t xml:space="preserve">50,099 crore during the month.  The </w:t>
      </w:r>
      <w:r>
        <w:rPr>
          <w:rFonts w:ascii="Palatino Linotype" w:eastAsia="Times New Roman" w:hAnsi="Palatino Linotype"/>
          <w:color w:val="000000"/>
          <w:sz w:val="22"/>
          <w:szCs w:val="22"/>
        </w:rPr>
        <w:t xml:space="preserve">turnover of </w:t>
      </w:r>
      <w:r w:rsidRPr="009803F8">
        <w:rPr>
          <w:rFonts w:ascii="Palatino Linotype" w:eastAsia="Times New Roman" w:hAnsi="Palatino Linotype"/>
          <w:color w:val="000000"/>
          <w:sz w:val="22"/>
          <w:szCs w:val="22"/>
        </w:rPr>
        <w:t xml:space="preserve">options </w:t>
      </w:r>
      <w:r>
        <w:rPr>
          <w:rFonts w:ascii="Palatino Linotype" w:eastAsia="Times New Roman" w:hAnsi="Palatino Linotype"/>
          <w:color w:val="000000"/>
          <w:sz w:val="22"/>
          <w:szCs w:val="22"/>
        </w:rPr>
        <w:t>on crude oil grew by 58 per cent month on month and accounted for more than 2/3</w:t>
      </w:r>
      <w:r w:rsidRPr="002567F6">
        <w:rPr>
          <w:rFonts w:ascii="Palatino Linotype" w:eastAsia="Times New Roman" w:hAnsi="Palatino Linotype"/>
          <w:color w:val="000000"/>
          <w:sz w:val="22"/>
          <w:szCs w:val="22"/>
          <w:vertAlign w:val="superscript"/>
        </w:rPr>
        <w:t>rd</w:t>
      </w:r>
      <w:r>
        <w:rPr>
          <w:rFonts w:ascii="Palatino Linotype" w:eastAsia="Times New Roman" w:hAnsi="Palatino Linotype"/>
          <w:color w:val="000000"/>
          <w:sz w:val="22"/>
          <w:szCs w:val="22"/>
        </w:rPr>
        <w:t xml:space="preserve"> of the options turnover at MCX. On the other hand, the options </w:t>
      </w:r>
      <w:r>
        <w:rPr>
          <w:rFonts w:ascii="Palatino Linotype" w:eastAsia="Times New Roman" w:hAnsi="Palatino Linotype"/>
          <w:color w:val="000000"/>
          <w:sz w:val="22"/>
          <w:szCs w:val="22"/>
        </w:rPr>
        <w:lastRenderedPageBreak/>
        <w:t>on bullion commodities, which accounts for 24.7 per cent options turnover at MCX, declined by 31.0 per cent month on month, during June 2021.</w:t>
      </w:r>
    </w:p>
    <w:p w14:paraId="5ADC61BC" w14:textId="77777777" w:rsidR="00F418DA" w:rsidRPr="009803F8" w:rsidRDefault="00F418DA" w:rsidP="00F418DA">
      <w:pPr>
        <w:pStyle w:val="ListParagraph"/>
        <w:numPr>
          <w:ilvl w:val="0"/>
          <w:numId w:val="13"/>
        </w:numPr>
        <w:spacing w:after="0" w:line="240" w:lineRule="auto"/>
        <w:ind w:left="567" w:hanging="526"/>
        <w:jc w:val="both"/>
        <w:rPr>
          <w:rFonts w:ascii="Palatino Linotype" w:eastAsia="Times New Roman" w:hAnsi="Palatino Linotype"/>
          <w:color w:val="000000"/>
          <w:sz w:val="22"/>
          <w:szCs w:val="22"/>
        </w:rPr>
      </w:pPr>
      <w:r w:rsidRPr="009803F8">
        <w:rPr>
          <w:rFonts w:ascii="Palatino Linotype" w:eastAsia="Times New Roman" w:hAnsi="Palatino Linotype"/>
          <w:color w:val="000000"/>
          <w:sz w:val="22"/>
          <w:szCs w:val="22"/>
        </w:rPr>
        <w:t>The turnover in options contracts contributed 7.9 per cent to the total turnover at MCX.</w:t>
      </w:r>
    </w:p>
    <w:p w14:paraId="539E58DD" w14:textId="77777777" w:rsidR="00F418DA" w:rsidRPr="009803F8" w:rsidRDefault="00F418DA" w:rsidP="00F418DA">
      <w:pPr>
        <w:pStyle w:val="ListParagraph"/>
        <w:numPr>
          <w:ilvl w:val="0"/>
          <w:numId w:val="13"/>
        </w:numPr>
        <w:spacing w:after="0" w:line="240" w:lineRule="auto"/>
        <w:ind w:left="567" w:hanging="526"/>
        <w:jc w:val="both"/>
        <w:rPr>
          <w:rFonts w:ascii="Palatino Linotype" w:eastAsia="Times New Roman" w:hAnsi="Palatino Linotype"/>
          <w:color w:val="000000"/>
          <w:sz w:val="22"/>
          <w:szCs w:val="22"/>
        </w:rPr>
      </w:pPr>
      <w:r w:rsidRPr="009803F8">
        <w:rPr>
          <w:rFonts w:ascii="Palatino Linotype" w:eastAsia="Times New Roman" w:hAnsi="Palatino Linotype"/>
          <w:color w:val="000000"/>
          <w:sz w:val="22"/>
          <w:szCs w:val="22"/>
        </w:rPr>
        <w:t>During June 2021, the total turnover at BSE increased by 5.4</w:t>
      </w:r>
      <w:r>
        <w:rPr>
          <w:rFonts w:ascii="Palatino Linotype" w:eastAsia="Times New Roman" w:hAnsi="Palatino Linotype"/>
          <w:color w:val="000000"/>
          <w:sz w:val="22"/>
          <w:szCs w:val="22"/>
        </w:rPr>
        <w:t xml:space="preserve"> per cent to </w:t>
      </w:r>
      <w:r>
        <w:rPr>
          <w:rFonts w:ascii="Times New Roman" w:eastAsia="Times New Roman" w:hAnsi="Times New Roman"/>
          <w:color w:val="000000"/>
          <w:sz w:val="22"/>
          <w:szCs w:val="22"/>
        </w:rPr>
        <w:t>₹</w:t>
      </w:r>
      <w:r w:rsidRPr="009803F8">
        <w:rPr>
          <w:rFonts w:ascii="Palatino Linotype" w:eastAsia="Times New Roman" w:hAnsi="Palatino Linotype"/>
          <w:color w:val="000000"/>
          <w:sz w:val="22"/>
          <w:szCs w:val="22"/>
        </w:rPr>
        <w:t>71</w:t>
      </w:r>
      <w:r>
        <w:rPr>
          <w:rFonts w:ascii="Palatino Linotype" w:eastAsia="Times New Roman" w:hAnsi="Palatino Linotype"/>
          <w:color w:val="000000"/>
          <w:sz w:val="22"/>
          <w:szCs w:val="22"/>
        </w:rPr>
        <w:t xml:space="preserve">,872 </w:t>
      </w:r>
      <w:r w:rsidRPr="009803F8">
        <w:rPr>
          <w:rFonts w:ascii="Palatino Linotype" w:eastAsia="Times New Roman" w:hAnsi="Palatino Linotype"/>
          <w:color w:val="000000"/>
          <w:sz w:val="22"/>
          <w:szCs w:val="22"/>
        </w:rPr>
        <w:t>crore</w:t>
      </w:r>
      <w:r>
        <w:rPr>
          <w:rFonts w:ascii="Palatino Linotype" w:eastAsia="Times New Roman" w:hAnsi="Palatino Linotype"/>
          <w:color w:val="000000"/>
          <w:sz w:val="22"/>
          <w:szCs w:val="22"/>
        </w:rPr>
        <w:t>, driven by positive growth in the options contracts on bullion</w:t>
      </w:r>
      <w:r w:rsidRPr="009803F8">
        <w:rPr>
          <w:rFonts w:ascii="Palatino Linotype" w:eastAsia="Times New Roman" w:hAnsi="Palatino Linotype"/>
          <w:color w:val="000000"/>
          <w:sz w:val="22"/>
          <w:szCs w:val="22"/>
        </w:rPr>
        <w:t xml:space="preserve">.  </w:t>
      </w:r>
      <w:r>
        <w:rPr>
          <w:rFonts w:ascii="Palatino Linotype" w:eastAsia="Times New Roman" w:hAnsi="Palatino Linotype"/>
          <w:color w:val="000000"/>
          <w:sz w:val="22"/>
          <w:szCs w:val="22"/>
        </w:rPr>
        <w:t>The options contracts</w:t>
      </w:r>
      <w:r w:rsidRPr="009803F8">
        <w:rPr>
          <w:rFonts w:ascii="Palatino Linotype" w:eastAsia="Times New Roman" w:hAnsi="Palatino Linotype"/>
          <w:color w:val="000000"/>
          <w:sz w:val="22"/>
          <w:szCs w:val="22"/>
        </w:rPr>
        <w:t xml:space="preserve"> on </w:t>
      </w:r>
      <w:r>
        <w:rPr>
          <w:rFonts w:ascii="Palatino Linotype" w:eastAsia="Times New Roman" w:hAnsi="Palatino Linotype"/>
          <w:color w:val="000000"/>
          <w:sz w:val="22"/>
          <w:szCs w:val="22"/>
        </w:rPr>
        <w:t xml:space="preserve">gold mini </w:t>
      </w:r>
      <w:r w:rsidRPr="009803F8">
        <w:rPr>
          <w:rFonts w:ascii="Palatino Linotype" w:eastAsia="Times New Roman" w:hAnsi="Palatino Linotype"/>
          <w:color w:val="000000"/>
          <w:sz w:val="22"/>
          <w:szCs w:val="22"/>
        </w:rPr>
        <w:t xml:space="preserve">accounted </w:t>
      </w:r>
      <w:r>
        <w:rPr>
          <w:rFonts w:ascii="Palatino Linotype" w:eastAsia="Times New Roman" w:hAnsi="Palatino Linotype"/>
          <w:color w:val="000000"/>
          <w:sz w:val="22"/>
          <w:szCs w:val="22"/>
        </w:rPr>
        <w:t>for 99.7 per cent o</w:t>
      </w:r>
      <w:r w:rsidRPr="009803F8">
        <w:rPr>
          <w:rFonts w:ascii="Palatino Linotype" w:eastAsia="Times New Roman" w:hAnsi="Palatino Linotype"/>
          <w:color w:val="000000"/>
          <w:sz w:val="22"/>
          <w:szCs w:val="22"/>
        </w:rPr>
        <w:t xml:space="preserve">f the </w:t>
      </w:r>
      <w:r>
        <w:rPr>
          <w:rFonts w:ascii="Palatino Linotype" w:eastAsia="Times New Roman" w:hAnsi="Palatino Linotype"/>
          <w:color w:val="000000"/>
          <w:sz w:val="22"/>
          <w:szCs w:val="22"/>
        </w:rPr>
        <w:t xml:space="preserve">total </w:t>
      </w:r>
      <w:r w:rsidRPr="009803F8">
        <w:rPr>
          <w:rFonts w:ascii="Palatino Linotype" w:eastAsia="Times New Roman" w:hAnsi="Palatino Linotype"/>
          <w:color w:val="000000"/>
          <w:sz w:val="22"/>
          <w:szCs w:val="22"/>
        </w:rPr>
        <w:t xml:space="preserve">turnover </w:t>
      </w:r>
      <w:r>
        <w:rPr>
          <w:rFonts w:ascii="Palatino Linotype" w:eastAsia="Times New Roman" w:hAnsi="Palatino Linotype"/>
          <w:color w:val="000000"/>
          <w:sz w:val="22"/>
          <w:szCs w:val="22"/>
        </w:rPr>
        <w:t>in</w:t>
      </w:r>
      <w:r w:rsidRPr="009803F8">
        <w:rPr>
          <w:rFonts w:ascii="Palatino Linotype" w:eastAsia="Times New Roman" w:hAnsi="Palatino Linotype"/>
          <w:color w:val="000000"/>
          <w:sz w:val="22"/>
          <w:szCs w:val="22"/>
        </w:rPr>
        <w:t xml:space="preserve"> commodity derivatives contracts </w:t>
      </w:r>
      <w:r>
        <w:rPr>
          <w:rFonts w:ascii="Palatino Linotype" w:eastAsia="Times New Roman" w:hAnsi="Palatino Linotype"/>
          <w:color w:val="000000"/>
          <w:sz w:val="22"/>
          <w:szCs w:val="22"/>
        </w:rPr>
        <w:t xml:space="preserve">at BSE. </w:t>
      </w:r>
    </w:p>
    <w:p w14:paraId="7CC401E1" w14:textId="77777777" w:rsidR="00F418DA" w:rsidRPr="009803F8" w:rsidRDefault="00F418DA" w:rsidP="00F418DA">
      <w:pPr>
        <w:pStyle w:val="ListParagraph"/>
        <w:numPr>
          <w:ilvl w:val="0"/>
          <w:numId w:val="13"/>
        </w:numPr>
        <w:spacing w:after="0" w:line="240" w:lineRule="auto"/>
        <w:ind w:left="567" w:hanging="526"/>
        <w:jc w:val="both"/>
        <w:rPr>
          <w:rFonts w:ascii="Palatino Linotype" w:hAnsi="Palatino Linotype" w:cs="Arial"/>
          <w:bCs/>
        </w:rPr>
      </w:pPr>
      <w:r w:rsidRPr="009803F8">
        <w:rPr>
          <w:rFonts w:ascii="Palatino Linotype" w:eastAsia="Times New Roman" w:hAnsi="Palatino Linotype"/>
          <w:color w:val="000000"/>
          <w:sz w:val="22"/>
          <w:szCs w:val="22"/>
        </w:rPr>
        <w:t xml:space="preserve">During the month, the total turnover at NCDEX decreased by 0.3 per cent to </w:t>
      </w:r>
      <w:r w:rsidRPr="009803F8">
        <w:rPr>
          <w:rFonts w:ascii="Times New Roman" w:eastAsia="Times New Roman" w:hAnsi="Times New Roman"/>
          <w:color w:val="000000"/>
          <w:sz w:val="22"/>
          <w:szCs w:val="22"/>
        </w:rPr>
        <w:t>₹</w:t>
      </w:r>
      <w:r w:rsidRPr="009803F8">
        <w:rPr>
          <w:rFonts w:ascii="Palatino Linotype" w:eastAsia="Times New Roman" w:hAnsi="Palatino Linotype"/>
          <w:color w:val="000000"/>
          <w:sz w:val="22"/>
          <w:szCs w:val="22"/>
        </w:rPr>
        <w:t>42</w:t>
      </w:r>
      <w:r>
        <w:rPr>
          <w:rFonts w:ascii="Palatino Linotype" w:eastAsia="Times New Roman" w:hAnsi="Palatino Linotype"/>
          <w:color w:val="000000"/>
          <w:sz w:val="22"/>
          <w:szCs w:val="22"/>
        </w:rPr>
        <w:t>,786</w:t>
      </w:r>
      <w:r w:rsidRPr="009803F8">
        <w:rPr>
          <w:rFonts w:ascii="Palatino Linotype" w:eastAsia="Times New Roman" w:hAnsi="Palatino Linotype"/>
          <w:color w:val="000000"/>
          <w:sz w:val="22"/>
          <w:szCs w:val="22"/>
        </w:rPr>
        <w:t xml:space="preserve"> crore</w:t>
      </w:r>
      <w:r>
        <w:rPr>
          <w:rFonts w:ascii="Palatino Linotype" w:eastAsia="Times New Roman" w:hAnsi="Palatino Linotype"/>
          <w:color w:val="000000"/>
          <w:sz w:val="22"/>
          <w:szCs w:val="22"/>
        </w:rPr>
        <w:t xml:space="preserve"> from </w:t>
      </w:r>
      <w:r w:rsidRPr="009803F8">
        <w:rPr>
          <w:rFonts w:ascii="Times New Roman" w:eastAsia="Times New Roman" w:hAnsi="Times New Roman"/>
          <w:color w:val="000000"/>
          <w:sz w:val="22"/>
          <w:szCs w:val="22"/>
        </w:rPr>
        <w:t>₹</w:t>
      </w:r>
      <w:r>
        <w:rPr>
          <w:rFonts w:ascii="Palatino Linotype" w:eastAsia="Times New Roman" w:hAnsi="Palatino Linotype"/>
          <w:color w:val="000000"/>
          <w:sz w:val="22"/>
          <w:szCs w:val="22"/>
        </w:rPr>
        <w:t>42,923 crore in the previous month</w:t>
      </w:r>
      <w:r w:rsidRPr="00FF2B41">
        <w:rPr>
          <w:rFonts w:ascii="Palatino Linotype" w:eastAsia="Times New Roman" w:hAnsi="Palatino Linotype"/>
          <w:color w:val="000000"/>
          <w:sz w:val="22"/>
          <w:szCs w:val="22"/>
        </w:rPr>
        <w:t>.  This is on account of decrease in volume of nine out of total 17 traded commodities</w:t>
      </w:r>
      <w:r>
        <w:rPr>
          <w:rFonts w:ascii="Palatino Linotype" w:eastAsia="Times New Roman" w:hAnsi="Palatino Linotype"/>
          <w:color w:val="000000"/>
          <w:sz w:val="22"/>
          <w:szCs w:val="22"/>
        </w:rPr>
        <w:t xml:space="preserve"> or commodity variants</w:t>
      </w:r>
      <w:r w:rsidRPr="00FF2B41">
        <w:rPr>
          <w:rFonts w:ascii="Palatino Linotype" w:eastAsia="Times New Roman" w:hAnsi="Palatino Linotype"/>
          <w:color w:val="000000"/>
          <w:sz w:val="22"/>
          <w:szCs w:val="22"/>
        </w:rPr>
        <w:t xml:space="preserve">. The turnover in Agridex futures </w:t>
      </w:r>
      <w:r>
        <w:rPr>
          <w:rFonts w:ascii="Palatino Linotype" w:eastAsia="Times New Roman" w:hAnsi="Palatino Linotype"/>
          <w:color w:val="000000"/>
          <w:sz w:val="22"/>
          <w:szCs w:val="22"/>
        </w:rPr>
        <w:t>i</w:t>
      </w:r>
      <w:r w:rsidRPr="00FF2B41">
        <w:rPr>
          <w:rFonts w:ascii="Palatino Linotype" w:eastAsia="Times New Roman" w:hAnsi="Palatino Linotype"/>
          <w:color w:val="000000"/>
          <w:sz w:val="22"/>
          <w:szCs w:val="22"/>
        </w:rPr>
        <w:t xml:space="preserve">ndex increased from </w:t>
      </w:r>
      <w:r w:rsidRPr="00FF2B41">
        <w:rPr>
          <w:rFonts w:ascii="Times New Roman" w:eastAsia="Times New Roman" w:hAnsi="Times New Roman"/>
          <w:color w:val="000000"/>
          <w:sz w:val="22"/>
          <w:szCs w:val="22"/>
        </w:rPr>
        <w:t>₹</w:t>
      </w:r>
      <w:r w:rsidRPr="00FF2B41">
        <w:rPr>
          <w:rFonts w:ascii="Palatino Linotype" w:eastAsia="Times New Roman" w:hAnsi="Palatino Linotype"/>
          <w:color w:val="000000"/>
          <w:sz w:val="22"/>
          <w:szCs w:val="22"/>
        </w:rPr>
        <w:t xml:space="preserve">5.1 crore in May 2021 to </w:t>
      </w:r>
      <w:r w:rsidRPr="00FF2B41">
        <w:rPr>
          <w:rFonts w:ascii="Times New Roman" w:eastAsia="Times New Roman" w:hAnsi="Times New Roman"/>
          <w:color w:val="000000"/>
          <w:sz w:val="22"/>
          <w:szCs w:val="22"/>
        </w:rPr>
        <w:t>₹</w:t>
      </w:r>
      <w:r w:rsidRPr="00FF2B41">
        <w:rPr>
          <w:rFonts w:ascii="Palatino Linotype" w:eastAsia="Times New Roman" w:hAnsi="Palatino Linotype"/>
          <w:color w:val="000000"/>
          <w:sz w:val="22"/>
          <w:szCs w:val="22"/>
        </w:rPr>
        <w:t>14.3 crore in June 2021. Similarly, the turnover in steel long contracts of non-agri. segment increased</w:t>
      </w:r>
      <w:r>
        <w:rPr>
          <w:rFonts w:ascii="Palatino Linotype" w:hAnsi="Palatino Linotype" w:cs="Arial"/>
          <w:bCs/>
          <w:sz w:val="22"/>
          <w:szCs w:val="22"/>
        </w:rPr>
        <w:t xml:space="preserve"> from </w:t>
      </w:r>
      <w:r w:rsidRPr="009803F8">
        <w:rPr>
          <w:rFonts w:ascii="Times New Roman" w:hAnsi="Times New Roman"/>
          <w:bCs/>
          <w:sz w:val="22"/>
          <w:szCs w:val="22"/>
        </w:rPr>
        <w:t>₹</w:t>
      </w:r>
      <w:r>
        <w:rPr>
          <w:rFonts w:ascii="Palatino Linotype" w:hAnsi="Palatino Linotype" w:cs="Arial"/>
          <w:bCs/>
          <w:sz w:val="22"/>
          <w:szCs w:val="22"/>
        </w:rPr>
        <w:t>15.9 crore in previous month to</w:t>
      </w:r>
      <w:r w:rsidRPr="009803F8">
        <w:rPr>
          <w:rFonts w:ascii="Palatino Linotype" w:hAnsi="Palatino Linotype" w:cs="Arial"/>
          <w:bCs/>
          <w:sz w:val="22"/>
          <w:szCs w:val="22"/>
        </w:rPr>
        <w:t xml:space="preserve"> </w:t>
      </w:r>
      <w:r w:rsidRPr="009803F8">
        <w:rPr>
          <w:rFonts w:ascii="Times New Roman" w:hAnsi="Times New Roman"/>
          <w:bCs/>
          <w:sz w:val="22"/>
          <w:szCs w:val="22"/>
        </w:rPr>
        <w:t>₹</w:t>
      </w:r>
      <w:r>
        <w:rPr>
          <w:rFonts w:ascii="Times New Roman" w:hAnsi="Times New Roman"/>
          <w:bCs/>
          <w:sz w:val="22"/>
          <w:szCs w:val="22"/>
        </w:rPr>
        <w:t>17.5</w:t>
      </w:r>
      <w:r w:rsidRPr="009803F8">
        <w:rPr>
          <w:rFonts w:ascii="Times New Roman" w:hAnsi="Times New Roman"/>
          <w:bCs/>
          <w:sz w:val="22"/>
          <w:szCs w:val="22"/>
        </w:rPr>
        <w:t xml:space="preserve"> </w:t>
      </w:r>
      <w:r w:rsidRPr="009803F8">
        <w:rPr>
          <w:rFonts w:ascii="Palatino Linotype" w:hAnsi="Palatino Linotype" w:cs="Arial"/>
          <w:bCs/>
          <w:sz w:val="22"/>
          <w:szCs w:val="22"/>
        </w:rPr>
        <w:t xml:space="preserve">crore during </w:t>
      </w:r>
      <w:r>
        <w:rPr>
          <w:rFonts w:ascii="Palatino Linotype" w:hAnsi="Palatino Linotype" w:cs="Arial"/>
          <w:bCs/>
          <w:sz w:val="22"/>
          <w:szCs w:val="22"/>
        </w:rPr>
        <w:t>June 2021.</w:t>
      </w:r>
    </w:p>
    <w:p w14:paraId="06890EA7" w14:textId="77777777" w:rsidR="00F418DA" w:rsidRPr="009803F8" w:rsidRDefault="00F418DA" w:rsidP="00F418DA">
      <w:pPr>
        <w:pStyle w:val="ListParagraph"/>
        <w:numPr>
          <w:ilvl w:val="0"/>
          <w:numId w:val="13"/>
        </w:numPr>
        <w:spacing w:after="0" w:line="240" w:lineRule="auto"/>
        <w:ind w:left="567" w:hanging="526"/>
        <w:jc w:val="both"/>
        <w:rPr>
          <w:rFonts w:ascii="Palatino Linotype" w:hAnsi="Palatino Linotype" w:cs="Arial"/>
          <w:bCs/>
          <w:sz w:val="22"/>
          <w:szCs w:val="22"/>
        </w:rPr>
      </w:pPr>
      <w:r w:rsidRPr="009803F8">
        <w:rPr>
          <w:rFonts w:ascii="Palatino Linotype" w:hAnsi="Palatino Linotype" w:cs="Arial"/>
          <w:bCs/>
          <w:sz w:val="22"/>
          <w:szCs w:val="22"/>
        </w:rPr>
        <w:t xml:space="preserve">The total turnover at NSE decreased by 3.2 per cent to </w:t>
      </w:r>
      <w:r w:rsidRPr="009803F8">
        <w:rPr>
          <w:rFonts w:ascii="Times New Roman" w:hAnsi="Times New Roman"/>
          <w:bCs/>
          <w:sz w:val="22"/>
          <w:szCs w:val="22"/>
        </w:rPr>
        <w:t>₹</w:t>
      </w:r>
      <w:r w:rsidRPr="009803F8">
        <w:rPr>
          <w:rFonts w:ascii="Palatino Linotype" w:hAnsi="Palatino Linotype" w:cs="Arial"/>
          <w:bCs/>
          <w:sz w:val="22"/>
          <w:szCs w:val="22"/>
        </w:rPr>
        <w:t>1</w:t>
      </w:r>
      <w:r>
        <w:rPr>
          <w:rFonts w:ascii="Palatino Linotype" w:hAnsi="Palatino Linotype" w:cs="Arial"/>
          <w:bCs/>
          <w:sz w:val="22"/>
          <w:szCs w:val="22"/>
        </w:rPr>
        <w:t>,</w:t>
      </w:r>
      <w:r w:rsidRPr="009803F8">
        <w:rPr>
          <w:rFonts w:ascii="Palatino Linotype" w:hAnsi="Palatino Linotype" w:cs="Arial"/>
          <w:bCs/>
          <w:sz w:val="22"/>
          <w:szCs w:val="22"/>
        </w:rPr>
        <w:t xml:space="preserve">122.4 crore in June 2021 on account of decrease in turnover in </w:t>
      </w:r>
      <w:r>
        <w:rPr>
          <w:rFonts w:ascii="Palatino Linotype" w:hAnsi="Palatino Linotype" w:cs="Arial"/>
          <w:bCs/>
          <w:sz w:val="22"/>
          <w:szCs w:val="22"/>
        </w:rPr>
        <w:t>bullion segment (especially on Gold Mini options)</w:t>
      </w:r>
      <w:r w:rsidRPr="009803F8">
        <w:rPr>
          <w:rFonts w:ascii="Palatino Linotype" w:hAnsi="Palatino Linotype" w:cs="Arial"/>
          <w:bCs/>
          <w:sz w:val="22"/>
          <w:szCs w:val="22"/>
        </w:rPr>
        <w:t xml:space="preserve">. The futures </w:t>
      </w:r>
      <w:r>
        <w:rPr>
          <w:rFonts w:ascii="Palatino Linotype" w:hAnsi="Palatino Linotype" w:cs="Arial"/>
          <w:bCs/>
          <w:sz w:val="22"/>
          <w:szCs w:val="22"/>
        </w:rPr>
        <w:t xml:space="preserve">on </w:t>
      </w:r>
      <w:r w:rsidRPr="009803F8">
        <w:rPr>
          <w:rFonts w:ascii="Palatino Linotype" w:hAnsi="Palatino Linotype" w:cs="Arial"/>
          <w:bCs/>
          <w:sz w:val="22"/>
          <w:szCs w:val="22"/>
        </w:rPr>
        <w:t xml:space="preserve">crude degummed soybean oil and gold </w:t>
      </w:r>
      <w:r>
        <w:rPr>
          <w:rFonts w:ascii="Palatino Linotype" w:hAnsi="Palatino Linotype" w:cs="Arial"/>
          <w:bCs/>
          <w:sz w:val="22"/>
          <w:szCs w:val="22"/>
        </w:rPr>
        <w:t>mini options</w:t>
      </w:r>
      <w:r w:rsidRPr="009803F8">
        <w:rPr>
          <w:rFonts w:ascii="Palatino Linotype" w:hAnsi="Palatino Linotype" w:cs="Arial"/>
          <w:bCs/>
          <w:sz w:val="22"/>
          <w:szCs w:val="22"/>
        </w:rPr>
        <w:t xml:space="preserve"> contract contributed 3</w:t>
      </w:r>
      <w:r>
        <w:rPr>
          <w:rFonts w:ascii="Palatino Linotype" w:hAnsi="Palatino Linotype" w:cs="Arial"/>
          <w:bCs/>
          <w:sz w:val="22"/>
          <w:szCs w:val="22"/>
        </w:rPr>
        <w:t>7.0</w:t>
      </w:r>
      <w:r w:rsidRPr="009803F8">
        <w:rPr>
          <w:rFonts w:ascii="Palatino Linotype" w:hAnsi="Palatino Linotype" w:cs="Arial"/>
          <w:bCs/>
          <w:sz w:val="22"/>
          <w:szCs w:val="22"/>
        </w:rPr>
        <w:t xml:space="preserve"> per cent and </w:t>
      </w:r>
      <w:r>
        <w:rPr>
          <w:rFonts w:ascii="Palatino Linotype" w:hAnsi="Palatino Linotype" w:cs="Arial"/>
          <w:bCs/>
          <w:sz w:val="22"/>
          <w:szCs w:val="22"/>
        </w:rPr>
        <w:t>62.3</w:t>
      </w:r>
      <w:r w:rsidRPr="009803F8">
        <w:rPr>
          <w:rFonts w:ascii="Palatino Linotype" w:hAnsi="Palatino Linotype" w:cs="Arial"/>
          <w:bCs/>
          <w:sz w:val="22"/>
          <w:szCs w:val="22"/>
        </w:rPr>
        <w:t xml:space="preserve"> per cent to the total turnover at NSE.</w:t>
      </w:r>
    </w:p>
    <w:p w14:paraId="5303BE29" w14:textId="77777777" w:rsidR="00F418DA" w:rsidRPr="009803F8" w:rsidRDefault="00F418DA" w:rsidP="00F418DA">
      <w:pPr>
        <w:pStyle w:val="ListParagraph"/>
        <w:numPr>
          <w:ilvl w:val="0"/>
          <w:numId w:val="13"/>
        </w:numPr>
        <w:spacing w:after="0" w:line="240" w:lineRule="auto"/>
        <w:ind w:left="567" w:hanging="526"/>
        <w:jc w:val="both"/>
        <w:rPr>
          <w:rFonts w:ascii="Palatino Linotype" w:hAnsi="Palatino Linotype" w:cs="Arial"/>
          <w:bCs/>
          <w:sz w:val="22"/>
          <w:szCs w:val="22"/>
        </w:rPr>
      </w:pPr>
      <w:r>
        <w:rPr>
          <w:rFonts w:ascii="Palatino Linotype" w:hAnsi="Palatino Linotype" w:cs="Arial"/>
          <w:bCs/>
          <w:sz w:val="22"/>
          <w:szCs w:val="22"/>
        </w:rPr>
        <w:t>T</w:t>
      </w:r>
      <w:r w:rsidRPr="009803F8">
        <w:rPr>
          <w:rFonts w:ascii="Palatino Linotype" w:hAnsi="Palatino Linotype" w:cs="Arial"/>
          <w:bCs/>
          <w:sz w:val="22"/>
          <w:szCs w:val="22"/>
        </w:rPr>
        <w:t xml:space="preserve">he total turnover at ICEX increased by 17.4 per cent to </w:t>
      </w:r>
      <w:r w:rsidRPr="009803F8">
        <w:rPr>
          <w:rFonts w:ascii="Times New Roman" w:hAnsi="Times New Roman"/>
          <w:bCs/>
          <w:sz w:val="22"/>
          <w:szCs w:val="22"/>
        </w:rPr>
        <w:t>₹26.4</w:t>
      </w:r>
      <w:r w:rsidRPr="009803F8">
        <w:rPr>
          <w:rFonts w:ascii="Palatino Linotype" w:hAnsi="Palatino Linotype" w:cs="Arial"/>
          <w:bCs/>
          <w:sz w:val="22"/>
          <w:szCs w:val="22"/>
        </w:rPr>
        <w:t xml:space="preserve"> crore due to increase in turnover of steel long and agri. contracts by 19.7 per cent and 5.5 per cent respectively. </w:t>
      </w:r>
    </w:p>
    <w:p w14:paraId="51A30C27" w14:textId="77777777" w:rsidR="00F418DA" w:rsidRPr="00C52736" w:rsidRDefault="00F418DA" w:rsidP="00F418DA">
      <w:pPr>
        <w:pStyle w:val="ListParagraph"/>
        <w:numPr>
          <w:ilvl w:val="0"/>
          <w:numId w:val="13"/>
        </w:numPr>
        <w:spacing w:after="0" w:line="240" w:lineRule="auto"/>
        <w:ind w:left="567" w:hanging="526"/>
        <w:jc w:val="both"/>
        <w:rPr>
          <w:rFonts w:ascii="Palatino Linotype" w:hAnsi="Palatino Linotype" w:cs="Arial"/>
          <w:bCs/>
          <w:sz w:val="22"/>
          <w:szCs w:val="22"/>
        </w:rPr>
      </w:pPr>
      <w:r w:rsidRPr="009803F8">
        <w:rPr>
          <w:rFonts w:ascii="Palatino Linotype" w:hAnsi="Palatino Linotype" w:cs="Arial"/>
          <w:bCs/>
          <w:sz w:val="22"/>
          <w:szCs w:val="22"/>
        </w:rPr>
        <w:t xml:space="preserve">The trends in turnover of agricultural and non-agricultural commodities at exchanges is shown in Figures 15, 16 and 17 and the details are given in </w:t>
      </w:r>
      <w:r w:rsidRPr="00FF2B41">
        <w:rPr>
          <w:rFonts w:ascii="Palatino Linotype" w:eastAsia="Times New Roman" w:hAnsi="Palatino Linotype"/>
          <w:color w:val="000000"/>
          <w:sz w:val="22"/>
          <w:szCs w:val="22"/>
        </w:rPr>
        <w:t>Tables</w:t>
      </w:r>
      <w:r w:rsidRPr="009803F8">
        <w:rPr>
          <w:rFonts w:ascii="Palatino Linotype" w:hAnsi="Palatino Linotype" w:cs="Arial"/>
          <w:bCs/>
          <w:sz w:val="22"/>
          <w:szCs w:val="22"/>
        </w:rPr>
        <w:t xml:space="preserve"> 65 to 69.</w:t>
      </w:r>
    </w:p>
    <w:p w14:paraId="7716052A" w14:textId="77777777" w:rsidR="00F418DA" w:rsidRDefault="00F418DA" w:rsidP="00F418DA">
      <w:pPr>
        <w:rPr>
          <w:rFonts w:ascii="Palatino Linotype" w:hAnsi="Palatino Linotype" w:cs="Arial"/>
          <w:b/>
          <w:bCs/>
        </w:rPr>
      </w:pPr>
    </w:p>
    <w:p w14:paraId="22D103A9" w14:textId="77777777" w:rsidR="00F418DA" w:rsidRPr="009803F8" w:rsidRDefault="00F418DA" w:rsidP="00F418DA">
      <w:pPr>
        <w:pStyle w:val="ListParagraph"/>
        <w:spacing w:after="0" w:line="240" w:lineRule="auto"/>
        <w:jc w:val="center"/>
        <w:rPr>
          <w:rFonts w:ascii="Palatino Linotype" w:hAnsi="Palatino Linotype" w:cs="Arial"/>
          <w:b/>
          <w:bCs/>
          <w:sz w:val="22"/>
          <w:szCs w:val="22"/>
        </w:rPr>
      </w:pPr>
      <w:r w:rsidRPr="009803F8">
        <w:rPr>
          <w:rFonts w:ascii="Palatino Linotype" w:hAnsi="Palatino Linotype" w:cs="Arial"/>
          <w:b/>
          <w:bCs/>
          <w:sz w:val="22"/>
          <w:szCs w:val="22"/>
        </w:rPr>
        <w:t xml:space="preserve">Figure 15: Trends in Turnover of Agricultural Commodity Derivatives </w:t>
      </w:r>
    </w:p>
    <w:p w14:paraId="47863759" w14:textId="77777777" w:rsidR="00F418DA" w:rsidRPr="009803F8" w:rsidRDefault="00F418DA" w:rsidP="00F418DA">
      <w:pPr>
        <w:pStyle w:val="ListParagraph"/>
        <w:spacing w:after="0" w:line="240" w:lineRule="auto"/>
        <w:ind w:left="0"/>
        <w:rPr>
          <w:rFonts w:ascii="Palatino Linotype" w:hAnsi="Palatino Linotype" w:cs="Arial"/>
          <w:b/>
          <w:bCs/>
          <w:sz w:val="22"/>
          <w:szCs w:val="22"/>
        </w:rPr>
      </w:pPr>
    </w:p>
    <w:p w14:paraId="030619B8" w14:textId="77777777" w:rsidR="00F418DA" w:rsidRPr="009803F8" w:rsidRDefault="00F418DA" w:rsidP="00F418DA">
      <w:pPr>
        <w:pStyle w:val="ListParagraph"/>
        <w:spacing w:after="0" w:line="240" w:lineRule="auto"/>
        <w:ind w:hanging="578"/>
        <w:jc w:val="center"/>
        <w:rPr>
          <w:rFonts w:ascii="Palatino Linotype" w:hAnsi="Palatino Linotype"/>
          <w:b/>
          <w:color w:val="0D0D0D"/>
          <w:sz w:val="18"/>
          <w:szCs w:val="18"/>
        </w:rPr>
      </w:pPr>
      <w:r w:rsidRPr="00623E5F">
        <w:rPr>
          <w:noProof/>
          <w:lang w:val="en-IN" w:eastAsia="en-IN" w:bidi="hi-IN"/>
        </w:rPr>
        <w:drawing>
          <wp:inline distT="0" distB="0" distL="0" distR="0" wp14:anchorId="30A29EEE" wp14:editId="69B7CDFA">
            <wp:extent cx="5730240" cy="3022600"/>
            <wp:effectExtent l="0" t="0" r="3810" b="6350"/>
            <wp:docPr id="19"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C1546CB" w14:textId="77777777" w:rsidR="00F418DA" w:rsidRDefault="00F418DA" w:rsidP="00F418DA">
      <w:pPr>
        <w:rPr>
          <w:rFonts w:ascii="Palatino Linotype" w:hAnsi="Palatino Linotype"/>
          <w:b/>
          <w:color w:val="0D0D0D"/>
          <w:sz w:val="18"/>
          <w:szCs w:val="18"/>
        </w:rPr>
      </w:pPr>
    </w:p>
    <w:p w14:paraId="77498DE5" w14:textId="77777777" w:rsidR="00F418DA" w:rsidRPr="009803F8" w:rsidRDefault="00F418DA" w:rsidP="00F418DA">
      <w:pPr>
        <w:rPr>
          <w:rFonts w:ascii="Palatino Linotype" w:hAnsi="Palatino Linotype"/>
          <w:b/>
          <w:color w:val="0D0D0D"/>
          <w:sz w:val="18"/>
          <w:szCs w:val="18"/>
        </w:rPr>
      </w:pPr>
      <w:r w:rsidRPr="009803F8">
        <w:rPr>
          <w:rFonts w:ascii="Palatino Linotype" w:hAnsi="Palatino Linotype"/>
          <w:b/>
          <w:color w:val="0D0D0D"/>
          <w:sz w:val="18"/>
          <w:szCs w:val="18"/>
        </w:rPr>
        <w:t>Source: MCX, NCDEX, NSE, BSE &amp; ICEX</w:t>
      </w:r>
    </w:p>
    <w:p w14:paraId="5BD58B37" w14:textId="77777777" w:rsidR="00F418DA" w:rsidRDefault="00F418DA" w:rsidP="00F418DA">
      <w:pPr>
        <w:pStyle w:val="ListParagraph"/>
        <w:spacing w:after="0" w:line="240" w:lineRule="auto"/>
        <w:ind w:left="426" w:hanging="862"/>
        <w:jc w:val="center"/>
        <w:rPr>
          <w:rFonts w:ascii="Palatino Linotype" w:hAnsi="Palatino Linotype"/>
          <w:b/>
          <w:sz w:val="22"/>
          <w:szCs w:val="22"/>
        </w:rPr>
      </w:pPr>
    </w:p>
    <w:p w14:paraId="2A4AB518" w14:textId="77777777" w:rsidR="00F418DA" w:rsidRDefault="00F418DA" w:rsidP="00F418DA">
      <w:pPr>
        <w:pStyle w:val="ListParagraph"/>
        <w:spacing w:after="0" w:line="240" w:lineRule="auto"/>
        <w:ind w:left="426" w:hanging="862"/>
        <w:jc w:val="center"/>
        <w:rPr>
          <w:rFonts w:ascii="Palatino Linotype" w:hAnsi="Palatino Linotype"/>
          <w:b/>
          <w:sz w:val="22"/>
          <w:szCs w:val="22"/>
        </w:rPr>
      </w:pPr>
    </w:p>
    <w:p w14:paraId="0F1213B7" w14:textId="77777777" w:rsidR="00F418DA" w:rsidRDefault="00F418DA" w:rsidP="00F418DA">
      <w:pPr>
        <w:pStyle w:val="ListParagraph"/>
        <w:spacing w:after="0" w:line="240" w:lineRule="auto"/>
        <w:ind w:left="426" w:hanging="862"/>
        <w:jc w:val="center"/>
        <w:rPr>
          <w:rFonts w:ascii="Palatino Linotype" w:hAnsi="Palatino Linotype"/>
          <w:b/>
          <w:sz w:val="22"/>
          <w:szCs w:val="22"/>
        </w:rPr>
      </w:pPr>
    </w:p>
    <w:p w14:paraId="438B1D96" w14:textId="77777777" w:rsidR="00F418DA" w:rsidRDefault="00F418DA" w:rsidP="00F418DA">
      <w:pPr>
        <w:pStyle w:val="ListParagraph"/>
        <w:spacing w:after="0" w:line="240" w:lineRule="auto"/>
        <w:ind w:left="426" w:hanging="862"/>
        <w:jc w:val="center"/>
        <w:rPr>
          <w:rFonts w:ascii="Palatino Linotype" w:hAnsi="Palatino Linotype"/>
          <w:b/>
          <w:sz w:val="22"/>
          <w:szCs w:val="22"/>
        </w:rPr>
      </w:pPr>
    </w:p>
    <w:p w14:paraId="4AFACF9E" w14:textId="77777777" w:rsidR="00F418DA" w:rsidRDefault="00F418DA" w:rsidP="00F418DA">
      <w:pPr>
        <w:pStyle w:val="ListParagraph"/>
        <w:spacing w:after="0" w:line="240" w:lineRule="auto"/>
        <w:ind w:left="426" w:hanging="862"/>
        <w:jc w:val="center"/>
        <w:rPr>
          <w:rFonts w:ascii="Palatino Linotype" w:hAnsi="Palatino Linotype"/>
          <w:b/>
          <w:sz w:val="22"/>
          <w:szCs w:val="22"/>
        </w:rPr>
      </w:pPr>
    </w:p>
    <w:p w14:paraId="12FBCF38" w14:textId="77777777" w:rsidR="00F418DA" w:rsidRDefault="00F418DA" w:rsidP="00F418DA">
      <w:pPr>
        <w:pStyle w:val="ListParagraph"/>
        <w:spacing w:after="0" w:line="240" w:lineRule="auto"/>
        <w:ind w:left="426" w:hanging="862"/>
        <w:jc w:val="center"/>
        <w:rPr>
          <w:rFonts w:ascii="Palatino Linotype" w:hAnsi="Palatino Linotype"/>
          <w:b/>
          <w:sz w:val="22"/>
          <w:szCs w:val="22"/>
        </w:rPr>
      </w:pPr>
    </w:p>
    <w:p w14:paraId="6149639E" w14:textId="77777777" w:rsidR="00F418DA" w:rsidRDefault="00F418DA" w:rsidP="00F418DA">
      <w:pPr>
        <w:pStyle w:val="ListParagraph"/>
        <w:spacing w:after="0" w:line="240" w:lineRule="auto"/>
        <w:ind w:left="426" w:hanging="862"/>
        <w:jc w:val="center"/>
        <w:rPr>
          <w:rFonts w:ascii="Palatino Linotype" w:hAnsi="Palatino Linotype"/>
          <w:b/>
          <w:sz w:val="22"/>
          <w:szCs w:val="22"/>
        </w:rPr>
      </w:pPr>
    </w:p>
    <w:p w14:paraId="577FA127" w14:textId="77777777" w:rsidR="00F418DA" w:rsidRDefault="00F418DA" w:rsidP="00F418DA">
      <w:pPr>
        <w:pStyle w:val="ListParagraph"/>
        <w:spacing w:after="0" w:line="240" w:lineRule="auto"/>
        <w:ind w:left="426" w:hanging="862"/>
        <w:jc w:val="center"/>
        <w:rPr>
          <w:rFonts w:ascii="Palatino Linotype" w:hAnsi="Palatino Linotype"/>
          <w:b/>
          <w:sz w:val="22"/>
          <w:szCs w:val="22"/>
        </w:rPr>
      </w:pPr>
    </w:p>
    <w:p w14:paraId="56563F91" w14:textId="77777777" w:rsidR="00F418DA" w:rsidRPr="009803F8" w:rsidRDefault="00F418DA" w:rsidP="00F418DA">
      <w:pPr>
        <w:pStyle w:val="ListParagraph"/>
        <w:spacing w:after="0" w:line="240" w:lineRule="auto"/>
        <w:ind w:left="426" w:hanging="862"/>
        <w:jc w:val="center"/>
        <w:rPr>
          <w:rFonts w:ascii="Palatino Linotype" w:hAnsi="Palatino Linotype"/>
          <w:b/>
          <w:sz w:val="22"/>
          <w:szCs w:val="22"/>
        </w:rPr>
      </w:pPr>
      <w:r w:rsidRPr="009803F8">
        <w:rPr>
          <w:rFonts w:ascii="Palatino Linotype" w:hAnsi="Palatino Linotype"/>
          <w:b/>
          <w:sz w:val="22"/>
          <w:szCs w:val="22"/>
        </w:rPr>
        <w:lastRenderedPageBreak/>
        <w:t xml:space="preserve"> </w:t>
      </w:r>
    </w:p>
    <w:p w14:paraId="45D174D1" w14:textId="77777777" w:rsidR="00F418DA" w:rsidRPr="009803F8" w:rsidRDefault="00F418DA" w:rsidP="00F418DA">
      <w:pPr>
        <w:pStyle w:val="ListParagraph"/>
        <w:spacing w:after="0" w:line="240" w:lineRule="auto"/>
        <w:ind w:left="426" w:hanging="862"/>
        <w:jc w:val="center"/>
        <w:rPr>
          <w:rFonts w:ascii="Palatino Linotype" w:hAnsi="Palatino Linotype"/>
          <w:b/>
          <w:sz w:val="22"/>
          <w:szCs w:val="22"/>
        </w:rPr>
      </w:pPr>
      <w:r w:rsidRPr="009803F8">
        <w:rPr>
          <w:rFonts w:ascii="Palatino Linotype" w:hAnsi="Palatino Linotype"/>
          <w:b/>
          <w:sz w:val="22"/>
          <w:szCs w:val="22"/>
        </w:rPr>
        <w:t xml:space="preserve">  Figure 16: Trends in Turnover of Non-Agricultural Futures contracts </w:t>
      </w:r>
    </w:p>
    <w:p w14:paraId="0F7B5949" w14:textId="77777777" w:rsidR="00F418DA" w:rsidRPr="009803F8" w:rsidRDefault="00F418DA" w:rsidP="00F418DA">
      <w:pPr>
        <w:pStyle w:val="ListParagraph"/>
        <w:spacing w:after="0" w:line="240" w:lineRule="auto"/>
        <w:ind w:left="426" w:hanging="862"/>
        <w:jc w:val="center"/>
        <w:rPr>
          <w:rFonts w:ascii="Palatino Linotype" w:hAnsi="Palatino Linotype"/>
          <w:b/>
          <w:sz w:val="22"/>
          <w:szCs w:val="22"/>
        </w:rPr>
      </w:pPr>
      <w:r w:rsidRPr="00623E5F">
        <w:rPr>
          <w:noProof/>
          <w:lang w:val="en-IN" w:eastAsia="en-IN" w:bidi="hi-IN"/>
        </w:rPr>
        <w:drawing>
          <wp:inline distT="0" distB="0" distL="0" distR="0" wp14:anchorId="4B65CE88" wp14:editId="1BB101AA">
            <wp:extent cx="5730240" cy="3230245"/>
            <wp:effectExtent l="0" t="0" r="3810" b="8255"/>
            <wp:docPr id="18"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A1CF374" w14:textId="77777777" w:rsidR="00F418DA" w:rsidRPr="009803F8" w:rsidRDefault="00F418DA" w:rsidP="00F418DA">
      <w:pPr>
        <w:pStyle w:val="ListParagraph"/>
        <w:spacing w:after="0" w:line="240" w:lineRule="auto"/>
        <w:ind w:left="426" w:hanging="862"/>
        <w:jc w:val="center"/>
        <w:rPr>
          <w:rFonts w:ascii="Palatino Linotype" w:hAnsi="Palatino Linotype"/>
          <w:b/>
          <w:sz w:val="22"/>
          <w:szCs w:val="22"/>
        </w:rPr>
      </w:pPr>
    </w:p>
    <w:p w14:paraId="13B469E2" w14:textId="77777777" w:rsidR="00F418DA" w:rsidRPr="009803F8" w:rsidRDefault="00F418DA" w:rsidP="00F418DA">
      <w:pPr>
        <w:spacing w:line="259" w:lineRule="auto"/>
        <w:rPr>
          <w:rFonts w:ascii="Palatino Linotype" w:hAnsi="Palatino Linotype" w:cs="Arial"/>
          <w:bCs/>
        </w:rPr>
      </w:pPr>
      <w:r w:rsidRPr="009803F8">
        <w:rPr>
          <w:rFonts w:ascii="Palatino Linotype" w:hAnsi="Palatino Linotype"/>
          <w:b/>
          <w:color w:val="0D0D0D"/>
          <w:sz w:val="18"/>
          <w:szCs w:val="18"/>
        </w:rPr>
        <w:t>Source: MCX, NCDEX, NSE, BSE &amp; ICEX.</w:t>
      </w:r>
      <w:r w:rsidRPr="009803F8">
        <w:rPr>
          <w:rFonts w:ascii="Palatino Linotype" w:hAnsi="Palatino Linotype" w:cs="Arial"/>
          <w:bCs/>
        </w:rPr>
        <w:t xml:space="preserve"> </w:t>
      </w:r>
    </w:p>
    <w:p w14:paraId="0B4EB42F" w14:textId="77777777" w:rsidR="00F418DA" w:rsidRPr="009803F8" w:rsidRDefault="00F418DA" w:rsidP="00F418DA">
      <w:pPr>
        <w:pStyle w:val="ListParagraph"/>
        <w:spacing w:after="0" w:line="240" w:lineRule="auto"/>
        <w:ind w:left="-284" w:hanging="152"/>
        <w:jc w:val="center"/>
        <w:rPr>
          <w:rFonts w:ascii="Palatino Linotype" w:hAnsi="Palatino Linotype"/>
          <w:b/>
          <w:sz w:val="22"/>
          <w:szCs w:val="22"/>
        </w:rPr>
      </w:pPr>
    </w:p>
    <w:p w14:paraId="65632193" w14:textId="77777777" w:rsidR="00F418DA" w:rsidRDefault="00F418DA" w:rsidP="00F418DA">
      <w:pPr>
        <w:pStyle w:val="ListParagraph"/>
        <w:spacing w:after="0" w:line="240" w:lineRule="auto"/>
        <w:ind w:left="-284" w:hanging="152"/>
        <w:jc w:val="center"/>
        <w:rPr>
          <w:rFonts w:ascii="Palatino Linotype" w:hAnsi="Palatino Linotype"/>
          <w:b/>
          <w:sz w:val="22"/>
          <w:szCs w:val="22"/>
        </w:rPr>
      </w:pPr>
    </w:p>
    <w:p w14:paraId="270BEE94" w14:textId="77777777" w:rsidR="00F418DA" w:rsidRDefault="00F418DA" w:rsidP="00F418DA">
      <w:pPr>
        <w:pStyle w:val="ListParagraph"/>
        <w:spacing w:after="0" w:line="240" w:lineRule="auto"/>
        <w:ind w:left="-284" w:hanging="152"/>
        <w:jc w:val="center"/>
        <w:rPr>
          <w:rFonts w:ascii="Palatino Linotype" w:hAnsi="Palatino Linotype"/>
          <w:b/>
          <w:sz w:val="22"/>
          <w:szCs w:val="22"/>
        </w:rPr>
      </w:pPr>
    </w:p>
    <w:p w14:paraId="0FCC6601" w14:textId="77777777" w:rsidR="00F418DA" w:rsidRDefault="00F418DA" w:rsidP="00F418DA">
      <w:pPr>
        <w:pStyle w:val="ListParagraph"/>
        <w:spacing w:after="0" w:line="240" w:lineRule="auto"/>
        <w:ind w:left="-284" w:hanging="152"/>
        <w:jc w:val="center"/>
        <w:rPr>
          <w:rFonts w:ascii="Palatino Linotype" w:hAnsi="Palatino Linotype"/>
          <w:b/>
          <w:sz w:val="22"/>
          <w:szCs w:val="22"/>
        </w:rPr>
      </w:pPr>
    </w:p>
    <w:p w14:paraId="2F71FDB8" w14:textId="77777777" w:rsidR="00F418DA" w:rsidRPr="009803F8" w:rsidRDefault="00F418DA" w:rsidP="00F418DA">
      <w:pPr>
        <w:pStyle w:val="ListParagraph"/>
        <w:spacing w:after="0" w:line="240" w:lineRule="auto"/>
        <w:ind w:left="-284" w:hanging="152"/>
        <w:rPr>
          <w:rFonts w:ascii="Palatino Linotype" w:hAnsi="Palatino Linotype"/>
          <w:b/>
          <w:sz w:val="22"/>
          <w:szCs w:val="22"/>
        </w:rPr>
      </w:pPr>
    </w:p>
    <w:p w14:paraId="431F4F04" w14:textId="77777777" w:rsidR="00F418DA" w:rsidRPr="009803F8" w:rsidRDefault="00F418DA" w:rsidP="00F418DA">
      <w:pPr>
        <w:pStyle w:val="ListParagraph"/>
        <w:spacing w:after="0" w:line="240" w:lineRule="auto"/>
        <w:ind w:left="-284" w:hanging="152"/>
        <w:jc w:val="center"/>
        <w:rPr>
          <w:rFonts w:ascii="Palatino Linotype" w:hAnsi="Palatino Linotype"/>
          <w:b/>
          <w:sz w:val="22"/>
          <w:szCs w:val="22"/>
        </w:rPr>
      </w:pPr>
    </w:p>
    <w:p w14:paraId="232717C2" w14:textId="77777777" w:rsidR="00F418DA" w:rsidRPr="009803F8" w:rsidRDefault="00F418DA" w:rsidP="00F418DA">
      <w:pPr>
        <w:pStyle w:val="ListParagraph"/>
        <w:spacing w:after="0" w:line="240" w:lineRule="auto"/>
        <w:ind w:left="-284" w:hanging="152"/>
        <w:jc w:val="center"/>
        <w:rPr>
          <w:rFonts w:ascii="Palatino Linotype" w:hAnsi="Palatino Linotype"/>
          <w:b/>
          <w:sz w:val="22"/>
          <w:szCs w:val="22"/>
        </w:rPr>
      </w:pPr>
      <w:r w:rsidRPr="009803F8">
        <w:rPr>
          <w:rFonts w:ascii="Palatino Linotype" w:hAnsi="Palatino Linotype"/>
          <w:b/>
          <w:sz w:val="22"/>
          <w:szCs w:val="22"/>
        </w:rPr>
        <w:t xml:space="preserve">Figure 17: Trends in Turnover of Non-Agricultural Options contracts </w:t>
      </w:r>
    </w:p>
    <w:p w14:paraId="2DC73602" w14:textId="77777777" w:rsidR="00F418DA" w:rsidRPr="009803F8" w:rsidRDefault="00F418DA" w:rsidP="00F418DA">
      <w:pPr>
        <w:pStyle w:val="ListParagraph"/>
        <w:spacing w:after="0" w:line="240" w:lineRule="auto"/>
        <w:ind w:left="0"/>
        <w:rPr>
          <w:rFonts w:ascii="Palatino Linotype" w:hAnsi="Palatino Linotype"/>
          <w:b/>
          <w:sz w:val="22"/>
          <w:szCs w:val="22"/>
        </w:rPr>
      </w:pPr>
      <w:r w:rsidRPr="00173749">
        <w:rPr>
          <w:noProof/>
          <w:lang w:val="en-IN" w:eastAsia="en-IN" w:bidi="hi-IN"/>
        </w:rPr>
        <w:drawing>
          <wp:inline distT="0" distB="0" distL="0" distR="0" wp14:anchorId="70998A75" wp14:editId="4D619115">
            <wp:extent cx="5485765" cy="3397250"/>
            <wp:effectExtent l="0" t="0" r="635" b="12700"/>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E6FBDF9" w14:textId="77777777" w:rsidR="00F418DA" w:rsidRPr="009803F8" w:rsidRDefault="00F418DA" w:rsidP="00F418DA">
      <w:pPr>
        <w:pStyle w:val="ListParagraph"/>
        <w:spacing w:after="0" w:line="240" w:lineRule="auto"/>
        <w:ind w:left="-284" w:hanging="152"/>
        <w:jc w:val="center"/>
        <w:rPr>
          <w:rFonts w:ascii="Palatino Linotype" w:hAnsi="Palatino Linotype"/>
          <w:b/>
          <w:sz w:val="22"/>
          <w:szCs w:val="22"/>
        </w:rPr>
      </w:pPr>
    </w:p>
    <w:p w14:paraId="2FD7CBBB" w14:textId="77777777" w:rsidR="00F418DA" w:rsidRDefault="00F418DA" w:rsidP="00F418DA">
      <w:pPr>
        <w:spacing w:line="259" w:lineRule="auto"/>
        <w:rPr>
          <w:rFonts w:ascii="Palatino Linotype" w:hAnsi="Palatino Linotype" w:cs="Arial"/>
          <w:bCs/>
        </w:rPr>
      </w:pPr>
      <w:r w:rsidRPr="009803F8">
        <w:rPr>
          <w:rFonts w:ascii="Palatino Linotype" w:hAnsi="Palatino Linotype"/>
          <w:b/>
          <w:color w:val="0D0D0D"/>
          <w:sz w:val="18"/>
          <w:szCs w:val="18"/>
        </w:rPr>
        <w:t>Source: MCX, BSE &amp; NSE.</w:t>
      </w:r>
      <w:r>
        <w:rPr>
          <w:rFonts w:ascii="Palatino Linotype" w:hAnsi="Palatino Linotype" w:cs="Arial"/>
          <w:bCs/>
        </w:rPr>
        <w:t xml:space="preserve">                                        </w:t>
      </w:r>
    </w:p>
    <w:p w14:paraId="04AF8959" w14:textId="77777777" w:rsidR="0086339A" w:rsidRDefault="0086339A" w:rsidP="00E344DD">
      <w:pPr>
        <w:spacing w:line="259" w:lineRule="auto"/>
        <w:rPr>
          <w:rFonts w:ascii="Palatino Linotype" w:hAnsi="Palatino Linotype" w:cs="Arial"/>
          <w:bCs/>
        </w:rPr>
      </w:pPr>
    </w:p>
    <w:p w14:paraId="5D34C896" w14:textId="77777777" w:rsidR="00E344DD" w:rsidRDefault="00E344DD" w:rsidP="00E344DD">
      <w:pPr>
        <w:spacing w:line="259" w:lineRule="auto"/>
        <w:rPr>
          <w:rFonts w:ascii="Palatino Linotype" w:hAnsi="Palatino Linotype" w:cs="Arial"/>
          <w:bCs/>
        </w:rPr>
      </w:pPr>
      <w:r>
        <w:rPr>
          <w:rFonts w:ascii="Palatino Linotype" w:hAnsi="Palatino Linotype" w:cs="Arial"/>
          <w:bCs/>
        </w:rPr>
        <w:lastRenderedPageBreak/>
        <w:t xml:space="preserve">                                   </w:t>
      </w:r>
    </w:p>
    <w:p w14:paraId="4D00179B" w14:textId="77777777" w:rsidR="002F2984" w:rsidRDefault="002F2984" w:rsidP="00E344DD">
      <w:pPr>
        <w:spacing w:line="259" w:lineRule="auto"/>
        <w:rPr>
          <w:rFonts w:ascii="Palatino Linotype" w:hAnsi="Palatino Linotype" w:cs="Arial"/>
          <w:bCs/>
        </w:rPr>
      </w:pPr>
    </w:p>
    <w:p w14:paraId="17966B7B" w14:textId="77777777" w:rsidR="00D46528" w:rsidRPr="00D46528" w:rsidRDefault="00D46528" w:rsidP="00396049">
      <w:pPr>
        <w:keepNext/>
        <w:keepLines/>
        <w:spacing w:before="240" w:after="40"/>
        <w:contextualSpacing/>
        <w:jc w:val="center"/>
        <w:outlineLvl w:val="3"/>
        <w:rPr>
          <w:rFonts w:ascii="Palatino Linotype" w:eastAsia="Times New Roman" w:hAnsi="Palatino Linotype"/>
          <w:b/>
          <w:color w:val="000000"/>
          <w:lang w:val="en-IN" w:eastAsia="en-IN"/>
        </w:rPr>
      </w:pPr>
      <w:r w:rsidRPr="00D46528">
        <w:rPr>
          <w:rFonts w:ascii="Palatino Linotype" w:eastAsia="Times New Roman" w:hAnsi="Palatino Linotype"/>
          <w:b/>
          <w:color w:val="000000"/>
          <w:lang w:val="en-IN" w:eastAsia="en-IN"/>
        </w:rPr>
        <w:t>OVERVIEW OF THE GLOBAL FINANCIAL MARKETS</w:t>
      </w:r>
    </w:p>
    <w:p w14:paraId="00A5FCD1" w14:textId="77777777" w:rsidR="00D46528" w:rsidRPr="00D46528" w:rsidRDefault="00D46528" w:rsidP="00D46528">
      <w:pPr>
        <w:ind w:left="360"/>
        <w:contextualSpacing/>
        <w:jc w:val="both"/>
        <w:rPr>
          <w:rFonts w:ascii="Times New Roman" w:eastAsia="Times New Roman" w:hAnsi="Times New Roman"/>
          <w:sz w:val="20"/>
          <w:szCs w:val="20"/>
          <w:cs/>
          <w:lang w:val="en-US" w:eastAsia="en-GB" w:bidi="bn-IN"/>
        </w:rPr>
      </w:pPr>
    </w:p>
    <w:p w14:paraId="7AE09B10" w14:textId="77777777" w:rsidR="00D33F7C" w:rsidRPr="00930D54" w:rsidRDefault="00D33F7C" w:rsidP="00D33F7C">
      <w:pPr>
        <w:numPr>
          <w:ilvl w:val="0"/>
          <w:numId w:val="9"/>
        </w:numPr>
        <w:spacing w:before="100" w:beforeAutospacing="1" w:line="276" w:lineRule="auto"/>
        <w:ind w:right="107"/>
        <w:contextualSpacing/>
        <w:jc w:val="both"/>
        <w:rPr>
          <w:rFonts w:ascii="Palatino Linotype" w:eastAsia="Times New Roman" w:hAnsi="Palatino Linotype"/>
          <w:strike/>
          <w:sz w:val="22"/>
          <w:szCs w:val="22"/>
          <w:lang w:val="en-US"/>
        </w:rPr>
      </w:pPr>
      <w:r w:rsidRPr="00593E0E">
        <w:rPr>
          <w:rFonts w:ascii="Palatino Linotype" w:eastAsia="Times New Roman" w:hAnsi="Palatino Linotype"/>
          <w:sz w:val="22"/>
          <w:szCs w:val="22"/>
          <w:lang w:val="en-US"/>
        </w:rPr>
        <w:t xml:space="preserve">The JPMorgan Global Composite Purchasing Managers’ Index (PMI), compiled by IHS Markit, </w:t>
      </w:r>
      <w:r w:rsidRPr="00BC0641">
        <w:rPr>
          <w:rFonts w:ascii="Palatino Linotype" w:eastAsia="Times New Roman" w:hAnsi="Palatino Linotype"/>
          <w:sz w:val="22"/>
          <w:szCs w:val="22"/>
          <w:lang w:val="en-US"/>
        </w:rPr>
        <w:t>decreased</w:t>
      </w:r>
      <w:r w:rsidRPr="00593E0E">
        <w:rPr>
          <w:rFonts w:ascii="Palatino Linotype" w:eastAsia="Times New Roman" w:hAnsi="Palatino Linotype"/>
          <w:sz w:val="22"/>
          <w:szCs w:val="22"/>
          <w:lang w:val="en-US"/>
        </w:rPr>
        <w:t xml:space="preserve"> to 56.6 points in June 2021, from 58.5 in </w:t>
      </w:r>
      <w:r>
        <w:rPr>
          <w:rFonts w:ascii="Palatino Linotype" w:eastAsia="Times New Roman" w:hAnsi="Palatino Linotype"/>
          <w:sz w:val="22"/>
          <w:szCs w:val="22"/>
          <w:lang w:val="en-US"/>
        </w:rPr>
        <w:t>M</w:t>
      </w:r>
      <w:r w:rsidRPr="00593E0E">
        <w:rPr>
          <w:rFonts w:ascii="Palatino Linotype" w:eastAsia="Times New Roman" w:hAnsi="Palatino Linotype"/>
          <w:sz w:val="22"/>
          <w:szCs w:val="22"/>
          <w:lang w:val="en-US"/>
        </w:rPr>
        <w:t xml:space="preserve">ay 2021. A reading of PMI above 50 means growth or expansion in economic activity. </w:t>
      </w:r>
    </w:p>
    <w:p w14:paraId="15A9BD69" w14:textId="77777777" w:rsidR="00D33F7C" w:rsidRPr="00593E0E" w:rsidRDefault="00D33F7C" w:rsidP="00D33F7C">
      <w:pPr>
        <w:spacing w:before="100" w:beforeAutospacing="1" w:line="276" w:lineRule="auto"/>
        <w:ind w:left="360" w:right="107"/>
        <w:contextualSpacing/>
        <w:jc w:val="both"/>
        <w:rPr>
          <w:rFonts w:ascii="Palatino Linotype" w:eastAsia="Times New Roman" w:hAnsi="Palatino Linotype"/>
          <w:sz w:val="22"/>
          <w:szCs w:val="22"/>
          <w:lang w:val="en-US"/>
        </w:rPr>
      </w:pPr>
    </w:p>
    <w:p w14:paraId="2BD42942" w14:textId="77777777" w:rsidR="00D33F7C" w:rsidRPr="00593E0E" w:rsidRDefault="00D33F7C" w:rsidP="00D33F7C">
      <w:pPr>
        <w:numPr>
          <w:ilvl w:val="0"/>
          <w:numId w:val="9"/>
        </w:numPr>
        <w:spacing w:before="100" w:beforeAutospacing="1" w:line="276" w:lineRule="auto"/>
        <w:ind w:right="107"/>
        <w:contextualSpacing/>
        <w:jc w:val="both"/>
        <w:rPr>
          <w:rFonts w:ascii="Palatino Linotype" w:eastAsia="Times New Roman" w:hAnsi="Palatino Linotype"/>
          <w:sz w:val="22"/>
          <w:szCs w:val="22"/>
          <w:lang w:val="en-US"/>
        </w:rPr>
      </w:pPr>
      <w:r w:rsidRPr="00593E0E">
        <w:rPr>
          <w:rFonts w:ascii="Palatino Linotype" w:eastAsia="Times New Roman" w:hAnsi="Palatino Linotype"/>
          <w:sz w:val="22"/>
          <w:szCs w:val="22"/>
          <w:lang w:val="en-US"/>
        </w:rPr>
        <w:t xml:space="preserve">The developed markets outperformed emerging equity markets in </w:t>
      </w:r>
      <w:r>
        <w:rPr>
          <w:rFonts w:ascii="Palatino Linotype" w:eastAsia="Times New Roman" w:hAnsi="Palatino Linotype"/>
          <w:sz w:val="22"/>
          <w:szCs w:val="22"/>
          <w:lang w:val="en-US"/>
        </w:rPr>
        <w:t>June</w:t>
      </w:r>
      <w:r w:rsidRPr="00593E0E">
        <w:rPr>
          <w:rFonts w:ascii="Palatino Linotype" w:eastAsia="Times New Roman" w:hAnsi="Palatino Linotype"/>
          <w:sz w:val="22"/>
          <w:szCs w:val="22"/>
          <w:lang w:val="en-US"/>
        </w:rPr>
        <w:t xml:space="preserve"> 2021. MSCI Emerging Market (EM) index </w:t>
      </w:r>
      <w:r>
        <w:rPr>
          <w:rFonts w:ascii="Palatino Linotype" w:eastAsia="Times New Roman" w:hAnsi="Palatino Linotype"/>
          <w:sz w:val="22"/>
          <w:szCs w:val="22"/>
          <w:lang w:val="en-US"/>
        </w:rPr>
        <w:t>decreased</w:t>
      </w:r>
      <w:r w:rsidRPr="00593E0E">
        <w:rPr>
          <w:rFonts w:ascii="Palatino Linotype" w:eastAsia="Times New Roman" w:hAnsi="Palatino Linotype"/>
          <w:sz w:val="22"/>
          <w:szCs w:val="22"/>
          <w:lang w:val="en-US"/>
        </w:rPr>
        <w:t xml:space="preserve"> by </w:t>
      </w:r>
      <w:r>
        <w:rPr>
          <w:rFonts w:ascii="Palatino Linotype" w:eastAsia="Times New Roman" w:hAnsi="Palatino Linotype"/>
          <w:sz w:val="22"/>
          <w:szCs w:val="22"/>
          <w:lang w:val="en-US"/>
        </w:rPr>
        <w:t>0.1</w:t>
      </w:r>
      <w:r w:rsidRPr="00593E0E">
        <w:rPr>
          <w:rFonts w:ascii="Palatino Linotype" w:eastAsia="Times New Roman" w:hAnsi="Palatino Linotype"/>
          <w:sz w:val="22"/>
          <w:szCs w:val="22"/>
          <w:lang w:val="en-US"/>
        </w:rPr>
        <w:t xml:space="preserve"> per cent in </w:t>
      </w:r>
      <w:r>
        <w:rPr>
          <w:rFonts w:ascii="Palatino Linotype" w:eastAsia="Times New Roman" w:hAnsi="Palatino Linotype"/>
          <w:sz w:val="22"/>
          <w:szCs w:val="22"/>
          <w:lang w:val="en-US"/>
        </w:rPr>
        <w:t>June</w:t>
      </w:r>
      <w:r w:rsidRPr="00593E0E">
        <w:rPr>
          <w:rFonts w:ascii="Palatino Linotype" w:eastAsia="Times New Roman" w:hAnsi="Palatino Linotype"/>
          <w:sz w:val="22"/>
          <w:szCs w:val="22"/>
          <w:lang w:val="en-US"/>
        </w:rPr>
        <w:t xml:space="preserve"> 2021 over the previous month, while MSCI Developed Market Index increased by </w:t>
      </w:r>
      <w:r>
        <w:rPr>
          <w:rFonts w:ascii="Palatino Linotype" w:eastAsia="Times New Roman" w:hAnsi="Palatino Linotype"/>
          <w:sz w:val="22"/>
          <w:szCs w:val="22"/>
          <w:lang w:val="en-US"/>
        </w:rPr>
        <w:t>1.4</w:t>
      </w:r>
      <w:r w:rsidRPr="00593E0E">
        <w:rPr>
          <w:rFonts w:ascii="Palatino Linotype" w:eastAsia="Times New Roman" w:hAnsi="Palatino Linotype"/>
          <w:sz w:val="22"/>
          <w:szCs w:val="22"/>
          <w:lang w:val="en-US"/>
        </w:rPr>
        <w:t xml:space="preserve"> per cent during same period. </w:t>
      </w:r>
    </w:p>
    <w:p w14:paraId="053F80BA" w14:textId="77777777" w:rsidR="00D33F7C" w:rsidRPr="008B4602" w:rsidRDefault="00D33F7C" w:rsidP="00D33F7C">
      <w:pPr>
        <w:spacing w:before="100" w:beforeAutospacing="1" w:line="276" w:lineRule="auto"/>
        <w:ind w:left="360" w:right="107"/>
        <w:contextualSpacing/>
        <w:jc w:val="both"/>
        <w:rPr>
          <w:rFonts w:ascii="Palatino Linotype" w:eastAsia="Times New Roman" w:hAnsi="Palatino Linotype"/>
          <w:sz w:val="22"/>
          <w:szCs w:val="22"/>
          <w:lang w:val="en-US"/>
        </w:rPr>
      </w:pPr>
    </w:p>
    <w:p w14:paraId="703A1870" w14:textId="77777777" w:rsidR="00D33F7C" w:rsidRPr="008B4602" w:rsidRDefault="00D33F7C" w:rsidP="00D33F7C">
      <w:pPr>
        <w:numPr>
          <w:ilvl w:val="0"/>
          <w:numId w:val="9"/>
        </w:numPr>
        <w:spacing w:before="100" w:beforeAutospacing="1" w:line="276" w:lineRule="auto"/>
        <w:ind w:right="107"/>
        <w:contextualSpacing/>
        <w:jc w:val="both"/>
        <w:rPr>
          <w:rFonts w:ascii="Palatino Linotype" w:eastAsia="Times New Roman" w:hAnsi="Palatino Linotype"/>
          <w:sz w:val="22"/>
          <w:szCs w:val="22"/>
          <w:lang w:val="en-US"/>
        </w:rPr>
      </w:pPr>
      <w:r w:rsidRPr="008B4602">
        <w:rPr>
          <w:rFonts w:ascii="Palatino Linotype" w:eastAsia="Times New Roman" w:hAnsi="Palatino Linotype"/>
          <w:sz w:val="22"/>
          <w:szCs w:val="22"/>
          <w:lang w:val="en-US"/>
        </w:rPr>
        <w:t xml:space="preserve">The volatility in the equity markets decreased during </w:t>
      </w:r>
      <w:r>
        <w:rPr>
          <w:rFonts w:ascii="Palatino Linotype" w:eastAsia="Times New Roman" w:hAnsi="Palatino Linotype"/>
          <w:sz w:val="22"/>
          <w:szCs w:val="22"/>
          <w:lang w:val="en-US"/>
        </w:rPr>
        <w:t>June</w:t>
      </w:r>
      <w:r w:rsidRPr="008B4602">
        <w:rPr>
          <w:rFonts w:ascii="Palatino Linotype" w:eastAsia="Times New Roman" w:hAnsi="Palatino Linotype"/>
          <w:sz w:val="22"/>
          <w:szCs w:val="22"/>
          <w:lang w:val="en-US"/>
        </w:rPr>
        <w:t xml:space="preserve"> 2021. The CBOE VIX index decreased to</w:t>
      </w:r>
      <w:r w:rsidRPr="008B4602">
        <w:t xml:space="preserve"> </w:t>
      </w:r>
      <w:r>
        <w:rPr>
          <w:rFonts w:ascii="Palatino Linotype" w:eastAsia="Times New Roman" w:hAnsi="Palatino Linotype"/>
          <w:sz w:val="22"/>
          <w:szCs w:val="22"/>
          <w:lang w:val="en-US"/>
        </w:rPr>
        <w:t>15.8</w:t>
      </w:r>
      <w:r w:rsidRPr="008B4602">
        <w:rPr>
          <w:rFonts w:ascii="Palatino Linotype" w:eastAsia="Times New Roman" w:hAnsi="Palatino Linotype"/>
          <w:sz w:val="22"/>
          <w:szCs w:val="22"/>
          <w:lang w:val="en-US"/>
        </w:rPr>
        <w:t xml:space="preserve"> at the end of </w:t>
      </w:r>
      <w:r>
        <w:rPr>
          <w:rFonts w:ascii="Palatino Linotype" w:eastAsia="Times New Roman" w:hAnsi="Palatino Linotype"/>
          <w:sz w:val="22"/>
          <w:szCs w:val="22"/>
          <w:lang w:val="en-US"/>
        </w:rPr>
        <w:t>June</w:t>
      </w:r>
      <w:r w:rsidRPr="008B4602">
        <w:rPr>
          <w:rFonts w:ascii="Palatino Linotype" w:eastAsia="Times New Roman" w:hAnsi="Palatino Linotype"/>
          <w:sz w:val="22"/>
          <w:szCs w:val="22"/>
          <w:lang w:val="en-US"/>
        </w:rPr>
        <w:t xml:space="preserve"> 2021 from 16.</w:t>
      </w:r>
      <w:r>
        <w:rPr>
          <w:rFonts w:ascii="Palatino Linotype" w:eastAsia="Times New Roman" w:hAnsi="Palatino Linotype"/>
          <w:sz w:val="22"/>
          <w:szCs w:val="22"/>
          <w:lang w:val="en-US"/>
        </w:rPr>
        <w:t>8</w:t>
      </w:r>
      <w:r w:rsidRPr="008B4602">
        <w:rPr>
          <w:rFonts w:ascii="Palatino Linotype" w:eastAsia="Times New Roman" w:hAnsi="Palatino Linotype"/>
          <w:sz w:val="22"/>
          <w:szCs w:val="22"/>
          <w:lang w:val="en-US"/>
        </w:rPr>
        <w:t xml:space="preserve"> as at the end of last month.</w:t>
      </w:r>
    </w:p>
    <w:p w14:paraId="7FC87BB7" w14:textId="77777777" w:rsidR="00D33F7C" w:rsidRPr="0038127D" w:rsidRDefault="00D33F7C" w:rsidP="00D33F7C">
      <w:pPr>
        <w:spacing w:before="100" w:beforeAutospacing="1" w:line="276" w:lineRule="auto"/>
        <w:ind w:left="360" w:right="107"/>
        <w:contextualSpacing/>
        <w:jc w:val="both"/>
        <w:rPr>
          <w:rFonts w:ascii="Palatino Linotype" w:eastAsia="Times New Roman" w:hAnsi="Palatino Linotype"/>
          <w:sz w:val="22"/>
          <w:szCs w:val="22"/>
          <w:lang w:val="en-US"/>
        </w:rPr>
      </w:pPr>
    </w:p>
    <w:p w14:paraId="493F2593" w14:textId="77777777" w:rsidR="00D33F7C" w:rsidRPr="0038127D" w:rsidRDefault="00D33F7C" w:rsidP="00D33F7C">
      <w:pPr>
        <w:numPr>
          <w:ilvl w:val="0"/>
          <w:numId w:val="9"/>
        </w:numPr>
        <w:spacing w:before="100" w:beforeAutospacing="1" w:line="276" w:lineRule="auto"/>
        <w:ind w:right="107"/>
        <w:contextualSpacing/>
        <w:jc w:val="both"/>
        <w:rPr>
          <w:rFonts w:ascii="Palatino Linotype" w:eastAsia="Times New Roman" w:hAnsi="Palatino Linotype"/>
          <w:sz w:val="22"/>
          <w:szCs w:val="22"/>
          <w:lang w:val="en-US"/>
        </w:rPr>
      </w:pPr>
      <w:r w:rsidRPr="0038127D">
        <w:rPr>
          <w:rFonts w:ascii="Palatino Linotype" w:eastAsia="Times New Roman" w:hAnsi="Palatino Linotype"/>
          <w:sz w:val="22"/>
          <w:szCs w:val="22"/>
          <w:lang w:val="en-US"/>
        </w:rPr>
        <w:t xml:space="preserve">The US 10-year government bond yield decreased by </w:t>
      </w:r>
      <w:r>
        <w:rPr>
          <w:rFonts w:ascii="Palatino Linotype" w:eastAsia="Times New Roman" w:hAnsi="Palatino Linotype"/>
          <w:sz w:val="22"/>
          <w:szCs w:val="22"/>
          <w:lang w:val="en-US"/>
        </w:rPr>
        <w:t>11</w:t>
      </w:r>
      <w:r w:rsidRPr="0038127D">
        <w:rPr>
          <w:rFonts w:ascii="Palatino Linotype" w:eastAsia="Times New Roman" w:hAnsi="Palatino Linotype"/>
          <w:sz w:val="22"/>
          <w:szCs w:val="22"/>
          <w:lang w:val="en-US"/>
        </w:rPr>
        <w:t xml:space="preserve"> bps to </w:t>
      </w:r>
      <w:r>
        <w:rPr>
          <w:rFonts w:ascii="Palatino Linotype" w:eastAsia="Times New Roman" w:hAnsi="Palatino Linotype"/>
          <w:sz w:val="22"/>
          <w:szCs w:val="22"/>
          <w:lang w:val="en-US"/>
        </w:rPr>
        <w:t>1.47</w:t>
      </w:r>
      <w:r w:rsidRPr="0038127D">
        <w:rPr>
          <w:rFonts w:ascii="Palatino Linotype" w:eastAsia="Times New Roman" w:hAnsi="Palatino Linotype"/>
          <w:sz w:val="22"/>
          <w:szCs w:val="22"/>
          <w:lang w:val="en-US"/>
        </w:rPr>
        <w:t xml:space="preserve"> per cent during </w:t>
      </w:r>
      <w:r>
        <w:rPr>
          <w:rFonts w:ascii="Palatino Linotype" w:eastAsia="Times New Roman" w:hAnsi="Palatino Linotype"/>
          <w:sz w:val="22"/>
          <w:szCs w:val="22"/>
          <w:lang w:val="en-US"/>
        </w:rPr>
        <w:t>June</w:t>
      </w:r>
      <w:r w:rsidRPr="0038127D">
        <w:rPr>
          <w:rFonts w:ascii="Palatino Linotype" w:eastAsia="Times New Roman" w:hAnsi="Palatino Linotype"/>
          <w:sz w:val="22"/>
          <w:szCs w:val="22"/>
          <w:lang w:val="en-US"/>
        </w:rPr>
        <w:t xml:space="preserve"> 2021. The 10-year government bond yield of India </w:t>
      </w:r>
      <w:r>
        <w:rPr>
          <w:rFonts w:ascii="Palatino Linotype" w:eastAsia="Times New Roman" w:hAnsi="Palatino Linotype"/>
          <w:sz w:val="22"/>
          <w:szCs w:val="22"/>
          <w:lang w:val="en-US"/>
        </w:rPr>
        <w:t>increased</w:t>
      </w:r>
      <w:r w:rsidRPr="0038127D">
        <w:rPr>
          <w:rFonts w:ascii="Palatino Linotype" w:eastAsia="Times New Roman" w:hAnsi="Palatino Linotype"/>
          <w:sz w:val="22"/>
          <w:szCs w:val="22"/>
          <w:lang w:val="en-US"/>
        </w:rPr>
        <w:t xml:space="preserve"> by </w:t>
      </w:r>
      <w:r>
        <w:rPr>
          <w:rFonts w:ascii="Palatino Linotype" w:eastAsia="Times New Roman" w:hAnsi="Palatino Linotype"/>
          <w:sz w:val="22"/>
          <w:szCs w:val="22"/>
          <w:lang w:val="en-US"/>
        </w:rPr>
        <w:t>3</w:t>
      </w:r>
      <w:r w:rsidRPr="0038127D">
        <w:rPr>
          <w:rFonts w:ascii="Palatino Linotype" w:eastAsia="Times New Roman" w:hAnsi="Palatino Linotype"/>
          <w:sz w:val="22"/>
          <w:szCs w:val="22"/>
          <w:lang w:val="en-US"/>
        </w:rPr>
        <w:t xml:space="preserve"> bps to 6.</w:t>
      </w:r>
      <w:r>
        <w:rPr>
          <w:rFonts w:ascii="Palatino Linotype" w:eastAsia="Times New Roman" w:hAnsi="Palatino Linotype"/>
          <w:sz w:val="22"/>
          <w:szCs w:val="22"/>
          <w:lang w:val="en-US"/>
        </w:rPr>
        <w:t>1</w:t>
      </w:r>
      <w:r w:rsidRPr="0038127D">
        <w:rPr>
          <w:rFonts w:ascii="Palatino Linotype" w:eastAsia="Times New Roman" w:hAnsi="Palatino Linotype"/>
          <w:sz w:val="22"/>
          <w:szCs w:val="22"/>
          <w:lang w:val="en-US"/>
        </w:rPr>
        <w:t xml:space="preserve"> per cent at the end of </w:t>
      </w:r>
      <w:r>
        <w:rPr>
          <w:rFonts w:ascii="Palatino Linotype" w:eastAsia="Times New Roman" w:hAnsi="Palatino Linotype"/>
          <w:sz w:val="22"/>
          <w:szCs w:val="22"/>
          <w:lang w:val="en-US"/>
        </w:rPr>
        <w:t>June</w:t>
      </w:r>
      <w:r w:rsidRPr="0038127D">
        <w:rPr>
          <w:rFonts w:ascii="Palatino Linotype" w:eastAsia="Times New Roman" w:hAnsi="Palatino Linotype"/>
          <w:sz w:val="22"/>
          <w:szCs w:val="22"/>
          <w:lang w:val="en-US"/>
        </w:rPr>
        <w:t xml:space="preserve"> 2021, compared to end of t</w:t>
      </w:r>
      <w:bookmarkStart w:id="1" w:name="_GoBack"/>
      <w:bookmarkEnd w:id="1"/>
      <w:r w:rsidRPr="0038127D">
        <w:rPr>
          <w:rFonts w:ascii="Palatino Linotype" w:eastAsia="Times New Roman" w:hAnsi="Palatino Linotype"/>
          <w:sz w:val="22"/>
          <w:szCs w:val="22"/>
          <w:lang w:val="en-US"/>
        </w:rPr>
        <w:t>he previous month.</w:t>
      </w:r>
    </w:p>
    <w:p w14:paraId="16914941" w14:textId="77777777" w:rsidR="00D33F7C" w:rsidRPr="000F57DC" w:rsidRDefault="00D33F7C" w:rsidP="00D33F7C">
      <w:pPr>
        <w:spacing w:before="100" w:beforeAutospacing="1" w:line="276" w:lineRule="auto"/>
        <w:ind w:left="360" w:right="107"/>
        <w:contextualSpacing/>
        <w:jc w:val="both"/>
        <w:rPr>
          <w:rFonts w:ascii="Palatino Linotype" w:eastAsia="Times New Roman" w:hAnsi="Palatino Linotype"/>
          <w:sz w:val="22"/>
          <w:szCs w:val="22"/>
          <w:lang w:val="en-US"/>
        </w:rPr>
      </w:pPr>
    </w:p>
    <w:p w14:paraId="5EB3F5B6" w14:textId="6590687C" w:rsidR="00D33F7C" w:rsidRPr="007C2E4F" w:rsidRDefault="00D33F7C" w:rsidP="00D33F7C">
      <w:pPr>
        <w:numPr>
          <w:ilvl w:val="0"/>
          <w:numId w:val="9"/>
        </w:numPr>
        <w:spacing w:before="100" w:beforeAutospacing="1" w:line="276" w:lineRule="auto"/>
        <w:ind w:right="107"/>
        <w:contextualSpacing/>
        <w:jc w:val="both"/>
        <w:rPr>
          <w:rFonts w:ascii="Palatino Linotype" w:eastAsia="Times New Roman" w:hAnsi="Palatino Linotype"/>
          <w:color w:val="FF0000"/>
          <w:sz w:val="22"/>
          <w:szCs w:val="22"/>
          <w:lang w:val="en-US"/>
        </w:rPr>
      </w:pPr>
      <w:r w:rsidRPr="000F57DC">
        <w:rPr>
          <w:rFonts w:ascii="Palatino Linotype" w:eastAsia="Times New Roman" w:hAnsi="Palatino Linotype"/>
          <w:sz w:val="22"/>
          <w:szCs w:val="22"/>
          <w:lang w:val="en-US"/>
        </w:rPr>
        <w:t xml:space="preserve">The WTI crude oil prices increased by USD </w:t>
      </w:r>
      <w:r w:rsidRPr="00855409">
        <w:rPr>
          <w:rFonts w:ascii="Palatino Linotype" w:eastAsia="Times New Roman" w:hAnsi="Palatino Linotype"/>
          <w:sz w:val="22"/>
          <w:szCs w:val="22"/>
          <w:lang w:val="en-US"/>
        </w:rPr>
        <w:t>6.5</w:t>
      </w:r>
      <w:r w:rsidRPr="000F57DC">
        <w:rPr>
          <w:rFonts w:ascii="Palatino Linotype" w:eastAsia="Times New Roman" w:hAnsi="Palatino Linotype"/>
          <w:sz w:val="22"/>
          <w:szCs w:val="22"/>
          <w:lang w:val="en-US"/>
        </w:rPr>
        <w:t xml:space="preserve"> per barrel (or by </w:t>
      </w:r>
      <w:r w:rsidRPr="00855409">
        <w:rPr>
          <w:rFonts w:ascii="Palatino Linotype" w:eastAsia="Times New Roman" w:hAnsi="Palatino Linotype"/>
          <w:sz w:val="22"/>
          <w:szCs w:val="22"/>
          <w:lang w:val="en-US"/>
        </w:rPr>
        <w:t>9.8</w:t>
      </w:r>
      <w:r w:rsidRPr="000F57DC">
        <w:rPr>
          <w:rFonts w:ascii="Palatino Linotype" w:eastAsia="Times New Roman" w:hAnsi="Palatino Linotype"/>
          <w:sz w:val="22"/>
          <w:szCs w:val="22"/>
          <w:lang w:val="en-US"/>
        </w:rPr>
        <w:t xml:space="preserve"> per cent) to USD </w:t>
      </w:r>
      <w:r w:rsidRPr="00855409">
        <w:rPr>
          <w:rFonts w:ascii="Palatino Linotype" w:eastAsia="Times New Roman" w:hAnsi="Palatino Linotype"/>
          <w:sz w:val="22"/>
          <w:szCs w:val="22"/>
          <w:lang w:val="en-US"/>
        </w:rPr>
        <w:t>73.5</w:t>
      </w:r>
      <w:r w:rsidRPr="000F57DC">
        <w:rPr>
          <w:rFonts w:ascii="Palatino Linotype" w:eastAsia="Times New Roman" w:hAnsi="Palatino Linotype"/>
          <w:sz w:val="22"/>
          <w:szCs w:val="22"/>
          <w:lang w:val="en-US"/>
        </w:rPr>
        <w:t xml:space="preserve"> per barrel in </w:t>
      </w:r>
      <w:r>
        <w:rPr>
          <w:rFonts w:ascii="Palatino Linotype" w:eastAsia="Times New Roman" w:hAnsi="Palatino Linotype"/>
          <w:sz w:val="22"/>
          <w:szCs w:val="22"/>
          <w:lang w:val="en-US"/>
        </w:rPr>
        <w:t>June</w:t>
      </w:r>
      <w:r w:rsidRPr="000F57DC">
        <w:rPr>
          <w:rFonts w:ascii="Palatino Linotype" w:eastAsia="Times New Roman" w:hAnsi="Palatino Linotype"/>
          <w:sz w:val="22"/>
          <w:szCs w:val="22"/>
          <w:lang w:val="en-US"/>
        </w:rPr>
        <w:t xml:space="preserve"> 2021. </w:t>
      </w:r>
      <w:r w:rsidRPr="002D724A">
        <w:rPr>
          <w:rFonts w:ascii="Palatino Linotype" w:eastAsia="Times New Roman" w:hAnsi="Palatino Linotype"/>
          <w:sz w:val="22"/>
          <w:szCs w:val="22"/>
          <w:lang w:val="en-US"/>
        </w:rPr>
        <w:t xml:space="preserve">Gold prices decreased by 7.2 per cent to USD 1,769.8 at the end of June 2021 from USD 1,906.4 at the end of </w:t>
      </w:r>
      <w:r w:rsidR="002D724A" w:rsidRPr="002D724A">
        <w:rPr>
          <w:rFonts w:ascii="Palatino Linotype" w:eastAsia="Times New Roman" w:hAnsi="Palatino Linotype"/>
          <w:sz w:val="22"/>
          <w:szCs w:val="22"/>
          <w:lang w:val="en-US"/>
        </w:rPr>
        <w:t>May</w:t>
      </w:r>
      <w:r w:rsidRPr="002D724A">
        <w:rPr>
          <w:rFonts w:ascii="Palatino Linotype" w:eastAsia="Times New Roman" w:hAnsi="Palatino Linotype"/>
          <w:sz w:val="22"/>
          <w:szCs w:val="22"/>
          <w:lang w:val="en-US"/>
        </w:rPr>
        <w:t xml:space="preserve"> 2021. </w:t>
      </w:r>
    </w:p>
    <w:p w14:paraId="38E642AD" w14:textId="77777777" w:rsidR="00D33F7C" w:rsidRPr="00211509" w:rsidRDefault="00D33F7C" w:rsidP="00D33F7C">
      <w:pPr>
        <w:spacing w:before="100" w:beforeAutospacing="1" w:line="276" w:lineRule="auto"/>
        <w:ind w:left="360" w:right="107"/>
        <w:contextualSpacing/>
        <w:jc w:val="both"/>
        <w:rPr>
          <w:rFonts w:ascii="Palatino Linotype" w:eastAsia="Times New Roman" w:hAnsi="Palatino Linotype"/>
          <w:sz w:val="22"/>
          <w:szCs w:val="22"/>
          <w:lang w:val="en-US"/>
        </w:rPr>
      </w:pPr>
    </w:p>
    <w:p w14:paraId="7498AE7A" w14:textId="77777777" w:rsidR="00D33F7C" w:rsidRPr="00211509" w:rsidRDefault="00D33F7C" w:rsidP="00D33F7C">
      <w:pPr>
        <w:numPr>
          <w:ilvl w:val="0"/>
          <w:numId w:val="9"/>
        </w:numPr>
        <w:spacing w:before="100" w:beforeAutospacing="1" w:line="276" w:lineRule="auto"/>
        <w:ind w:right="107"/>
        <w:contextualSpacing/>
        <w:jc w:val="both"/>
        <w:rPr>
          <w:rFonts w:ascii="Palatino Linotype" w:eastAsia="Times New Roman" w:hAnsi="Palatino Linotype"/>
          <w:sz w:val="22"/>
          <w:szCs w:val="22"/>
          <w:lang w:val="en-US"/>
        </w:rPr>
      </w:pPr>
      <w:r w:rsidRPr="00211509">
        <w:rPr>
          <w:rFonts w:ascii="Palatino Linotype" w:eastAsia="Times New Roman" w:hAnsi="Palatino Linotype"/>
          <w:sz w:val="22"/>
          <w:szCs w:val="22"/>
          <w:lang w:val="en-US"/>
        </w:rPr>
        <w:t>As per the latest estimate, the US economy expanded by 6.</w:t>
      </w:r>
      <w:r>
        <w:rPr>
          <w:rFonts w:ascii="Palatino Linotype" w:eastAsia="Times New Roman" w:hAnsi="Palatino Linotype"/>
          <w:sz w:val="22"/>
          <w:szCs w:val="22"/>
          <w:lang w:val="en-US"/>
        </w:rPr>
        <w:t>5</w:t>
      </w:r>
      <w:r w:rsidRPr="00211509">
        <w:rPr>
          <w:rFonts w:ascii="Palatino Linotype" w:eastAsia="Times New Roman" w:hAnsi="Palatino Linotype"/>
          <w:sz w:val="22"/>
          <w:szCs w:val="22"/>
          <w:lang w:val="en-US"/>
        </w:rPr>
        <w:t xml:space="preserve"> per cent Q-o-Q in annualised terms in the Q</w:t>
      </w:r>
      <w:r>
        <w:rPr>
          <w:rFonts w:ascii="Palatino Linotype" w:eastAsia="Times New Roman" w:hAnsi="Palatino Linotype"/>
          <w:sz w:val="22"/>
          <w:szCs w:val="22"/>
          <w:lang w:val="en-US"/>
        </w:rPr>
        <w:t>2</w:t>
      </w:r>
      <w:r w:rsidRPr="00211509">
        <w:rPr>
          <w:rFonts w:ascii="Palatino Linotype" w:eastAsia="Times New Roman" w:hAnsi="Palatino Linotype"/>
          <w:sz w:val="22"/>
          <w:szCs w:val="22"/>
          <w:lang w:val="en-US"/>
        </w:rPr>
        <w:t xml:space="preserve"> of </w:t>
      </w:r>
      <w:r w:rsidR="00214741">
        <w:rPr>
          <w:rFonts w:ascii="Palatino Linotype" w:eastAsia="Times New Roman" w:hAnsi="Palatino Linotype"/>
          <w:sz w:val="22"/>
          <w:szCs w:val="22"/>
          <w:lang w:val="en-US"/>
        </w:rPr>
        <w:t xml:space="preserve">Calendar Year </w:t>
      </w:r>
      <w:r w:rsidRPr="00211509">
        <w:rPr>
          <w:rFonts w:ascii="Palatino Linotype" w:eastAsia="Times New Roman" w:hAnsi="Palatino Linotype"/>
          <w:sz w:val="22"/>
          <w:szCs w:val="22"/>
          <w:lang w:val="en-US"/>
        </w:rPr>
        <w:t xml:space="preserve">2021, compared to </w:t>
      </w:r>
      <w:r>
        <w:rPr>
          <w:rFonts w:ascii="Palatino Linotype" w:eastAsia="Times New Roman" w:hAnsi="Palatino Linotype"/>
          <w:sz w:val="22"/>
          <w:szCs w:val="22"/>
          <w:lang w:val="en-US"/>
        </w:rPr>
        <w:t>6.3</w:t>
      </w:r>
      <w:r w:rsidRPr="00211509">
        <w:rPr>
          <w:rFonts w:ascii="Palatino Linotype" w:eastAsia="Times New Roman" w:hAnsi="Palatino Linotype"/>
          <w:sz w:val="22"/>
          <w:szCs w:val="22"/>
          <w:lang w:val="en-US"/>
        </w:rPr>
        <w:t xml:space="preserve"> per cent increase during the previous quarter. The US unemployment rate </w:t>
      </w:r>
      <w:r>
        <w:rPr>
          <w:rFonts w:ascii="Palatino Linotype" w:eastAsia="Times New Roman" w:hAnsi="Palatino Linotype"/>
          <w:sz w:val="22"/>
          <w:szCs w:val="22"/>
          <w:lang w:val="en-US"/>
        </w:rPr>
        <w:t>slightly increased</w:t>
      </w:r>
      <w:r w:rsidRPr="00211509">
        <w:rPr>
          <w:rFonts w:ascii="Palatino Linotype" w:eastAsia="Times New Roman" w:hAnsi="Palatino Linotype"/>
          <w:sz w:val="22"/>
          <w:szCs w:val="22"/>
          <w:lang w:val="en-US"/>
        </w:rPr>
        <w:t xml:space="preserve"> to 5.</w:t>
      </w:r>
      <w:r>
        <w:rPr>
          <w:rFonts w:ascii="Palatino Linotype" w:eastAsia="Times New Roman" w:hAnsi="Palatino Linotype"/>
          <w:sz w:val="22"/>
          <w:szCs w:val="22"/>
          <w:lang w:val="en-US"/>
        </w:rPr>
        <w:t>9</w:t>
      </w:r>
      <w:r w:rsidRPr="00211509">
        <w:rPr>
          <w:rFonts w:ascii="Palatino Linotype" w:eastAsia="Times New Roman" w:hAnsi="Palatino Linotype"/>
          <w:sz w:val="22"/>
          <w:szCs w:val="22"/>
          <w:lang w:val="en-US"/>
        </w:rPr>
        <w:t xml:space="preserve"> per cent in </w:t>
      </w:r>
      <w:r>
        <w:rPr>
          <w:rFonts w:ascii="Palatino Linotype" w:eastAsia="Times New Roman" w:hAnsi="Palatino Linotype"/>
          <w:sz w:val="22"/>
          <w:szCs w:val="22"/>
          <w:lang w:val="en-US"/>
        </w:rPr>
        <w:t>June</w:t>
      </w:r>
      <w:r w:rsidRPr="00211509">
        <w:rPr>
          <w:rFonts w:ascii="Palatino Linotype" w:eastAsia="Times New Roman" w:hAnsi="Palatino Linotype"/>
          <w:sz w:val="22"/>
          <w:szCs w:val="22"/>
          <w:lang w:val="en-US"/>
        </w:rPr>
        <w:t xml:space="preserve"> 2021 from </w:t>
      </w:r>
      <w:r>
        <w:rPr>
          <w:rFonts w:ascii="Palatino Linotype" w:eastAsia="Times New Roman" w:hAnsi="Palatino Linotype"/>
          <w:sz w:val="22"/>
          <w:szCs w:val="22"/>
          <w:lang w:val="en-US"/>
        </w:rPr>
        <w:t>5.8</w:t>
      </w:r>
      <w:r w:rsidRPr="00211509">
        <w:rPr>
          <w:rFonts w:ascii="Palatino Linotype" w:eastAsia="Times New Roman" w:hAnsi="Palatino Linotype"/>
          <w:sz w:val="22"/>
          <w:szCs w:val="22"/>
          <w:lang w:val="en-US"/>
        </w:rPr>
        <w:t xml:space="preserve"> per cent in the previous month.</w:t>
      </w:r>
    </w:p>
    <w:p w14:paraId="206A710A" w14:textId="77777777" w:rsidR="00D33F7C" w:rsidRPr="00211509" w:rsidRDefault="00D33F7C" w:rsidP="00D33F7C">
      <w:pPr>
        <w:spacing w:after="200" w:line="276" w:lineRule="auto"/>
        <w:ind w:left="720" w:right="107"/>
        <w:contextualSpacing/>
        <w:rPr>
          <w:rFonts w:ascii="Palatino Linotype" w:eastAsia="Times New Roman" w:hAnsi="Palatino Linotype"/>
          <w:sz w:val="22"/>
          <w:szCs w:val="22"/>
          <w:lang w:val="en-US"/>
        </w:rPr>
      </w:pPr>
    </w:p>
    <w:p w14:paraId="2E7F43B5" w14:textId="77777777" w:rsidR="00D33F7C" w:rsidRPr="00211509" w:rsidRDefault="00D33F7C" w:rsidP="00D33F7C">
      <w:pPr>
        <w:numPr>
          <w:ilvl w:val="0"/>
          <w:numId w:val="9"/>
        </w:numPr>
        <w:spacing w:before="100" w:beforeAutospacing="1" w:line="276" w:lineRule="auto"/>
        <w:ind w:right="107"/>
        <w:contextualSpacing/>
        <w:jc w:val="both"/>
        <w:rPr>
          <w:rFonts w:ascii="Palatino Linotype" w:eastAsia="Times New Roman" w:hAnsi="Palatino Linotype"/>
          <w:sz w:val="22"/>
          <w:szCs w:val="22"/>
          <w:lang w:val="en-US"/>
        </w:rPr>
      </w:pPr>
      <w:r w:rsidRPr="00211509">
        <w:rPr>
          <w:rFonts w:ascii="Palatino Linotype" w:eastAsia="Times New Roman" w:hAnsi="Palatino Linotype"/>
          <w:sz w:val="22"/>
          <w:szCs w:val="22"/>
          <w:lang w:val="en-US"/>
        </w:rPr>
        <w:t>The UK economy shrank by 1.6 per cent Q-o-Q in Q1 of 2021 against 1.3 per cent expansion in the previous quarter. The UK unemployment rate was observed to be 4.8</w:t>
      </w:r>
      <w:r w:rsidR="00214741">
        <w:rPr>
          <w:rFonts w:ascii="Palatino Linotype" w:eastAsia="Times New Roman" w:hAnsi="Palatino Linotype"/>
          <w:sz w:val="22"/>
          <w:szCs w:val="22"/>
          <w:lang w:val="en-US"/>
        </w:rPr>
        <w:t xml:space="preserve"> per cent</w:t>
      </w:r>
      <w:r w:rsidRPr="00211509">
        <w:rPr>
          <w:rFonts w:ascii="Palatino Linotype" w:eastAsia="Times New Roman" w:hAnsi="Palatino Linotype"/>
          <w:sz w:val="22"/>
          <w:szCs w:val="22"/>
          <w:lang w:val="en-US"/>
        </w:rPr>
        <w:t xml:space="preserve"> for May 2021.</w:t>
      </w:r>
    </w:p>
    <w:p w14:paraId="63553DA2" w14:textId="77777777" w:rsidR="00D33F7C" w:rsidRPr="00F235B7" w:rsidRDefault="00D33F7C" w:rsidP="00D33F7C">
      <w:pPr>
        <w:spacing w:before="100" w:beforeAutospacing="1" w:line="276" w:lineRule="auto"/>
        <w:ind w:left="360" w:right="107"/>
        <w:contextualSpacing/>
        <w:jc w:val="both"/>
        <w:rPr>
          <w:rFonts w:ascii="Palatino Linotype" w:eastAsia="Times New Roman" w:hAnsi="Palatino Linotype"/>
          <w:sz w:val="22"/>
          <w:szCs w:val="22"/>
          <w:lang w:val="en-US"/>
        </w:rPr>
      </w:pPr>
    </w:p>
    <w:p w14:paraId="582A699C" w14:textId="77777777" w:rsidR="00D33F7C" w:rsidRPr="00F235B7" w:rsidRDefault="00D33F7C" w:rsidP="00D33F7C">
      <w:pPr>
        <w:numPr>
          <w:ilvl w:val="0"/>
          <w:numId w:val="9"/>
        </w:numPr>
        <w:spacing w:before="100" w:beforeAutospacing="1" w:line="276" w:lineRule="auto"/>
        <w:ind w:right="107"/>
        <w:contextualSpacing/>
        <w:jc w:val="both"/>
        <w:rPr>
          <w:rFonts w:ascii="Palatino Linotype" w:eastAsia="Times New Roman" w:hAnsi="Palatino Linotype"/>
          <w:sz w:val="22"/>
          <w:szCs w:val="22"/>
          <w:lang w:val="en-US"/>
        </w:rPr>
      </w:pPr>
      <w:r w:rsidRPr="00F235B7">
        <w:rPr>
          <w:rFonts w:ascii="Palatino Linotype" w:eastAsia="Times New Roman" w:hAnsi="Palatino Linotype"/>
          <w:sz w:val="22"/>
          <w:szCs w:val="22"/>
          <w:lang w:val="en-US"/>
        </w:rPr>
        <w:t xml:space="preserve">The Eurozone economy </w:t>
      </w:r>
      <w:r>
        <w:rPr>
          <w:rFonts w:ascii="Palatino Linotype" w:eastAsia="Times New Roman" w:hAnsi="Palatino Linotype"/>
          <w:sz w:val="22"/>
          <w:szCs w:val="22"/>
          <w:lang w:val="en-US"/>
        </w:rPr>
        <w:t>grew</w:t>
      </w:r>
      <w:r w:rsidRPr="00F235B7">
        <w:rPr>
          <w:rFonts w:ascii="Palatino Linotype" w:eastAsia="Times New Roman" w:hAnsi="Palatino Linotype"/>
          <w:sz w:val="22"/>
          <w:szCs w:val="22"/>
          <w:lang w:val="en-US"/>
        </w:rPr>
        <w:t xml:space="preserve"> by </w:t>
      </w:r>
      <w:r>
        <w:rPr>
          <w:rFonts w:ascii="Palatino Linotype" w:eastAsia="Times New Roman" w:hAnsi="Palatino Linotype"/>
          <w:sz w:val="22"/>
          <w:szCs w:val="22"/>
          <w:lang w:val="en-US"/>
        </w:rPr>
        <w:t>2</w:t>
      </w:r>
      <w:r w:rsidR="00214741">
        <w:rPr>
          <w:rFonts w:ascii="Palatino Linotype" w:eastAsia="Times New Roman" w:hAnsi="Palatino Linotype"/>
          <w:sz w:val="22"/>
          <w:szCs w:val="22"/>
          <w:lang w:val="en-US"/>
        </w:rPr>
        <w:t>.0</w:t>
      </w:r>
      <w:r w:rsidRPr="00F235B7">
        <w:rPr>
          <w:rFonts w:ascii="Palatino Linotype" w:eastAsia="Times New Roman" w:hAnsi="Palatino Linotype"/>
          <w:sz w:val="22"/>
          <w:szCs w:val="22"/>
          <w:lang w:val="en-US"/>
        </w:rPr>
        <w:t xml:space="preserve"> per cent Q-o-Q in Q</w:t>
      </w:r>
      <w:r>
        <w:rPr>
          <w:rFonts w:ascii="Palatino Linotype" w:eastAsia="Times New Roman" w:hAnsi="Palatino Linotype"/>
          <w:sz w:val="22"/>
          <w:szCs w:val="22"/>
          <w:lang w:val="en-US"/>
        </w:rPr>
        <w:t>2</w:t>
      </w:r>
      <w:r w:rsidRPr="00F235B7">
        <w:rPr>
          <w:rFonts w:ascii="Palatino Linotype" w:eastAsia="Times New Roman" w:hAnsi="Palatino Linotype"/>
          <w:sz w:val="22"/>
          <w:szCs w:val="22"/>
          <w:lang w:val="en-US"/>
        </w:rPr>
        <w:t xml:space="preserve"> of 2021, after shrinking by </w:t>
      </w:r>
      <w:r>
        <w:rPr>
          <w:rFonts w:ascii="Palatino Linotype" w:eastAsia="Times New Roman" w:hAnsi="Palatino Linotype"/>
          <w:sz w:val="22"/>
          <w:szCs w:val="22"/>
          <w:lang w:val="en-US"/>
        </w:rPr>
        <w:t>0.3</w:t>
      </w:r>
      <w:r w:rsidRPr="00F235B7">
        <w:rPr>
          <w:rFonts w:ascii="Palatino Linotype" w:eastAsia="Times New Roman" w:hAnsi="Palatino Linotype"/>
          <w:sz w:val="22"/>
          <w:szCs w:val="22"/>
          <w:lang w:val="en-US"/>
        </w:rPr>
        <w:t xml:space="preserve"> per cent in previous quarter. Amongst the largest economies of Eurozone</w:t>
      </w:r>
      <w:r w:rsidR="00214741">
        <w:rPr>
          <w:rFonts w:ascii="Palatino Linotype" w:eastAsia="Times New Roman" w:hAnsi="Palatino Linotype"/>
          <w:sz w:val="22"/>
          <w:szCs w:val="22"/>
          <w:lang w:val="en-US"/>
        </w:rPr>
        <w:t>,</w:t>
      </w:r>
      <w:r w:rsidRPr="00F235B7">
        <w:rPr>
          <w:rFonts w:ascii="Palatino Linotype" w:eastAsia="Times New Roman" w:hAnsi="Palatino Linotype"/>
          <w:sz w:val="22"/>
          <w:szCs w:val="22"/>
          <w:lang w:val="en-US"/>
        </w:rPr>
        <w:t xml:space="preserve"> </w:t>
      </w:r>
      <w:r>
        <w:rPr>
          <w:rFonts w:ascii="Palatino Linotype" w:eastAsia="Times New Roman" w:hAnsi="Palatino Linotype"/>
          <w:sz w:val="22"/>
          <w:szCs w:val="22"/>
          <w:lang w:val="en-US"/>
        </w:rPr>
        <w:t>the growth rate was -</w:t>
      </w:r>
      <w:r w:rsidRPr="00F235B7">
        <w:rPr>
          <w:rFonts w:ascii="Palatino Linotype" w:eastAsia="Times New Roman" w:hAnsi="Palatino Linotype"/>
          <w:sz w:val="22"/>
          <w:szCs w:val="22"/>
          <w:lang w:val="en-US"/>
        </w:rPr>
        <w:t xml:space="preserve"> Germany (</w:t>
      </w:r>
      <w:r>
        <w:rPr>
          <w:rFonts w:ascii="Palatino Linotype" w:eastAsia="Times New Roman" w:hAnsi="Palatino Linotype"/>
          <w:sz w:val="22"/>
          <w:szCs w:val="22"/>
          <w:lang w:val="en-US"/>
        </w:rPr>
        <w:t>1.5</w:t>
      </w:r>
      <w:r w:rsidRPr="00F235B7">
        <w:rPr>
          <w:rFonts w:ascii="Palatino Linotype" w:eastAsia="Times New Roman" w:hAnsi="Palatino Linotype"/>
          <w:sz w:val="22"/>
          <w:szCs w:val="22"/>
          <w:lang w:val="en-US"/>
        </w:rPr>
        <w:t xml:space="preserve"> per cent), France (</w:t>
      </w:r>
      <w:r>
        <w:rPr>
          <w:rFonts w:ascii="Palatino Linotype" w:eastAsia="Times New Roman" w:hAnsi="Palatino Linotype"/>
          <w:sz w:val="22"/>
          <w:szCs w:val="22"/>
          <w:lang w:val="en-US"/>
        </w:rPr>
        <w:t>0.9</w:t>
      </w:r>
      <w:r w:rsidRPr="00F235B7">
        <w:rPr>
          <w:rFonts w:ascii="Palatino Linotype" w:eastAsia="Times New Roman" w:hAnsi="Palatino Linotype"/>
          <w:sz w:val="22"/>
          <w:szCs w:val="22"/>
          <w:lang w:val="en-US"/>
        </w:rPr>
        <w:t xml:space="preserve"> per cent), Netherlands (-0.</w:t>
      </w:r>
      <w:r>
        <w:rPr>
          <w:rFonts w:ascii="Palatino Linotype" w:eastAsia="Times New Roman" w:hAnsi="Palatino Linotype"/>
          <w:sz w:val="22"/>
          <w:szCs w:val="22"/>
          <w:lang w:val="en-US"/>
        </w:rPr>
        <w:t>8</w:t>
      </w:r>
      <w:r w:rsidRPr="00F235B7">
        <w:rPr>
          <w:rFonts w:ascii="Palatino Linotype" w:eastAsia="Times New Roman" w:hAnsi="Palatino Linotype"/>
          <w:sz w:val="22"/>
          <w:szCs w:val="22"/>
          <w:lang w:val="en-US"/>
        </w:rPr>
        <w:t xml:space="preserve"> per cent) and Spain (</w:t>
      </w:r>
      <w:r>
        <w:rPr>
          <w:rFonts w:ascii="Palatino Linotype" w:eastAsia="Times New Roman" w:hAnsi="Palatino Linotype"/>
          <w:sz w:val="22"/>
          <w:szCs w:val="22"/>
          <w:lang w:val="en-US"/>
        </w:rPr>
        <w:t>2.8</w:t>
      </w:r>
      <w:r w:rsidRPr="00F235B7">
        <w:rPr>
          <w:rFonts w:ascii="Palatino Linotype" w:eastAsia="Times New Roman" w:hAnsi="Palatino Linotype"/>
          <w:sz w:val="22"/>
          <w:szCs w:val="22"/>
          <w:lang w:val="en-US"/>
        </w:rPr>
        <w:t xml:space="preserve"> per cent). </w:t>
      </w:r>
    </w:p>
    <w:p w14:paraId="6E2265E1" w14:textId="77777777" w:rsidR="00D33F7C" w:rsidRPr="00BA758E" w:rsidRDefault="00D33F7C" w:rsidP="00D33F7C">
      <w:pPr>
        <w:spacing w:before="100" w:beforeAutospacing="1" w:line="276" w:lineRule="auto"/>
        <w:ind w:left="360" w:right="107"/>
        <w:contextualSpacing/>
        <w:jc w:val="both"/>
        <w:rPr>
          <w:rFonts w:ascii="Palatino Linotype" w:eastAsia="Times New Roman" w:hAnsi="Palatino Linotype"/>
          <w:sz w:val="22"/>
          <w:szCs w:val="22"/>
          <w:lang w:val="en-US"/>
        </w:rPr>
      </w:pPr>
    </w:p>
    <w:p w14:paraId="38AB4B45" w14:textId="77777777" w:rsidR="00D33F7C" w:rsidRPr="00BA758E" w:rsidRDefault="00D33F7C" w:rsidP="00D33F7C">
      <w:pPr>
        <w:numPr>
          <w:ilvl w:val="0"/>
          <w:numId w:val="9"/>
        </w:numPr>
        <w:spacing w:before="100" w:beforeAutospacing="1" w:line="276" w:lineRule="auto"/>
        <w:ind w:right="107"/>
        <w:contextualSpacing/>
        <w:jc w:val="both"/>
        <w:rPr>
          <w:rFonts w:ascii="Palatino Linotype" w:eastAsia="Times New Roman" w:hAnsi="Palatino Linotype"/>
          <w:sz w:val="22"/>
          <w:szCs w:val="22"/>
          <w:lang w:val="en-US"/>
        </w:rPr>
      </w:pPr>
      <w:r w:rsidRPr="00BA758E">
        <w:rPr>
          <w:rFonts w:ascii="Palatino Linotype" w:eastAsia="Times New Roman" w:hAnsi="Palatino Linotype"/>
          <w:sz w:val="22"/>
          <w:szCs w:val="22"/>
          <w:lang w:val="en-US"/>
        </w:rPr>
        <w:t xml:space="preserve">GDP growth of China was </w:t>
      </w:r>
      <w:r>
        <w:rPr>
          <w:rFonts w:ascii="Palatino Linotype" w:eastAsia="Times New Roman" w:hAnsi="Palatino Linotype"/>
          <w:sz w:val="22"/>
          <w:szCs w:val="22"/>
          <w:lang w:val="en-US"/>
        </w:rPr>
        <w:t>1.3</w:t>
      </w:r>
      <w:r w:rsidRPr="00BA758E">
        <w:rPr>
          <w:rFonts w:ascii="Palatino Linotype" w:eastAsia="Times New Roman" w:hAnsi="Palatino Linotype"/>
          <w:sz w:val="22"/>
          <w:szCs w:val="22"/>
          <w:lang w:val="en-US"/>
        </w:rPr>
        <w:t xml:space="preserve"> per cent in Q</w:t>
      </w:r>
      <w:r>
        <w:rPr>
          <w:rFonts w:ascii="Palatino Linotype" w:eastAsia="Times New Roman" w:hAnsi="Palatino Linotype"/>
          <w:sz w:val="22"/>
          <w:szCs w:val="22"/>
          <w:lang w:val="en-US"/>
        </w:rPr>
        <w:t>2</w:t>
      </w:r>
      <w:r w:rsidRPr="00BA758E">
        <w:rPr>
          <w:rFonts w:ascii="Palatino Linotype" w:eastAsia="Times New Roman" w:hAnsi="Palatino Linotype"/>
          <w:sz w:val="22"/>
          <w:szCs w:val="22"/>
          <w:lang w:val="en-US"/>
        </w:rPr>
        <w:t xml:space="preserve"> of 2021, however, it was </w:t>
      </w:r>
      <w:r>
        <w:rPr>
          <w:rFonts w:ascii="Palatino Linotype" w:eastAsia="Times New Roman" w:hAnsi="Palatino Linotype"/>
          <w:sz w:val="22"/>
          <w:szCs w:val="22"/>
          <w:lang w:val="en-US"/>
        </w:rPr>
        <w:t>higher</w:t>
      </w:r>
      <w:r w:rsidRPr="00BA758E">
        <w:rPr>
          <w:rFonts w:ascii="Palatino Linotype" w:eastAsia="Times New Roman" w:hAnsi="Palatino Linotype"/>
          <w:sz w:val="22"/>
          <w:szCs w:val="22"/>
          <w:lang w:val="en-US"/>
        </w:rPr>
        <w:t xml:space="preserve"> than the growth in the previous quarter. Growth rate in GDP was of </w:t>
      </w:r>
      <w:r>
        <w:rPr>
          <w:rFonts w:ascii="Palatino Linotype" w:eastAsia="Times New Roman" w:hAnsi="Palatino Linotype"/>
          <w:sz w:val="22"/>
          <w:szCs w:val="22"/>
          <w:lang w:val="en-US"/>
        </w:rPr>
        <w:t>0.4</w:t>
      </w:r>
      <w:r w:rsidRPr="00BA758E">
        <w:rPr>
          <w:rFonts w:ascii="Palatino Linotype" w:eastAsia="Times New Roman" w:hAnsi="Palatino Linotype"/>
          <w:sz w:val="22"/>
          <w:szCs w:val="22"/>
          <w:lang w:val="en-US"/>
        </w:rPr>
        <w:t xml:space="preserve"> per cent in Q</w:t>
      </w:r>
      <w:r>
        <w:rPr>
          <w:rFonts w:ascii="Palatino Linotype" w:eastAsia="Times New Roman" w:hAnsi="Palatino Linotype"/>
          <w:sz w:val="22"/>
          <w:szCs w:val="22"/>
          <w:lang w:val="en-US"/>
        </w:rPr>
        <w:t>1</w:t>
      </w:r>
      <w:r w:rsidRPr="00BA758E">
        <w:rPr>
          <w:rFonts w:ascii="Palatino Linotype" w:eastAsia="Times New Roman" w:hAnsi="Palatino Linotype"/>
          <w:sz w:val="22"/>
          <w:szCs w:val="22"/>
          <w:lang w:val="en-US"/>
        </w:rPr>
        <w:t xml:space="preserve"> of 202</w:t>
      </w:r>
      <w:r>
        <w:rPr>
          <w:rFonts w:ascii="Palatino Linotype" w:eastAsia="Times New Roman" w:hAnsi="Palatino Linotype"/>
          <w:sz w:val="22"/>
          <w:szCs w:val="22"/>
          <w:lang w:val="en-US"/>
        </w:rPr>
        <w:t>1</w:t>
      </w:r>
      <w:r w:rsidRPr="00BA758E">
        <w:rPr>
          <w:rFonts w:ascii="Palatino Linotype" w:eastAsia="Times New Roman" w:hAnsi="Palatino Linotype"/>
          <w:sz w:val="22"/>
          <w:szCs w:val="22"/>
          <w:lang w:val="en-US"/>
        </w:rPr>
        <w:t xml:space="preserve"> in China.</w:t>
      </w:r>
    </w:p>
    <w:p w14:paraId="1E736A83" w14:textId="77777777" w:rsidR="00D33F7C" w:rsidRPr="00BA758E" w:rsidRDefault="00D33F7C" w:rsidP="00D33F7C">
      <w:pPr>
        <w:spacing w:before="100" w:beforeAutospacing="1" w:line="276" w:lineRule="auto"/>
        <w:ind w:left="360" w:right="107"/>
        <w:contextualSpacing/>
        <w:jc w:val="both"/>
        <w:rPr>
          <w:rFonts w:ascii="Palatino Linotype" w:eastAsia="Times New Roman" w:hAnsi="Palatino Linotype"/>
          <w:sz w:val="22"/>
          <w:szCs w:val="22"/>
          <w:lang w:val="en-US"/>
        </w:rPr>
      </w:pPr>
    </w:p>
    <w:p w14:paraId="4CC9F244" w14:textId="77777777" w:rsidR="00D33F7C" w:rsidRDefault="00D33F7C" w:rsidP="00D33F7C">
      <w:pPr>
        <w:numPr>
          <w:ilvl w:val="0"/>
          <w:numId w:val="9"/>
        </w:numPr>
        <w:spacing w:before="100" w:beforeAutospacing="1" w:line="276" w:lineRule="auto"/>
        <w:ind w:right="107"/>
        <w:contextualSpacing/>
        <w:jc w:val="both"/>
        <w:rPr>
          <w:rFonts w:ascii="Palatino Linotype" w:eastAsia="Times New Roman" w:hAnsi="Palatino Linotype"/>
          <w:sz w:val="22"/>
          <w:szCs w:val="22"/>
          <w:lang w:val="en-US"/>
        </w:rPr>
      </w:pPr>
      <w:r w:rsidRPr="00C32349">
        <w:rPr>
          <w:rFonts w:ascii="Palatino Linotype" w:eastAsia="Times New Roman" w:hAnsi="Palatino Linotype"/>
          <w:sz w:val="22"/>
          <w:szCs w:val="22"/>
          <w:lang w:val="en-US"/>
        </w:rPr>
        <w:t>As per MOSPI, India’s GDP grew by 1.6 per cent Y-o-Y during Q4 of 2020-21 compared to a Y-o-Y growth rate of 1.6 per cent in Q3 of 2020-21.</w:t>
      </w:r>
    </w:p>
    <w:p w14:paraId="7A5FE9E6" w14:textId="77777777" w:rsidR="00D33F7C" w:rsidRDefault="00D33F7C" w:rsidP="00D33F7C">
      <w:pPr>
        <w:pStyle w:val="ListParagraph"/>
        <w:rPr>
          <w:rFonts w:ascii="Palatino Linotype" w:eastAsia="Times New Roman" w:hAnsi="Palatino Linotype"/>
          <w:sz w:val="22"/>
          <w:szCs w:val="22"/>
        </w:rPr>
      </w:pPr>
    </w:p>
    <w:p w14:paraId="4C9D1C88" w14:textId="14458290" w:rsidR="00D33F7C" w:rsidRPr="00BA758E" w:rsidRDefault="00D33F7C" w:rsidP="00D33F7C">
      <w:pPr>
        <w:numPr>
          <w:ilvl w:val="0"/>
          <w:numId w:val="9"/>
        </w:numPr>
        <w:spacing w:before="100" w:beforeAutospacing="1" w:line="276" w:lineRule="auto"/>
        <w:ind w:right="107"/>
        <w:contextualSpacing/>
        <w:jc w:val="both"/>
        <w:rPr>
          <w:rFonts w:ascii="Palatino Linotype" w:eastAsia="Times New Roman" w:hAnsi="Palatino Linotype"/>
          <w:sz w:val="22"/>
          <w:szCs w:val="22"/>
          <w:lang w:val="en-US"/>
        </w:rPr>
      </w:pPr>
      <w:r w:rsidRPr="00BA758E">
        <w:rPr>
          <w:rFonts w:ascii="Palatino Linotype" w:eastAsia="Times New Roman" w:hAnsi="Palatino Linotype"/>
          <w:sz w:val="22"/>
          <w:szCs w:val="22"/>
          <w:lang w:val="en-US"/>
        </w:rPr>
        <w:lastRenderedPageBreak/>
        <w:t>According to the second advance estimates released by MOSPI on 31 May 2021, GDP is estimated to fall by 7.3 per cent during the 2020-21 as compared to 4</w:t>
      </w:r>
      <w:r w:rsidR="00214741">
        <w:rPr>
          <w:rFonts w:ascii="Palatino Linotype" w:eastAsia="Times New Roman" w:hAnsi="Palatino Linotype"/>
          <w:sz w:val="22"/>
          <w:szCs w:val="22"/>
          <w:lang w:val="en-US"/>
        </w:rPr>
        <w:t>.0</w:t>
      </w:r>
      <w:r w:rsidRPr="00BA758E">
        <w:rPr>
          <w:rFonts w:ascii="Palatino Linotype" w:eastAsia="Times New Roman" w:hAnsi="Palatino Linotype"/>
          <w:sz w:val="22"/>
          <w:szCs w:val="22"/>
          <w:lang w:val="en-US"/>
        </w:rPr>
        <w:t xml:space="preserve"> per cent expansion in 2019-20. World Bank </w:t>
      </w:r>
      <w:r w:rsidR="004D10FC">
        <w:rPr>
          <w:rFonts w:ascii="Palatino Linotype" w:eastAsia="Times New Roman" w:hAnsi="Palatino Linotype"/>
          <w:sz w:val="22"/>
          <w:szCs w:val="22"/>
          <w:lang w:val="en-US"/>
        </w:rPr>
        <w:t xml:space="preserve">has </w:t>
      </w:r>
      <w:r w:rsidRPr="00BA758E">
        <w:rPr>
          <w:rFonts w:ascii="Palatino Linotype" w:eastAsia="Times New Roman" w:hAnsi="Palatino Linotype"/>
          <w:sz w:val="22"/>
          <w:szCs w:val="22"/>
          <w:lang w:val="en-US"/>
        </w:rPr>
        <w:t xml:space="preserve">estimated India’s GDP to grow by -7.3 per cent in 2020. According to IMF projections, the Indian economy is expected to grow by -7.3 per cent in 2020 and 9.5 per cent in 2021. </w:t>
      </w:r>
    </w:p>
    <w:p w14:paraId="425C7089" w14:textId="77777777" w:rsidR="00D33F7C" w:rsidRPr="009A04D1" w:rsidRDefault="00D33F7C" w:rsidP="00D33F7C">
      <w:pPr>
        <w:spacing w:before="100" w:beforeAutospacing="1" w:line="276" w:lineRule="auto"/>
        <w:ind w:left="360" w:right="107"/>
        <w:contextualSpacing/>
        <w:jc w:val="both"/>
        <w:rPr>
          <w:rFonts w:ascii="Palatino Linotype" w:eastAsia="Times New Roman" w:hAnsi="Palatino Linotype"/>
          <w:sz w:val="22"/>
          <w:szCs w:val="22"/>
          <w:lang w:val="en-US"/>
        </w:rPr>
      </w:pPr>
    </w:p>
    <w:p w14:paraId="6F561D85" w14:textId="77777777" w:rsidR="00D33F7C" w:rsidRPr="009A04D1" w:rsidRDefault="00D33F7C" w:rsidP="00D33F7C">
      <w:pPr>
        <w:spacing w:line="23" w:lineRule="atLeast"/>
        <w:ind w:left="720"/>
        <w:contextualSpacing/>
        <w:rPr>
          <w:rFonts w:ascii="Garamond" w:eastAsia="Times New Roman" w:hAnsi="Garamond"/>
          <w:b/>
          <w:lang w:val="en-US" w:eastAsia="en-GB"/>
        </w:rPr>
      </w:pPr>
    </w:p>
    <w:p w14:paraId="55B76AC8" w14:textId="77777777" w:rsidR="00D33F7C" w:rsidRPr="009A04D1" w:rsidRDefault="00D33F7C" w:rsidP="00D33F7C">
      <w:pPr>
        <w:spacing w:line="23" w:lineRule="atLeast"/>
        <w:ind w:left="720"/>
        <w:contextualSpacing/>
        <w:rPr>
          <w:rFonts w:ascii="Garamond" w:eastAsia="Times New Roman" w:hAnsi="Garamond"/>
          <w:b/>
          <w:lang w:val="en-US" w:eastAsia="en-GB"/>
        </w:rPr>
      </w:pPr>
    </w:p>
    <w:p w14:paraId="7888510C" w14:textId="77777777" w:rsidR="00D33F7C" w:rsidRPr="00ED58C0" w:rsidRDefault="00D33F7C" w:rsidP="00D33F7C">
      <w:pPr>
        <w:spacing w:line="23" w:lineRule="atLeast"/>
        <w:ind w:left="180"/>
        <w:contextualSpacing/>
        <w:rPr>
          <w:rFonts w:ascii="Palatino Linotype" w:eastAsia="Times New Roman" w:hAnsi="Palatino Linotype"/>
          <w:b/>
          <w:sz w:val="22"/>
          <w:szCs w:val="22"/>
          <w:lang w:val="en-US" w:eastAsia="en-GB"/>
        </w:rPr>
      </w:pPr>
      <w:r w:rsidRPr="00ED58C0">
        <w:rPr>
          <w:rFonts w:ascii="Palatino Linotype" w:eastAsia="Times New Roman" w:hAnsi="Palatino Linotype"/>
          <w:b/>
          <w:sz w:val="22"/>
          <w:szCs w:val="22"/>
          <w:lang w:val="en-US" w:eastAsia="en-GB"/>
        </w:rPr>
        <w:t>Market Trends</w:t>
      </w:r>
      <w:r w:rsidRPr="00ED58C0">
        <w:rPr>
          <w:rFonts w:ascii="Palatino Linotype" w:eastAsia="Times New Roman" w:hAnsi="Palatino Linotype"/>
          <w:b/>
          <w:sz w:val="22"/>
          <w:szCs w:val="22"/>
          <w:vertAlign w:val="superscript"/>
          <w:lang w:val="en-US" w:eastAsia="en-GB"/>
        </w:rPr>
        <w:footnoteReference w:id="2"/>
      </w:r>
      <w:r w:rsidRPr="00ED58C0">
        <w:rPr>
          <w:rFonts w:ascii="Palatino Linotype" w:eastAsia="Times New Roman" w:hAnsi="Palatino Linotype"/>
          <w:b/>
          <w:sz w:val="22"/>
          <w:szCs w:val="22"/>
          <w:lang w:val="en-US" w:eastAsia="en-GB"/>
        </w:rPr>
        <w:t xml:space="preserve"> – </w:t>
      </w:r>
    </w:p>
    <w:p w14:paraId="209A23C3" w14:textId="77777777" w:rsidR="00D33F7C" w:rsidRPr="00ED58C0" w:rsidRDefault="00D33F7C" w:rsidP="00D33F7C">
      <w:pPr>
        <w:spacing w:line="23" w:lineRule="atLeast"/>
        <w:ind w:left="180"/>
        <w:contextualSpacing/>
        <w:rPr>
          <w:rFonts w:ascii="Palatino Linotype" w:eastAsia="Times New Roman" w:hAnsi="Palatino Linotype"/>
          <w:b/>
          <w:sz w:val="22"/>
          <w:szCs w:val="22"/>
          <w:lang w:val="en-US" w:eastAsia="en-GB"/>
        </w:rPr>
      </w:pPr>
    </w:p>
    <w:p w14:paraId="545AA09E" w14:textId="77777777" w:rsidR="00D33F7C" w:rsidRPr="008C1016" w:rsidRDefault="00D33F7C" w:rsidP="00D33F7C">
      <w:pPr>
        <w:spacing w:line="360" w:lineRule="auto"/>
        <w:ind w:left="720"/>
        <w:contextualSpacing/>
        <w:rPr>
          <w:rFonts w:ascii="Palatino Linotype" w:eastAsia="Times New Roman" w:hAnsi="Palatino Linotype"/>
          <w:b/>
          <w:sz w:val="22"/>
          <w:szCs w:val="22"/>
          <w:lang w:val="en-US" w:eastAsia="en-GB"/>
        </w:rPr>
      </w:pPr>
      <w:r w:rsidRPr="00ED58C0">
        <w:rPr>
          <w:rFonts w:ascii="Palatino Linotype" w:eastAsia="Times New Roman" w:hAnsi="Palatino Linotype"/>
          <w:b/>
          <w:sz w:val="22"/>
          <w:szCs w:val="22"/>
          <w:u w:val="single"/>
          <w:lang w:val="en-US" w:eastAsia="en-GB"/>
        </w:rPr>
        <w:t>Equity Markets (Figures 1-2, Table A1)</w:t>
      </w:r>
      <w:r w:rsidRPr="00ED58C0">
        <w:rPr>
          <w:rFonts w:ascii="Palatino Linotype" w:eastAsia="Times New Roman" w:hAnsi="Palatino Linotype"/>
          <w:b/>
          <w:sz w:val="22"/>
          <w:szCs w:val="22"/>
          <w:lang w:val="en-US" w:eastAsia="en-GB"/>
        </w:rPr>
        <w:t>-</w:t>
      </w:r>
    </w:p>
    <w:p w14:paraId="33D0B0C1" w14:textId="77777777" w:rsidR="00D33F7C" w:rsidRPr="00BC0641" w:rsidRDefault="00D33F7C" w:rsidP="00D33F7C">
      <w:pPr>
        <w:numPr>
          <w:ilvl w:val="0"/>
          <w:numId w:val="8"/>
        </w:numPr>
        <w:spacing w:line="276" w:lineRule="auto"/>
        <w:jc w:val="both"/>
        <w:rPr>
          <w:rFonts w:ascii="Palatino Linotype" w:eastAsia="Times New Roman" w:hAnsi="Palatino Linotype"/>
          <w:bCs/>
          <w:color w:val="FF0000"/>
          <w:sz w:val="22"/>
          <w:szCs w:val="22"/>
          <w:lang w:val="en-US" w:eastAsia="en-GB"/>
        </w:rPr>
      </w:pPr>
      <w:r w:rsidRPr="00D83536">
        <w:rPr>
          <w:rFonts w:ascii="Palatino Linotype" w:eastAsia="Times New Roman" w:hAnsi="Palatino Linotype"/>
          <w:bCs/>
          <w:sz w:val="22"/>
          <w:szCs w:val="22"/>
          <w:lang w:val="en-US" w:eastAsia="en-GB"/>
        </w:rPr>
        <w:t xml:space="preserve">In the month of </w:t>
      </w:r>
      <w:r>
        <w:rPr>
          <w:rFonts w:ascii="Palatino Linotype" w:eastAsia="Times New Roman" w:hAnsi="Palatino Linotype"/>
          <w:bCs/>
          <w:sz w:val="22"/>
          <w:szCs w:val="22"/>
          <w:lang w:val="en-US" w:eastAsia="en-GB"/>
        </w:rPr>
        <w:t>June</w:t>
      </w:r>
      <w:r w:rsidRPr="00D83536">
        <w:rPr>
          <w:rFonts w:ascii="Palatino Linotype" w:eastAsia="Times New Roman" w:hAnsi="Palatino Linotype"/>
          <w:bCs/>
          <w:sz w:val="22"/>
          <w:szCs w:val="22"/>
          <w:lang w:val="en-US" w:eastAsia="en-GB"/>
        </w:rPr>
        <w:t xml:space="preserve"> 2021, highest annualized monthly volatility amongst the BRICS countries was observed in Russian Traded (14.5 per cent) followed by South Africa FTSE (</w:t>
      </w:r>
      <w:r w:rsidRPr="00D83536">
        <w:rPr>
          <w:rFonts w:ascii="Palatino Linotype" w:eastAsia="Times New Roman" w:hAnsi="Palatino Linotype"/>
          <w:sz w:val="22"/>
          <w:szCs w:val="22"/>
          <w:lang w:val="en-IN" w:eastAsia="en-IN"/>
        </w:rPr>
        <w:t>11.7 per cent)</w:t>
      </w:r>
      <w:r w:rsidRPr="006642E5">
        <w:rPr>
          <w:rFonts w:ascii="Palatino Linotype" w:eastAsia="Times New Roman" w:hAnsi="Palatino Linotype"/>
          <w:bCs/>
          <w:sz w:val="22"/>
          <w:szCs w:val="22"/>
          <w:lang w:val="en-US" w:eastAsia="en-GB"/>
        </w:rPr>
        <w:t xml:space="preserve"> </w:t>
      </w:r>
      <w:r w:rsidRPr="00D83536">
        <w:rPr>
          <w:rFonts w:ascii="Palatino Linotype" w:eastAsia="Times New Roman" w:hAnsi="Palatino Linotype"/>
          <w:bCs/>
          <w:sz w:val="22"/>
          <w:szCs w:val="22"/>
          <w:lang w:val="en-US" w:eastAsia="en-GB"/>
        </w:rPr>
        <w:t>and</w:t>
      </w:r>
      <w:r w:rsidRPr="006642E5">
        <w:rPr>
          <w:rFonts w:ascii="Palatino Linotype" w:eastAsia="Times New Roman" w:hAnsi="Palatino Linotype"/>
          <w:bCs/>
          <w:sz w:val="22"/>
          <w:szCs w:val="22"/>
          <w:lang w:val="en-US" w:eastAsia="en-GB"/>
        </w:rPr>
        <w:t xml:space="preserve"> </w:t>
      </w:r>
      <w:r w:rsidRPr="00D83536">
        <w:rPr>
          <w:rFonts w:ascii="Palatino Linotype" w:eastAsia="Times New Roman" w:hAnsi="Palatino Linotype"/>
          <w:bCs/>
          <w:sz w:val="22"/>
          <w:szCs w:val="22"/>
          <w:lang w:val="en-US" w:eastAsia="en-GB"/>
        </w:rPr>
        <w:t>Brazil IBOVESPA</w:t>
      </w:r>
      <w:r>
        <w:rPr>
          <w:rFonts w:ascii="Palatino Linotype" w:eastAsia="Times New Roman" w:hAnsi="Palatino Linotype"/>
          <w:bCs/>
          <w:sz w:val="22"/>
          <w:szCs w:val="22"/>
          <w:lang w:val="en-US" w:eastAsia="en-GB"/>
        </w:rPr>
        <w:t xml:space="preserve"> </w:t>
      </w:r>
      <w:r w:rsidRPr="00D83536">
        <w:rPr>
          <w:rFonts w:ascii="Palatino Linotype" w:eastAsia="Times New Roman" w:hAnsi="Palatino Linotype"/>
          <w:bCs/>
          <w:sz w:val="22"/>
          <w:szCs w:val="22"/>
          <w:lang w:val="en-US" w:eastAsia="en-GB"/>
        </w:rPr>
        <w:t>(</w:t>
      </w:r>
      <w:r w:rsidRPr="006642E5">
        <w:rPr>
          <w:rFonts w:ascii="Palatino Linotype" w:eastAsia="Times New Roman" w:hAnsi="Palatino Linotype"/>
          <w:bCs/>
          <w:sz w:val="22"/>
          <w:szCs w:val="22"/>
          <w:lang w:val="en-US" w:eastAsia="en-GB"/>
        </w:rPr>
        <w:t>11.4</w:t>
      </w:r>
      <w:r w:rsidRPr="00D83536">
        <w:rPr>
          <w:rFonts w:ascii="Palatino Linotype" w:eastAsia="Times New Roman" w:hAnsi="Palatino Linotype"/>
          <w:bCs/>
          <w:sz w:val="22"/>
          <w:szCs w:val="22"/>
          <w:lang w:val="en-US" w:eastAsia="en-GB"/>
        </w:rPr>
        <w:t xml:space="preserve"> per cent). The lowest annualized volatility among BRICS was observed for India (Sensex</w:t>
      </w:r>
      <w:r>
        <w:rPr>
          <w:rFonts w:ascii="Palatino Linotype" w:eastAsia="Times New Roman" w:hAnsi="Palatino Linotype"/>
          <w:bCs/>
          <w:sz w:val="22"/>
          <w:szCs w:val="22"/>
          <w:lang w:val="en-US" w:eastAsia="en-GB"/>
        </w:rPr>
        <w:t>-</w:t>
      </w:r>
      <w:r w:rsidRPr="00D83536">
        <w:rPr>
          <w:rFonts w:ascii="Palatino Linotype" w:eastAsia="Times New Roman" w:hAnsi="Palatino Linotype"/>
          <w:bCs/>
          <w:sz w:val="22"/>
          <w:szCs w:val="22"/>
          <w:lang w:val="en-US" w:eastAsia="en-GB"/>
        </w:rPr>
        <w:t xml:space="preserve"> </w:t>
      </w:r>
      <w:r w:rsidRPr="006642E5">
        <w:rPr>
          <w:rFonts w:ascii="Palatino Linotype" w:eastAsia="Times New Roman" w:hAnsi="Palatino Linotype"/>
          <w:bCs/>
          <w:sz w:val="22"/>
          <w:szCs w:val="22"/>
          <w:lang w:val="en-US" w:eastAsia="en-GB"/>
        </w:rPr>
        <w:t>6.6</w:t>
      </w:r>
      <w:r w:rsidRPr="00D83536">
        <w:rPr>
          <w:rFonts w:ascii="Palatino Linotype" w:eastAsia="Times New Roman" w:hAnsi="Palatino Linotype"/>
          <w:bCs/>
          <w:sz w:val="22"/>
          <w:szCs w:val="22"/>
          <w:lang w:val="en-US" w:eastAsia="en-GB"/>
        </w:rPr>
        <w:t xml:space="preserve"> per cent and Nifty</w:t>
      </w:r>
      <w:r>
        <w:rPr>
          <w:rFonts w:ascii="Palatino Linotype" w:eastAsia="Times New Roman" w:hAnsi="Palatino Linotype"/>
          <w:bCs/>
          <w:sz w:val="22"/>
          <w:szCs w:val="22"/>
          <w:lang w:val="en-US" w:eastAsia="en-GB"/>
        </w:rPr>
        <w:t xml:space="preserve"> -</w:t>
      </w:r>
      <w:r w:rsidRPr="00D83536">
        <w:rPr>
          <w:rFonts w:ascii="Palatino Linotype" w:eastAsia="Times New Roman" w:hAnsi="Palatino Linotype"/>
          <w:bCs/>
          <w:sz w:val="22"/>
          <w:szCs w:val="22"/>
          <w:lang w:val="en-US" w:eastAsia="en-GB"/>
        </w:rPr>
        <w:t xml:space="preserve"> </w:t>
      </w:r>
      <w:r w:rsidRPr="006642E5">
        <w:rPr>
          <w:rFonts w:ascii="Palatino Linotype" w:eastAsia="Times New Roman" w:hAnsi="Palatino Linotype"/>
          <w:bCs/>
          <w:sz w:val="22"/>
          <w:szCs w:val="22"/>
          <w:lang w:val="en-US" w:eastAsia="en-GB"/>
        </w:rPr>
        <w:t>6.8</w:t>
      </w:r>
      <w:r w:rsidRPr="00D83536">
        <w:rPr>
          <w:rFonts w:ascii="Palatino Linotype" w:eastAsia="Times New Roman" w:hAnsi="Palatino Linotype"/>
          <w:bCs/>
          <w:sz w:val="22"/>
          <w:szCs w:val="22"/>
          <w:lang w:val="en-US" w:eastAsia="en-GB"/>
        </w:rPr>
        <w:t xml:space="preserve"> per cent)</w:t>
      </w:r>
      <w:r>
        <w:rPr>
          <w:rFonts w:ascii="Palatino Linotype" w:eastAsia="Times New Roman" w:hAnsi="Palatino Linotype"/>
          <w:bCs/>
          <w:sz w:val="22"/>
          <w:szCs w:val="22"/>
          <w:lang w:val="en-US" w:eastAsia="en-GB"/>
        </w:rPr>
        <w:t xml:space="preserve"> </w:t>
      </w:r>
      <w:r w:rsidRPr="00D83536">
        <w:rPr>
          <w:rFonts w:ascii="Palatino Linotype" w:eastAsia="Times New Roman" w:hAnsi="Palatino Linotype"/>
          <w:bCs/>
          <w:sz w:val="22"/>
          <w:szCs w:val="22"/>
          <w:lang w:val="en-US" w:eastAsia="en-GB"/>
        </w:rPr>
        <w:t>followed by Shanghai Composite (</w:t>
      </w:r>
      <w:r w:rsidRPr="000D609E">
        <w:rPr>
          <w:rFonts w:ascii="Palatino Linotype" w:eastAsia="Times New Roman" w:hAnsi="Palatino Linotype"/>
          <w:bCs/>
          <w:sz w:val="22"/>
          <w:szCs w:val="22"/>
          <w:lang w:val="en-US" w:eastAsia="en-GB"/>
        </w:rPr>
        <w:t>9</w:t>
      </w:r>
      <w:r w:rsidRPr="00D83536">
        <w:rPr>
          <w:rFonts w:ascii="Palatino Linotype" w:eastAsia="Times New Roman" w:hAnsi="Palatino Linotype"/>
          <w:bCs/>
          <w:sz w:val="22"/>
          <w:szCs w:val="22"/>
          <w:lang w:val="en-US" w:eastAsia="en-GB"/>
        </w:rPr>
        <w:t xml:space="preserve"> per cent). </w:t>
      </w:r>
    </w:p>
    <w:p w14:paraId="6819B068" w14:textId="77777777" w:rsidR="00D33F7C" w:rsidRPr="00BC0641" w:rsidRDefault="00D33F7C" w:rsidP="00D33F7C">
      <w:pPr>
        <w:spacing w:line="276" w:lineRule="auto"/>
        <w:ind w:left="360"/>
        <w:jc w:val="both"/>
        <w:rPr>
          <w:rFonts w:ascii="Palatino Linotype" w:eastAsia="Times New Roman" w:hAnsi="Palatino Linotype"/>
          <w:bCs/>
          <w:color w:val="FF0000"/>
          <w:sz w:val="22"/>
          <w:szCs w:val="22"/>
          <w:lang w:val="en-US" w:eastAsia="en-GB"/>
        </w:rPr>
      </w:pPr>
    </w:p>
    <w:p w14:paraId="3C916CE2" w14:textId="77777777" w:rsidR="00D33F7C" w:rsidRPr="00D83536" w:rsidRDefault="00D33F7C" w:rsidP="00D33F7C">
      <w:pPr>
        <w:numPr>
          <w:ilvl w:val="0"/>
          <w:numId w:val="8"/>
        </w:numPr>
        <w:spacing w:line="276" w:lineRule="auto"/>
        <w:jc w:val="both"/>
        <w:rPr>
          <w:rFonts w:ascii="Palatino Linotype" w:eastAsia="Times New Roman" w:hAnsi="Palatino Linotype"/>
          <w:bCs/>
          <w:color w:val="FF0000"/>
          <w:sz w:val="22"/>
          <w:szCs w:val="22"/>
          <w:lang w:val="en-US" w:eastAsia="en-GB"/>
        </w:rPr>
      </w:pPr>
      <w:r w:rsidRPr="00D83536">
        <w:rPr>
          <w:rFonts w:ascii="Palatino Linotype" w:eastAsia="Times New Roman" w:hAnsi="Palatino Linotype"/>
          <w:bCs/>
          <w:sz w:val="22"/>
          <w:szCs w:val="22"/>
          <w:lang w:val="en-US" w:eastAsia="en-GB"/>
        </w:rPr>
        <w:t>Among the developed markets, highest annualized volatility was observed in Japan Nikkei (</w:t>
      </w:r>
      <w:r w:rsidRPr="000D609E">
        <w:rPr>
          <w:rFonts w:ascii="Palatino Linotype" w:eastAsia="Times New Roman" w:hAnsi="Palatino Linotype"/>
          <w:bCs/>
          <w:sz w:val="22"/>
          <w:szCs w:val="22"/>
          <w:lang w:val="en-US" w:eastAsia="en-GB"/>
        </w:rPr>
        <w:t>17</w:t>
      </w:r>
      <w:r w:rsidRPr="00D83536">
        <w:rPr>
          <w:rFonts w:ascii="Palatino Linotype" w:eastAsia="Times New Roman" w:hAnsi="Palatino Linotype"/>
          <w:bCs/>
          <w:sz w:val="22"/>
          <w:szCs w:val="22"/>
          <w:lang w:val="en-US" w:eastAsia="en-GB"/>
        </w:rPr>
        <w:t xml:space="preserve"> per cent) and the lowest was observed at South Korea KOSPI (</w:t>
      </w:r>
      <w:r w:rsidRPr="000D609E">
        <w:rPr>
          <w:rFonts w:ascii="Palatino Linotype" w:eastAsia="Times New Roman" w:hAnsi="Palatino Linotype"/>
          <w:bCs/>
          <w:sz w:val="22"/>
          <w:szCs w:val="22"/>
          <w:lang w:val="en-US" w:eastAsia="en-GB"/>
        </w:rPr>
        <w:t>7.5</w:t>
      </w:r>
      <w:r w:rsidRPr="00D83536">
        <w:rPr>
          <w:rFonts w:ascii="Palatino Linotype" w:eastAsia="Times New Roman" w:hAnsi="Palatino Linotype"/>
          <w:bCs/>
          <w:sz w:val="22"/>
          <w:szCs w:val="22"/>
          <w:lang w:val="en-US" w:eastAsia="en-GB"/>
        </w:rPr>
        <w:t xml:space="preserve"> per cent). </w:t>
      </w:r>
    </w:p>
    <w:p w14:paraId="320AF18B" w14:textId="77777777" w:rsidR="00D33F7C" w:rsidRPr="00D83536" w:rsidRDefault="00D33F7C" w:rsidP="00D33F7C">
      <w:pPr>
        <w:spacing w:line="276" w:lineRule="auto"/>
        <w:ind w:left="357"/>
        <w:jc w:val="both"/>
        <w:rPr>
          <w:rFonts w:ascii="Garamond" w:eastAsia="Times New Roman" w:hAnsi="Garamond"/>
          <w:bCs/>
          <w:color w:val="FF0000"/>
          <w:lang w:val="en-US" w:eastAsia="en-GB"/>
        </w:rPr>
      </w:pPr>
    </w:p>
    <w:p w14:paraId="68E13A5C" w14:textId="77777777" w:rsidR="00D33F7C" w:rsidRPr="00D83536" w:rsidRDefault="00D33F7C" w:rsidP="00D33F7C">
      <w:pPr>
        <w:numPr>
          <w:ilvl w:val="0"/>
          <w:numId w:val="8"/>
        </w:numPr>
        <w:spacing w:line="276" w:lineRule="auto"/>
        <w:jc w:val="both"/>
        <w:rPr>
          <w:rFonts w:ascii="Palatino Linotype" w:eastAsia="Times New Roman" w:hAnsi="Palatino Linotype"/>
          <w:bCs/>
          <w:color w:val="FF0000"/>
          <w:sz w:val="22"/>
          <w:szCs w:val="22"/>
          <w:lang w:val="en-US" w:eastAsia="en-GB"/>
        </w:rPr>
      </w:pPr>
      <w:r w:rsidRPr="00D83536">
        <w:rPr>
          <w:rFonts w:ascii="Palatino Linotype" w:eastAsia="Times New Roman" w:hAnsi="Palatino Linotype"/>
          <w:bCs/>
          <w:sz w:val="22"/>
          <w:szCs w:val="22"/>
          <w:lang w:val="en-US" w:eastAsia="en-GB"/>
        </w:rPr>
        <w:t>In most of the analyzed markets</w:t>
      </w:r>
      <w:r w:rsidRPr="00D83536">
        <w:rPr>
          <w:rFonts w:ascii="Palatino Linotype" w:eastAsia="Times New Roman" w:hAnsi="Palatino Linotype"/>
          <w:bCs/>
          <w:sz w:val="22"/>
          <w:szCs w:val="22"/>
          <w:vertAlign w:val="superscript"/>
          <w:lang w:val="en-US" w:eastAsia="en-GB"/>
        </w:rPr>
        <w:footnoteReference w:id="3"/>
      </w:r>
      <w:r w:rsidRPr="00D83536">
        <w:rPr>
          <w:rFonts w:ascii="Palatino Linotype" w:eastAsia="Times New Roman" w:hAnsi="Palatino Linotype"/>
          <w:bCs/>
          <w:sz w:val="22"/>
          <w:szCs w:val="22"/>
          <w:lang w:val="en-US" w:eastAsia="en-GB"/>
        </w:rPr>
        <w:t xml:space="preserve">, an increase was observed in the indices during </w:t>
      </w:r>
      <w:r>
        <w:rPr>
          <w:rFonts w:ascii="Palatino Linotype" w:eastAsia="Times New Roman" w:hAnsi="Palatino Linotype"/>
          <w:bCs/>
          <w:sz w:val="22"/>
          <w:szCs w:val="22"/>
          <w:lang w:val="en-US" w:eastAsia="en-GB"/>
        </w:rPr>
        <w:t>June</w:t>
      </w:r>
      <w:r w:rsidRPr="00D83536">
        <w:rPr>
          <w:rFonts w:ascii="Palatino Linotype" w:eastAsia="Times New Roman" w:hAnsi="Palatino Linotype"/>
          <w:bCs/>
          <w:sz w:val="22"/>
          <w:szCs w:val="22"/>
          <w:lang w:val="en-US" w:eastAsia="en-GB"/>
        </w:rPr>
        <w:t xml:space="preserve"> 2021 over the previous month. Amongst BRICS nations, an increase was observed in Russian Traded (</w:t>
      </w:r>
      <w:r w:rsidRPr="006E44A7">
        <w:rPr>
          <w:rFonts w:ascii="Palatino Linotype" w:eastAsia="Times New Roman" w:hAnsi="Palatino Linotype"/>
          <w:bCs/>
          <w:sz w:val="22"/>
          <w:szCs w:val="22"/>
          <w:lang w:val="en-US" w:eastAsia="en-GB"/>
        </w:rPr>
        <w:t>4.4</w:t>
      </w:r>
      <w:r w:rsidRPr="00D83536">
        <w:rPr>
          <w:rFonts w:ascii="Palatino Linotype" w:eastAsia="Times New Roman" w:hAnsi="Palatino Linotype"/>
          <w:bCs/>
          <w:sz w:val="22"/>
          <w:szCs w:val="22"/>
          <w:lang w:val="en-US" w:eastAsia="en-GB"/>
        </w:rPr>
        <w:t xml:space="preserve"> per cent), followed by India’s Nifty 50 &amp; S&amp;P BSE SENSEX (</w:t>
      </w:r>
      <w:r w:rsidRPr="006E44A7">
        <w:rPr>
          <w:rFonts w:ascii="Palatino Linotype" w:eastAsia="Times New Roman" w:hAnsi="Palatino Linotype"/>
          <w:bCs/>
          <w:sz w:val="22"/>
          <w:szCs w:val="22"/>
          <w:lang w:val="en-US" w:eastAsia="en-GB"/>
        </w:rPr>
        <w:t>0.9</w:t>
      </w:r>
      <w:r>
        <w:rPr>
          <w:rFonts w:ascii="Palatino Linotype" w:eastAsia="Times New Roman" w:hAnsi="Palatino Linotype"/>
          <w:bCs/>
          <w:sz w:val="22"/>
          <w:szCs w:val="22"/>
          <w:lang w:val="en-US" w:eastAsia="en-GB"/>
        </w:rPr>
        <w:t xml:space="preserve"> and </w:t>
      </w:r>
      <w:r w:rsidRPr="006E44A7">
        <w:rPr>
          <w:rFonts w:ascii="Palatino Linotype" w:eastAsia="Times New Roman" w:hAnsi="Palatino Linotype"/>
          <w:bCs/>
          <w:sz w:val="22"/>
          <w:szCs w:val="22"/>
          <w:lang w:val="en-US" w:eastAsia="en-GB"/>
        </w:rPr>
        <w:t>1</w:t>
      </w:r>
      <w:r w:rsidRPr="00D83536">
        <w:rPr>
          <w:rFonts w:ascii="Palatino Linotype" w:eastAsia="Times New Roman" w:hAnsi="Palatino Linotype"/>
          <w:bCs/>
          <w:sz w:val="22"/>
          <w:szCs w:val="22"/>
          <w:lang w:val="en-US" w:eastAsia="en-GB"/>
        </w:rPr>
        <w:t xml:space="preserve"> per cent </w:t>
      </w:r>
      <w:r>
        <w:rPr>
          <w:rFonts w:ascii="Palatino Linotype" w:eastAsia="Times New Roman" w:hAnsi="Palatino Linotype"/>
          <w:bCs/>
          <w:sz w:val="22"/>
          <w:szCs w:val="22"/>
          <w:lang w:val="en-US" w:eastAsia="en-GB"/>
        </w:rPr>
        <w:t>respectively</w:t>
      </w:r>
      <w:r w:rsidRPr="00D83536">
        <w:rPr>
          <w:rFonts w:ascii="Palatino Linotype" w:eastAsia="Times New Roman" w:hAnsi="Palatino Linotype"/>
          <w:bCs/>
          <w:sz w:val="22"/>
          <w:szCs w:val="22"/>
          <w:lang w:val="en-US" w:eastAsia="en-GB"/>
        </w:rPr>
        <w:t xml:space="preserve">) and Brazil IBOVESPA by </w:t>
      </w:r>
      <w:r w:rsidRPr="006E44A7">
        <w:rPr>
          <w:rFonts w:ascii="Palatino Linotype" w:eastAsia="Times New Roman" w:hAnsi="Palatino Linotype"/>
          <w:bCs/>
          <w:sz w:val="22"/>
          <w:szCs w:val="22"/>
          <w:lang w:val="en-US" w:eastAsia="en-GB"/>
        </w:rPr>
        <w:t>0.5</w:t>
      </w:r>
      <w:r w:rsidRPr="00D83536">
        <w:rPr>
          <w:rFonts w:ascii="Palatino Linotype" w:eastAsia="Times New Roman" w:hAnsi="Palatino Linotype"/>
          <w:bCs/>
          <w:sz w:val="22"/>
          <w:szCs w:val="22"/>
          <w:lang w:val="en-US" w:eastAsia="en-GB"/>
        </w:rPr>
        <w:t xml:space="preserve"> per cent. Shanghai Composite </w:t>
      </w:r>
      <w:r>
        <w:rPr>
          <w:rFonts w:ascii="Palatino Linotype" w:eastAsia="Times New Roman" w:hAnsi="Palatino Linotype"/>
          <w:bCs/>
          <w:sz w:val="22"/>
          <w:szCs w:val="22"/>
          <w:lang w:val="en-US" w:eastAsia="en-GB"/>
        </w:rPr>
        <w:t>contracted</w:t>
      </w:r>
      <w:r w:rsidRPr="00D83536">
        <w:rPr>
          <w:rFonts w:ascii="Palatino Linotype" w:eastAsia="Times New Roman" w:hAnsi="Palatino Linotype"/>
          <w:bCs/>
          <w:sz w:val="22"/>
          <w:szCs w:val="22"/>
          <w:lang w:val="en-US" w:eastAsia="en-GB"/>
        </w:rPr>
        <w:t xml:space="preserve"> by </w:t>
      </w:r>
      <w:r w:rsidRPr="006E44A7">
        <w:rPr>
          <w:rFonts w:ascii="Palatino Linotype" w:eastAsia="Times New Roman" w:hAnsi="Palatino Linotype"/>
          <w:bCs/>
          <w:sz w:val="22"/>
          <w:szCs w:val="22"/>
          <w:lang w:val="en-US" w:eastAsia="en-GB"/>
        </w:rPr>
        <w:t>0.7</w:t>
      </w:r>
      <w:r w:rsidRPr="00D83536">
        <w:rPr>
          <w:rFonts w:ascii="Palatino Linotype" w:eastAsia="Times New Roman" w:hAnsi="Palatino Linotype"/>
          <w:bCs/>
          <w:sz w:val="22"/>
          <w:szCs w:val="22"/>
          <w:lang w:val="en-US" w:eastAsia="en-GB"/>
        </w:rPr>
        <w:t xml:space="preserve"> per cent whereas South Africa FTSE </w:t>
      </w:r>
      <w:r>
        <w:rPr>
          <w:rFonts w:ascii="Palatino Linotype" w:eastAsia="Times New Roman" w:hAnsi="Palatino Linotype"/>
          <w:bCs/>
          <w:sz w:val="22"/>
          <w:szCs w:val="22"/>
          <w:lang w:val="en-US" w:eastAsia="en-GB"/>
        </w:rPr>
        <w:t>declined</w:t>
      </w:r>
      <w:r w:rsidRPr="00D83536">
        <w:rPr>
          <w:rFonts w:ascii="Palatino Linotype" w:eastAsia="Times New Roman" w:hAnsi="Palatino Linotype"/>
          <w:bCs/>
          <w:sz w:val="22"/>
          <w:szCs w:val="22"/>
          <w:lang w:val="en-US" w:eastAsia="en-GB"/>
        </w:rPr>
        <w:t xml:space="preserve"> by </w:t>
      </w:r>
      <w:r w:rsidRPr="006E44A7">
        <w:rPr>
          <w:rFonts w:ascii="Palatino Linotype" w:eastAsia="Times New Roman" w:hAnsi="Palatino Linotype"/>
          <w:bCs/>
          <w:sz w:val="22"/>
          <w:szCs w:val="22"/>
          <w:lang w:val="en-US" w:eastAsia="en-GB"/>
        </w:rPr>
        <w:t>2.5</w:t>
      </w:r>
      <w:r w:rsidRPr="00D83536">
        <w:rPr>
          <w:rFonts w:ascii="Palatino Linotype" w:eastAsia="Times New Roman" w:hAnsi="Palatino Linotype"/>
          <w:bCs/>
          <w:sz w:val="22"/>
          <w:szCs w:val="22"/>
          <w:lang w:val="en-US" w:eastAsia="en-GB"/>
        </w:rPr>
        <w:t xml:space="preserve">. </w:t>
      </w:r>
    </w:p>
    <w:p w14:paraId="2388C599" w14:textId="77777777" w:rsidR="00D33F7C" w:rsidRPr="00D83536" w:rsidRDefault="00D33F7C" w:rsidP="00D33F7C">
      <w:pPr>
        <w:spacing w:line="276" w:lineRule="auto"/>
        <w:ind w:left="357"/>
        <w:jc w:val="both"/>
        <w:rPr>
          <w:rFonts w:ascii="Garamond" w:eastAsia="Times New Roman" w:hAnsi="Garamond"/>
          <w:bCs/>
          <w:color w:val="FF0000"/>
          <w:lang w:val="en-US" w:eastAsia="en-GB"/>
        </w:rPr>
      </w:pPr>
    </w:p>
    <w:p w14:paraId="511140D1" w14:textId="77777777" w:rsidR="00D33F7C" w:rsidRPr="00D83536" w:rsidRDefault="00D33F7C" w:rsidP="00D33F7C">
      <w:pPr>
        <w:numPr>
          <w:ilvl w:val="0"/>
          <w:numId w:val="8"/>
        </w:numPr>
        <w:spacing w:line="276" w:lineRule="auto"/>
        <w:contextualSpacing/>
        <w:jc w:val="both"/>
        <w:rPr>
          <w:rFonts w:ascii="Palatino Linotype" w:eastAsia="Times New Roman" w:hAnsi="Palatino Linotype"/>
          <w:bCs/>
          <w:sz w:val="22"/>
          <w:szCs w:val="22"/>
          <w:lang w:val="en-US" w:eastAsia="en-GB"/>
        </w:rPr>
      </w:pPr>
      <w:r w:rsidRPr="00D83536">
        <w:rPr>
          <w:rFonts w:ascii="Palatino Linotype" w:eastAsia="Times New Roman" w:hAnsi="Palatino Linotype"/>
          <w:bCs/>
          <w:sz w:val="22"/>
          <w:szCs w:val="22"/>
          <w:lang w:val="en-US" w:eastAsia="en-GB"/>
        </w:rPr>
        <w:t xml:space="preserve">Among the developed economies, in the month of </w:t>
      </w:r>
      <w:r>
        <w:rPr>
          <w:rFonts w:ascii="Palatino Linotype" w:eastAsia="Times New Roman" w:hAnsi="Palatino Linotype"/>
          <w:bCs/>
          <w:sz w:val="22"/>
          <w:szCs w:val="22"/>
          <w:lang w:val="en-US" w:eastAsia="en-GB"/>
        </w:rPr>
        <w:t>June</w:t>
      </w:r>
      <w:r w:rsidRPr="00D83536">
        <w:rPr>
          <w:rFonts w:ascii="Palatino Linotype" w:eastAsia="Times New Roman" w:hAnsi="Palatino Linotype"/>
          <w:bCs/>
          <w:sz w:val="22"/>
          <w:szCs w:val="22"/>
          <w:lang w:val="en-US" w:eastAsia="en-GB"/>
        </w:rPr>
        <w:t xml:space="preserve"> 2021, highest indices growth was observed for Nasdaq COMPOSITE (</w:t>
      </w:r>
      <w:r w:rsidRPr="00A5514D">
        <w:rPr>
          <w:rFonts w:ascii="Palatino Linotype" w:eastAsia="Times New Roman" w:hAnsi="Palatino Linotype"/>
          <w:bCs/>
          <w:sz w:val="22"/>
          <w:szCs w:val="22"/>
          <w:lang w:val="en-US" w:eastAsia="en-GB"/>
        </w:rPr>
        <w:t>5.5</w:t>
      </w:r>
      <w:r w:rsidRPr="00D83536">
        <w:rPr>
          <w:rFonts w:ascii="Palatino Linotype" w:eastAsia="Times New Roman" w:hAnsi="Palatino Linotype"/>
          <w:bCs/>
          <w:sz w:val="22"/>
          <w:szCs w:val="22"/>
          <w:lang w:val="en-US" w:eastAsia="en-GB"/>
        </w:rPr>
        <w:t xml:space="preserve"> per cent) followed by</w:t>
      </w:r>
      <w:r>
        <w:rPr>
          <w:rFonts w:ascii="Palatino Linotype" w:eastAsia="Times New Roman" w:hAnsi="Palatino Linotype"/>
          <w:bCs/>
          <w:sz w:val="22"/>
          <w:szCs w:val="22"/>
          <w:lang w:val="en-US" w:eastAsia="en-GB"/>
        </w:rPr>
        <w:t xml:space="preserve"> South Korea KOSPI </w:t>
      </w:r>
      <w:r w:rsidRPr="00D83536">
        <w:rPr>
          <w:rFonts w:ascii="Palatino Linotype" w:eastAsia="Times New Roman" w:hAnsi="Palatino Linotype"/>
          <w:bCs/>
          <w:sz w:val="22"/>
          <w:szCs w:val="22"/>
          <w:lang w:val="en-US" w:eastAsia="en-GB"/>
        </w:rPr>
        <w:t>(</w:t>
      </w:r>
      <w:r>
        <w:rPr>
          <w:rFonts w:ascii="Palatino Linotype" w:eastAsia="Times New Roman" w:hAnsi="Palatino Linotype"/>
          <w:bCs/>
          <w:sz w:val="22"/>
          <w:szCs w:val="22"/>
          <w:lang w:val="en-US" w:eastAsia="en-GB"/>
        </w:rPr>
        <w:t>2.9</w:t>
      </w:r>
      <w:r w:rsidRPr="00D83536">
        <w:rPr>
          <w:rFonts w:ascii="Palatino Linotype" w:eastAsia="Times New Roman" w:hAnsi="Palatino Linotype"/>
          <w:bCs/>
          <w:sz w:val="22"/>
          <w:szCs w:val="22"/>
          <w:lang w:val="en-US" w:eastAsia="en-GB"/>
        </w:rPr>
        <w:t xml:space="preserve"> per cent). A decrease in monthly growth was observed in and Singapore STI (1</w:t>
      </w:r>
      <w:r>
        <w:rPr>
          <w:rFonts w:ascii="Palatino Linotype" w:eastAsia="Times New Roman" w:hAnsi="Palatino Linotype"/>
          <w:bCs/>
          <w:sz w:val="22"/>
          <w:szCs w:val="22"/>
          <w:lang w:val="en-US" w:eastAsia="en-GB"/>
        </w:rPr>
        <w:t>.1</w:t>
      </w:r>
      <w:r w:rsidRPr="00D83536">
        <w:rPr>
          <w:rFonts w:ascii="Palatino Linotype" w:eastAsia="Times New Roman" w:hAnsi="Palatino Linotype"/>
          <w:bCs/>
          <w:sz w:val="22"/>
          <w:szCs w:val="22"/>
          <w:lang w:val="en-US" w:eastAsia="en-GB"/>
        </w:rPr>
        <w:t xml:space="preserve"> per cent)</w:t>
      </w:r>
      <w:r>
        <w:rPr>
          <w:rFonts w:ascii="Palatino Linotype" w:eastAsia="Times New Roman" w:hAnsi="Palatino Linotype"/>
          <w:bCs/>
          <w:sz w:val="22"/>
          <w:szCs w:val="22"/>
          <w:lang w:val="en-US" w:eastAsia="en-GB"/>
        </w:rPr>
        <w:t xml:space="preserve"> followed by</w:t>
      </w:r>
      <w:r w:rsidRPr="00707549">
        <w:rPr>
          <w:rFonts w:ascii="Palatino Linotype" w:eastAsia="Times New Roman" w:hAnsi="Palatino Linotype"/>
          <w:bCs/>
          <w:sz w:val="22"/>
          <w:szCs w:val="22"/>
          <w:lang w:val="en-US" w:eastAsia="en-GB"/>
        </w:rPr>
        <w:t xml:space="preserve"> </w:t>
      </w:r>
      <w:r w:rsidRPr="00D83536">
        <w:rPr>
          <w:rFonts w:ascii="Palatino Linotype" w:eastAsia="Times New Roman" w:hAnsi="Palatino Linotype"/>
          <w:bCs/>
          <w:sz w:val="22"/>
          <w:szCs w:val="22"/>
          <w:lang w:val="en-US" w:eastAsia="en-GB"/>
        </w:rPr>
        <w:t>Japan Nikkei (</w:t>
      </w:r>
      <w:r>
        <w:rPr>
          <w:rFonts w:ascii="Palatino Linotype" w:eastAsia="Times New Roman" w:hAnsi="Palatino Linotype"/>
          <w:bCs/>
          <w:sz w:val="22"/>
          <w:szCs w:val="22"/>
          <w:lang w:val="en-US" w:eastAsia="en-GB"/>
        </w:rPr>
        <w:t>0.2</w:t>
      </w:r>
      <w:r w:rsidRPr="00D83536">
        <w:rPr>
          <w:rFonts w:ascii="Palatino Linotype" w:eastAsia="Times New Roman" w:hAnsi="Palatino Linotype"/>
          <w:bCs/>
          <w:sz w:val="22"/>
          <w:szCs w:val="22"/>
          <w:lang w:val="en-US" w:eastAsia="en-GB"/>
        </w:rPr>
        <w:t xml:space="preserve"> per cent). Growth </w:t>
      </w:r>
      <w:r>
        <w:rPr>
          <w:rFonts w:ascii="Palatino Linotype" w:eastAsia="Times New Roman" w:hAnsi="Palatino Linotype"/>
          <w:bCs/>
          <w:sz w:val="22"/>
          <w:szCs w:val="22"/>
          <w:lang w:val="en-US" w:eastAsia="en-GB"/>
        </w:rPr>
        <w:t xml:space="preserve">rate </w:t>
      </w:r>
      <w:r w:rsidRPr="00D83536">
        <w:rPr>
          <w:rFonts w:ascii="Palatino Linotype" w:eastAsia="Times New Roman" w:hAnsi="Palatino Linotype"/>
          <w:bCs/>
          <w:sz w:val="22"/>
          <w:szCs w:val="22"/>
          <w:lang w:val="en-US" w:eastAsia="en-GB"/>
        </w:rPr>
        <w:t>in UK FTSE 100, France CAC 40</w:t>
      </w:r>
      <w:r>
        <w:rPr>
          <w:rFonts w:ascii="Palatino Linotype" w:eastAsia="Times New Roman" w:hAnsi="Palatino Linotype"/>
          <w:bCs/>
          <w:sz w:val="22"/>
          <w:szCs w:val="22"/>
          <w:lang w:val="en-US" w:eastAsia="en-GB"/>
        </w:rPr>
        <w:t xml:space="preserve">, </w:t>
      </w:r>
      <w:r w:rsidRPr="00D83536">
        <w:rPr>
          <w:rFonts w:ascii="Palatino Linotype" w:eastAsia="Times New Roman" w:hAnsi="Palatino Linotype"/>
          <w:bCs/>
          <w:sz w:val="22"/>
          <w:szCs w:val="22"/>
          <w:lang w:val="en-US" w:eastAsia="en-GB"/>
        </w:rPr>
        <w:t>USA Dow Jones and German DAX were</w:t>
      </w:r>
      <w:r>
        <w:rPr>
          <w:rFonts w:ascii="Palatino Linotype" w:eastAsia="Times New Roman" w:hAnsi="Palatino Linotype"/>
          <w:bCs/>
          <w:sz w:val="22"/>
          <w:szCs w:val="22"/>
          <w:lang w:val="en-US" w:eastAsia="en-GB"/>
        </w:rPr>
        <w:t xml:space="preserve"> 0.2,</w:t>
      </w:r>
      <w:r w:rsidRPr="00D83536">
        <w:rPr>
          <w:rFonts w:ascii="Palatino Linotype" w:eastAsia="Times New Roman" w:hAnsi="Palatino Linotype"/>
          <w:bCs/>
          <w:sz w:val="22"/>
          <w:szCs w:val="22"/>
          <w:lang w:val="en-US" w:eastAsia="en-GB"/>
        </w:rPr>
        <w:t xml:space="preserve"> 0.</w:t>
      </w:r>
      <w:r>
        <w:rPr>
          <w:rFonts w:ascii="Palatino Linotype" w:eastAsia="Times New Roman" w:hAnsi="Palatino Linotype"/>
          <w:bCs/>
          <w:sz w:val="22"/>
          <w:szCs w:val="22"/>
          <w:lang w:val="en-US" w:eastAsia="en-GB"/>
        </w:rPr>
        <w:t>9</w:t>
      </w:r>
      <w:r w:rsidRPr="00D83536">
        <w:rPr>
          <w:rFonts w:ascii="Palatino Linotype" w:eastAsia="Times New Roman" w:hAnsi="Palatino Linotype"/>
          <w:bCs/>
          <w:sz w:val="22"/>
          <w:szCs w:val="22"/>
          <w:lang w:val="en-US" w:eastAsia="en-GB"/>
        </w:rPr>
        <w:t xml:space="preserve">, </w:t>
      </w:r>
      <w:r>
        <w:rPr>
          <w:rFonts w:ascii="Palatino Linotype" w:eastAsia="Times New Roman" w:hAnsi="Palatino Linotype"/>
          <w:bCs/>
          <w:sz w:val="22"/>
          <w:szCs w:val="22"/>
          <w:lang w:val="en-US" w:eastAsia="en-GB"/>
        </w:rPr>
        <w:t>-0.1</w:t>
      </w:r>
      <w:r w:rsidRPr="00D83536">
        <w:rPr>
          <w:rFonts w:ascii="Palatino Linotype" w:eastAsia="Times New Roman" w:hAnsi="Palatino Linotype"/>
          <w:bCs/>
          <w:sz w:val="22"/>
          <w:szCs w:val="22"/>
          <w:lang w:val="en-US" w:eastAsia="en-GB"/>
        </w:rPr>
        <w:t xml:space="preserve"> and </w:t>
      </w:r>
      <w:r>
        <w:rPr>
          <w:rFonts w:ascii="Palatino Linotype" w:eastAsia="Times New Roman" w:hAnsi="Palatino Linotype"/>
          <w:bCs/>
          <w:sz w:val="22"/>
          <w:szCs w:val="22"/>
          <w:lang w:val="en-US" w:eastAsia="en-GB"/>
        </w:rPr>
        <w:t>0.7</w:t>
      </w:r>
      <w:r w:rsidRPr="00D83536">
        <w:rPr>
          <w:rFonts w:ascii="Palatino Linotype" w:eastAsia="Times New Roman" w:hAnsi="Palatino Linotype"/>
          <w:bCs/>
          <w:sz w:val="22"/>
          <w:szCs w:val="22"/>
          <w:lang w:val="en-US" w:eastAsia="en-GB"/>
        </w:rPr>
        <w:t xml:space="preserve"> per cent respec</w:t>
      </w:r>
      <w:r>
        <w:rPr>
          <w:rFonts w:ascii="Palatino Linotype" w:eastAsia="Times New Roman" w:hAnsi="Palatino Linotype"/>
          <w:bCs/>
          <w:sz w:val="22"/>
          <w:szCs w:val="22"/>
          <w:lang w:val="en-US" w:eastAsia="en-GB"/>
        </w:rPr>
        <w:t>tively over the previous month.</w:t>
      </w:r>
    </w:p>
    <w:p w14:paraId="1DF081A5" w14:textId="77777777" w:rsidR="00D33F7C" w:rsidRDefault="00D33F7C" w:rsidP="00D33F7C">
      <w:pPr>
        <w:spacing w:line="23" w:lineRule="atLeast"/>
        <w:jc w:val="both"/>
        <w:outlineLvl w:val="0"/>
        <w:rPr>
          <w:rFonts w:ascii="Garamond" w:hAnsi="Garamond"/>
          <w:b/>
          <w:bCs/>
          <w:noProof/>
          <w:lang w:val="en-US"/>
        </w:rPr>
      </w:pPr>
    </w:p>
    <w:p w14:paraId="2EAA6A1D" w14:textId="77777777" w:rsidR="00D33F7C" w:rsidRDefault="00D33F7C" w:rsidP="00D33F7C">
      <w:pPr>
        <w:spacing w:line="23" w:lineRule="atLeast"/>
        <w:jc w:val="both"/>
        <w:outlineLvl w:val="0"/>
        <w:rPr>
          <w:rFonts w:ascii="Garamond" w:hAnsi="Garamond"/>
          <w:b/>
          <w:bCs/>
          <w:noProof/>
          <w:lang w:val="en-US"/>
        </w:rPr>
      </w:pPr>
    </w:p>
    <w:p w14:paraId="5AB5A5D6" w14:textId="77777777" w:rsidR="00D33F7C" w:rsidRDefault="00D33F7C" w:rsidP="00D33F7C">
      <w:pPr>
        <w:spacing w:line="23" w:lineRule="atLeast"/>
        <w:jc w:val="both"/>
        <w:outlineLvl w:val="0"/>
        <w:rPr>
          <w:rFonts w:ascii="Garamond" w:hAnsi="Garamond"/>
          <w:b/>
          <w:bCs/>
          <w:noProof/>
          <w:lang w:val="en-US"/>
        </w:rPr>
      </w:pPr>
    </w:p>
    <w:p w14:paraId="05A7F1A4" w14:textId="77777777" w:rsidR="00D33F7C" w:rsidRDefault="00D33F7C" w:rsidP="00D33F7C">
      <w:pPr>
        <w:spacing w:line="23" w:lineRule="atLeast"/>
        <w:jc w:val="both"/>
        <w:outlineLvl w:val="0"/>
        <w:rPr>
          <w:rFonts w:ascii="Garamond" w:hAnsi="Garamond"/>
          <w:b/>
          <w:bCs/>
          <w:noProof/>
          <w:lang w:val="en-US"/>
        </w:rPr>
      </w:pPr>
    </w:p>
    <w:p w14:paraId="16EDCD77" w14:textId="77777777" w:rsidR="00D33F7C" w:rsidRDefault="00D33F7C" w:rsidP="00D33F7C">
      <w:pPr>
        <w:spacing w:line="23" w:lineRule="atLeast"/>
        <w:jc w:val="both"/>
        <w:outlineLvl w:val="0"/>
        <w:rPr>
          <w:rFonts w:ascii="Garamond" w:hAnsi="Garamond"/>
          <w:b/>
          <w:bCs/>
          <w:noProof/>
          <w:lang w:val="en-US"/>
        </w:rPr>
      </w:pPr>
    </w:p>
    <w:p w14:paraId="3BEFFA24" w14:textId="77777777" w:rsidR="00D33F7C" w:rsidRDefault="00D33F7C" w:rsidP="00D33F7C">
      <w:pPr>
        <w:spacing w:line="23" w:lineRule="atLeast"/>
        <w:jc w:val="both"/>
        <w:outlineLvl w:val="0"/>
        <w:rPr>
          <w:rFonts w:ascii="Garamond" w:hAnsi="Garamond"/>
          <w:b/>
          <w:bCs/>
          <w:noProof/>
          <w:lang w:val="en-US"/>
        </w:rPr>
      </w:pPr>
    </w:p>
    <w:p w14:paraId="005BFB7E" w14:textId="77777777" w:rsidR="00D33F7C" w:rsidRDefault="00D33F7C" w:rsidP="00D33F7C">
      <w:pPr>
        <w:spacing w:line="23" w:lineRule="atLeast"/>
        <w:jc w:val="both"/>
        <w:outlineLvl w:val="0"/>
        <w:rPr>
          <w:rFonts w:ascii="Garamond" w:hAnsi="Garamond"/>
          <w:b/>
          <w:bCs/>
          <w:noProof/>
          <w:lang w:val="en-US"/>
        </w:rPr>
      </w:pPr>
    </w:p>
    <w:p w14:paraId="63CBBE07" w14:textId="77777777" w:rsidR="00D33F7C" w:rsidRDefault="00D33F7C" w:rsidP="00D33F7C">
      <w:pPr>
        <w:spacing w:line="23" w:lineRule="atLeast"/>
        <w:jc w:val="both"/>
        <w:outlineLvl w:val="0"/>
        <w:rPr>
          <w:rFonts w:ascii="Garamond" w:hAnsi="Garamond"/>
          <w:b/>
          <w:bCs/>
          <w:noProof/>
          <w:lang w:val="en-US"/>
        </w:rPr>
      </w:pPr>
    </w:p>
    <w:p w14:paraId="1A4607A9" w14:textId="77777777" w:rsidR="00D33F7C" w:rsidRDefault="00D33F7C" w:rsidP="00D33F7C">
      <w:pPr>
        <w:spacing w:line="23" w:lineRule="atLeast"/>
        <w:jc w:val="both"/>
        <w:outlineLvl w:val="0"/>
        <w:rPr>
          <w:rFonts w:ascii="Garamond" w:hAnsi="Garamond"/>
          <w:b/>
          <w:bCs/>
          <w:noProof/>
          <w:lang w:val="en-US"/>
        </w:rPr>
      </w:pPr>
    </w:p>
    <w:p w14:paraId="0BA09C97" w14:textId="77777777" w:rsidR="00D33F7C" w:rsidRDefault="00D33F7C" w:rsidP="00D33F7C">
      <w:pPr>
        <w:spacing w:line="23" w:lineRule="atLeast"/>
        <w:jc w:val="both"/>
        <w:outlineLvl w:val="0"/>
        <w:rPr>
          <w:rFonts w:ascii="Garamond" w:hAnsi="Garamond"/>
          <w:b/>
          <w:bCs/>
          <w:noProof/>
          <w:lang w:val="en-US"/>
        </w:rPr>
      </w:pPr>
    </w:p>
    <w:p w14:paraId="2BA3F731" w14:textId="77777777" w:rsidR="004D10FC" w:rsidRDefault="004D10FC" w:rsidP="00D33F7C">
      <w:pPr>
        <w:spacing w:line="23" w:lineRule="atLeast"/>
        <w:jc w:val="both"/>
        <w:outlineLvl w:val="0"/>
        <w:rPr>
          <w:rFonts w:ascii="Garamond" w:hAnsi="Garamond"/>
          <w:b/>
          <w:bCs/>
          <w:noProof/>
          <w:lang w:val="en-US"/>
        </w:rPr>
      </w:pPr>
    </w:p>
    <w:p w14:paraId="4C4EDE54" w14:textId="77777777" w:rsidR="00D33F7C" w:rsidRDefault="00D33F7C" w:rsidP="00D33F7C">
      <w:pPr>
        <w:spacing w:line="23" w:lineRule="atLeast"/>
        <w:jc w:val="both"/>
        <w:outlineLvl w:val="0"/>
        <w:rPr>
          <w:rFonts w:ascii="Garamond" w:hAnsi="Garamond"/>
          <w:b/>
          <w:bCs/>
          <w:noProof/>
          <w:lang w:val="en-US"/>
        </w:rPr>
      </w:pPr>
    </w:p>
    <w:p w14:paraId="08B419F4" w14:textId="77777777" w:rsidR="00D33F7C" w:rsidRDefault="00D33F7C" w:rsidP="00D33F7C">
      <w:pPr>
        <w:spacing w:line="23" w:lineRule="atLeast"/>
        <w:jc w:val="both"/>
        <w:outlineLvl w:val="0"/>
        <w:rPr>
          <w:rFonts w:ascii="Garamond" w:hAnsi="Garamond"/>
          <w:b/>
          <w:bCs/>
          <w:noProof/>
          <w:lang w:val="en-US"/>
        </w:rPr>
      </w:pPr>
    </w:p>
    <w:p w14:paraId="00546C87" w14:textId="77777777" w:rsidR="00D33F7C" w:rsidRPr="002622E2" w:rsidRDefault="00D33F7C" w:rsidP="00D33F7C">
      <w:pPr>
        <w:spacing w:line="23" w:lineRule="atLeast"/>
        <w:jc w:val="both"/>
        <w:outlineLvl w:val="0"/>
        <w:rPr>
          <w:rFonts w:ascii="Garamond" w:hAnsi="Garamond"/>
          <w:b/>
          <w:bCs/>
          <w:szCs w:val="22"/>
        </w:rPr>
      </w:pPr>
      <w:r w:rsidRPr="002622E2">
        <w:rPr>
          <w:rFonts w:ascii="Garamond" w:hAnsi="Garamond"/>
          <w:b/>
          <w:bCs/>
          <w:noProof/>
          <w:lang w:val="en-US"/>
        </w:rPr>
        <w:lastRenderedPageBreak/>
        <w:t>Figure</w:t>
      </w:r>
      <w:r w:rsidRPr="002622E2">
        <w:rPr>
          <w:rFonts w:ascii="Garamond" w:hAnsi="Garamond"/>
          <w:b/>
          <w:bCs/>
          <w:szCs w:val="22"/>
        </w:rPr>
        <w:t xml:space="preserve"> 1: Stock Market Trends in Selected Developed Markets</w:t>
      </w:r>
    </w:p>
    <w:p w14:paraId="41D42413" w14:textId="77777777" w:rsidR="00D33F7C" w:rsidRPr="002622E2" w:rsidRDefault="00D33F7C" w:rsidP="00D33F7C">
      <w:pPr>
        <w:spacing w:line="23" w:lineRule="atLeast"/>
        <w:jc w:val="both"/>
        <w:outlineLvl w:val="0"/>
        <w:rPr>
          <w:rFonts w:ascii="Garamond" w:hAnsi="Garamond"/>
          <w:bCs/>
          <w:sz w:val="22"/>
          <w:szCs w:val="22"/>
        </w:rPr>
      </w:pPr>
      <w:r>
        <w:rPr>
          <w:rFonts w:ascii="Garamond" w:hAnsi="Garamond"/>
          <w:bCs/>
          <w:noProof/>
          <w:sz w:val="22"/>
          <w:szCs w:val="22"/>
          <w:lang w:val="en-IN" w:eastAsia="en-IN" w:bidi="hi-IN"/>
        </w:rPr>
        <w:drawing>
          <wp:inline distT="0" distB="0" distL="0" distR="0" wp14:anchorId="33079FBB" wp14:editId="46879F40">
            <wp:extent cx="5645785" cy="353123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45785" cy="3531235"/>
                    </a:xfrm>
                    <a:prstGeom prst="rect">
                      <a:avLst/>
                    </a:prstGeom>
                    <a:noFill/>
                  </pic:spPr>
                </pic:pic>
              </a:graphicData>
            </a:graphic>
          </wp:inline>
        </w:drawing>
      </w:r>
    </w:p>
    <w:p w14:paraId="0278CD1E" w14:textId="77777777" w:rsidR="00D33F7C" w:rsidRPr="002622E2" w:rsidRDefault="00D33F7C" w:rsidP="00D33F7C">
      <w:pPr>
        <w:spacing w:line="23" w:lineRule="atLeast"/>
        <w:jc w:val="both"/>
        <w:outlineLvl w:val="0"/>
        <w:rPr>
          <w:rFonts w:ascii="Garamond" w:hAnsi="Garamond"/>
          <w:bCs/>
          <w:sz w:val="18"/>
          <w:szCs w:val="18"/>
        </w:rPr>
      </w:pPr>
      <w:r w:rsidRPr="002622E2">
        <w:rPr>
          <w:rFonts w:ascii="Garamond" w:hAnsi="Garamond"/>
          <w:bCs/>
          <w:sz w:val="18"/>
          <w:szCs w:val="18"/>
        </w:rPr>
        <w:t xml:space="preserve">Note: All indices have been </w:t>
      </w:r>
      <w:r>
        <w:rPr>
          <w:rFonts w:ascii="Garamond" w:hAnsi="Garamond"/>
          <w:bCs/>
          <w:sz w:val="18"/>
          <w:szCs w:val="18"/>
        </w:rPr>
        <w:t>normalised to 100 on 30 June 2020</w:t>
      </w:r>
      <w:r w:rsidRPr="002622E2">
        <w:rPr>
          <w:rFonts w:ascii="Garamond" w:hAnsi="Garamond"/>
          <w:bCs/>
          <w:sz w:val="18"/>
          <w:szCs w:val="18"/>
        </w:rPr>
        <w:t>.</w:t>
      </w:r>
    </w:p>
    <w:p w14:paraId="6F619C16" w14:textId="77777777" w:rsidR="00D33F7C" w:rsidRPr="002622E2" w:rsidRDefault="00D33F7C" w:rsidP="00D33F7C">
      <w:pPr>
        <w:spacing w:line="23" w:lineRule="atLeast"/>
        <w:jc w:val="both"/>
        <w:outlineLvl w:val="0"/>
        <w:rPr>
          <w:rFonts w:ascii="Garamond" w:hAnsi="Garamond"/>
          <w:bCs/>
          <w:sz w:val="18"/>
          <w:szCs w:val="18"/>
        </w:rPr>
      </w:pPr>
      <w:r w:rsidRPr="002622E2">
        <w:rPr>
          <w:rFonts w:ascii="Garamond" w:hAnsi="Garamond"/>
          <w:bCs/>
          <w:sz w:val="18"/>
          <w:szCs w:val="18"/>
        </w:rPr>
        <w:t>Source: Refinitiv</w:t>
      </w:r>
    </w:p>
    <w:p w14:paraId="0EADEDEF" w14:textId="77777777" w:rsidR="00D33F7C" w:rsidRPr="00073FE2" w:rsidRDefault="00D33F7C" w:rsidP="00D33F7C">
      <w:pPr>
        <w:spacing w:line="23" w:lineRule="atLeast"/>
        <w:rPr>
          <w:rFonts w:ascii="Garamond" w:hAnsi="Garamond"/>
          <w:bCs/>
          <w:strike/>
          <w:sz w:val="22"/>
          <w:szCs w:val="22"/>
        </w:rPr>
      </w:pPr>
    </w:p>
    <w:p w14:paraId="418DB0A2" w14:textId="77777777" w:rsidR="00D33F7C" w:rsidRPr="002622E2" w:rsidRDefault="00D33F7C" w:rsidP="00D33F7C">
      <w:pPr>
        <w:spacing w:line="23" w:lineRule="atLeast"/>
        <w:rPr>
          <w:rFonts w:ascii="Garamond" w:hAnsi="Garamond"/>
          <w:b/>
          <w:bCs/>
          <w:szCs w:val="22"/>
        </w:rPr>
      </w:pPr>
    </w:p>
    <w:p w14:paraId="73BE0347" w14:textId="77777777" w:rsidR="00D33F7C" w:rsidRPr="002622E2" w:rsidRDefault="00D33F7C" w:rsidP="00D33F7C">
      <w:pPr>
        <w:rPr>
          <w:rFonts w:ascii="Garamond" w:hAnsi="Garamond"/>
          <w:b/>
          <w:bCs/>
          <w:szCs w:val="22"/>
        </w:rPr>
      </w:pPr>
      <w:r w:rsidRPr="002622E2">
        <w:rPr>
          <w:rFonts w:ascii="Garamond" w:hAnsi="Garamond"/>
          <w:b/>
          <w:bCs/>
          <w:szCs w:val="22"/>
        </w:rPr>
        <w:t>Figure 2: Stock Market Trends in Selected Emerging Markets</w:t>
      </w:r>
    </w:p>
    <w:p w14:paraId="5B909F1F" w14:textId="77777777" w:rsidR="00D33F7C" w:rsidRPr="002622E2" w:rsidRDefault="00D33F7C" w:rsidP="00D33F7C">
      <w:pPr>
        <w:spacing w:line="23" w:lineRule="atLeast"/>
        <w:rPr>
          <w:rFonts w:ascii="Garamond" w:hAnsi="Garamond"/>
          <w:bCs/>
          <w:sz w:val="22"/>
          <w:szCs w:val="22"/>
        </w:rPr>
      </w:pPr>
      <w:r>
        <w:rPr>
          <w:rFonts w:ascii="Garamond" w:hAnsi="Garamond"/>
          <w:bCs/>
          <w:noProof/>
          <w:sz w:val="22"/>
          <w:szCs w:val="22"/>
          <w:lang w:val="en-IN" w:eastAsia="en-IN" w:bidi="hi-IN"/>
        </w:rPr>
        <w:drawing>
          <wp:inline distT="0" distB="0" distL="0" distR="0" wp14:anchorId="5BF53DAE" wp14:editId="6A4C1779">
            <wp:extent cx="5648325" cy="3197225"/>
            <wp:effectExtent l="0" t="0" r="9525"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48325" cy="3197225"/>
                    </a:xfrm>
                    <a:prstGeom prst="rect">
                      <a:avLst/>
                    </a:prstGeom>
                    <a:noFill/>
                  </pic:spPr>
                </pic:pic>
              </a:graphicData>
            </a:graphic>
          </wp:inline>
        </w:drawing>
      </w:r>
    </w:p>
    <w:p w14:paraId="56354A7E" w14:textId="77777777" w:rsidR="00D33F7C" w:rsidRPr="002622E2" w:rsidRDefault="00D33F7C" w:rsidP="00D33F7C">
      <w:pPr>
        <w:spacing w:line="23" w:lineRule="atLeast"/>
        <w:jc w:val="both"/>
        <w:outlineLvl w:val="0"/>
        <w:rPr>
          <w:rFonts w:ascii="Garamond" w:hAnsi="Garamond"/>
          <w:bCs/>
          <w:sz w:val="18"/>
          <w:szCs w:val="18"/>
        </w:rPr>
      </w:pPr>
      <w:r w:rsidRPr="002622E2">
        <w:rPr>
          <w:rFonts w:ascii="Garamond" w:hAnsi="Garamond"/>
          <w:bCs/>
          <w:sz w:val="18"/>
          <w:szCs w:val="18"/>
        </w:rPr>
        <w:t xml:space="preserve">Note: All indices have been </w:t>
      </w:r>
      <w:r>
        <w:rPr>
          <w:rFonts w:ascii="Garamond" w:hAnsi="Garamond"/>
          <w:bCs/>
          <w:sz w:val="18"/>
          <w:szCs w:val="18"/>
        </w:rPr>
        <w:t>normalised to 100 on 30 June</w:t>
      </w:r>
      <w:r w:rsidRPr="00483369">
        <w:rPr>
          <w:rFonts w:ascii="Garamond" w:hAnsi="Garamond"/>
          <w:bCs/>
          <w:sz w:val="18"/>
          <w:szCs w:val="18"/>
        </w:rPr>
        <w:t xml:space="preserve"> </w:t>
      </w:r>
      <w:r>
        <w:rPr>
          <w:rFonts w:ascii="Garamond" w:hAnsi="Garamond"/>
          <w:bCs/>
          <w:sz w:val="18"/>
          <w:szCs w:val="18"/>
        </w:rPr>
        <w:t>2020</w:t>
      </w:r>
      <w:r w:rsidRPr="002622E2">
        <w:rPr>
          <w:rFonts w:ascii="Garamond" w:hAnsi="Garamond"/>
          <w:bCs/>
          <w:sz w:val="18"/>
          <w:szCs w:val="18"/>
        </w:rPr>
        <w:t>.</w:t>
      </w:r>
    </w:p>
    <w:p w14:paraId="5577A2A2" w14:textId="77777777" w:rsidR="00D33F7C" w:rsidRPr="0066149F" w:rsidRDefault="00D33F7C" w:rsidP="00D33F7C">
      <w:pPr>
        <w:spacing w:line="23" w:lineRule="atLeast"/>
        <w:jc w:val="both"/>
        <w:outlineLvl w:val="0"/>
        <w:rPr>
          <w:rFonts w:ascii="Garamond" w:eastAsia="Times New Roman" w:hAnsi="Garamond"/>
          <w:b/>
          <w:szCs w:val="22"/>
          <w:u w:val="single"/>
          <w:lang w:val="en-US" w:eastAsia="en-GB"/>
        </w:rPr>
      </w:pPr>
      <w:r w:rsidRPr="002622E2">
        <w:rPr>
          <w:rFonts w:ascii="Garamond" w:hAnsi="Garamond"/>
          <w:bCs/>
          <w:sz w:val="18"/>
          <w:szCs w:val="18"/>
        </w:rPr>
        <w:t>Source: Refinitiv</w:t>
      </w:r>
    </w:p>
    <w:p w14:paraId="69A6F90A" w14:textId="77777777" w:rsidR="00D33F7C" w:rsidRPr="008977C1" w:rsidRDefault="00D33F7C" w:rsidP="00D33F7C">
      <w:pPr>
        <w:spacing w:line="276" w:lineRule="auto"/>
        <w:ind w:left="720"/>
        <w:contextualSpacing/>
        <w:rPr>
          <w:rFonts w:ascii="Garamond" w:hAnsi="Garamond"/>
          <w:bCs/>
          <w:sz w:val="22"/>
          <w:szCs w:val="22"/>
          <w:lang w:val="en-US"/>
        </w:rPr>
      </w:pPr>
      <w:r w:rsidRPr="0066149F">
        <w:rPr>
          <w:rFonts w:ascii="Garamond" w:eastAsia="Times New Roman" w:hAnsi="Garamond"/>
          <w:b/>
          <w:sz w:val="22"/>
          <w:szCs w:val="22"/>
          <w:u w:val="single"/>
          <w:lang w:val="en-US" w:eastAsia="en-GB"/>
        </w:rPr>
        <w:t>B</w:t>
      </w:r>
      <w:r>
        <w:rPr>
          <w:rFonts w:ascii="Garamond" w:eastAsia="Times New Roman" w:hAnsi="Garamond"/>
          <w:b/>
          <w:sz w:val="22"/>
          <w:szCs w:val="22"/>
          <w:u w:val="single"/>
          <w:lang w:val="en-US" w:eastAsia="en-GB"/>
        </w:rPr>
        <w:t>ond</w:t>
      </w:r>
      <w:r w:rsidRPr="0066149F">
        <w:rPr>
          <w:rFonts w:ascii="Garamond" w:eastAsia="Times New Roman" w:hAnsi="Garamond"/>
          <w:b/>
          <w:sz w:val="22"/>
          <w:szCs w:val="22"/>
          <w:u w:val="single"/>
          <w:lang w:val="en-US" w:eastAsia="en-GB"/>
        </w:rPr>
        <w:t xml:space="preserve"> Market (Figures 3-4)</w:t>
      </w:r>
    </w:p>
    <w:p w14:paraId="45ACECD1" w14:textId="77777777" w:rsidR="00D33F7C" w:rsidRPr="00507BC0" w:rsidRDefault="00D33F7C" w:rsidP="00D33F7C">
      <w:pPr>
        <w:numPr>
          <w:ilvl w:val="0"/>
          <w:numId w:val="8"/>
        </w:numPr>
        <w:spacing w:line="276" w:lineRule="auto"/>
        <w:contextualSpacing/>
        <w:jc w:val="both"/>
        <w:rPr>
          <w:rFonts w:ascii="Palatino Linotype" w:hAnsi="Palatino Linotype"/>
          <w:bCs/>
          <w:color w:val="FF0000"/>
          <w:sz w:val="22"/>
          <w:szCs w:val="22"/>
          <w:lang w:val="en-US"/>
        </w:rPr>
      </w:pPr>
      <w:r w:rsidRPr="00507BC0">
        <w:rPr>
          <w:rFonts w:ascii="Palatino Linotype" w:eastAsia="Times New Roman" w:hAnsi="Palatino Linotype"/>
          <w:bCs/>
          <w:color w:val="000000"/>
          <w:sz w:val="22"/>
          <w:szCs w:val="22"/>
          <w:lang w:val="en-US" w:eastAsia="en-GB"/>
        </w:rPr>
        <w:t>Among the countries analysed</w:t>
      </w:r>
      <w:r w:rsidRPr="00507BC0">
        <w:rPr>
          <w:rFonts w:ascii="Palatino Linotype" w:eastAsia="Times New Roman" w:hAnsi="Palatino Linotype"/>
          <w:bCs/>
          <w:color w:val="000000"/>
          <w:sz w:val="22"/>
          <w:szCs w:val="22"/>
          <w:vertAlign w:val="superscript"/>
          <w:lang w:val="en-US" w:eastAsia="en-GB"/>
        </w:rPr>
        <w:footnoteReference w:id="4"/>
      </w:r>
      <w:r w:rsidRPr="00507BC0">
        <w:rPr>
          <w:rFonts w:ascii="Palatino Linotype" w:eastAsia="Times New Roman" w:hAnsi="Palatino Linotype"/>
          <w:bCs/>
          <w:color w:val="000000"/>
          <w:sz w:val="22"/>
          <w:szCs w:val="22"/>
          <w:lang w:val="en-US" w:eastAsia="en-GB"/>
        </w:rPr>
        <w:t xml:space="preserve">, for bond yield, 10-year bond yield in </w:t>
      </w:r>
      <w:r>
        <w:rPr>
          <w:rFonts w:ascii="Palatino Linotype" w:eastAsia="Times New Roman" w:hAnsi="Palatino Linotype"/>
          <w:bCs/>
          <w:color w:val="000000"/>
          <w:sz w:val="22"/>
          <w:szCs w:val="22"/>
          <w:lang w:val="en-US" w:eastAsia="en-GB"/>
        </w:rPr>
        <w:t>June</w:t>
      </w:r>
      <w:r w:rsidRPr="00507BC0">
        <w:rPr>
          <w:rFonts w:ascii="Palatino Linotype" w:eastAsia="Times New Roman" w:hAnsi="Palatino Linotype"/>
          <w:bCs/>
          <w:color w:val="000000"/>
          <w:sz w:val="22"/>
          <w:szCs w:val="22"/>
          <w:lang w:val="en-US" w:eastAsia="en-GB"/>
        </w:rPr>
        <w:t xml:space="preserve"> 2021, a negative change was observed for most developed and developing economies (</w:t>
      </w:r>
      <w:r w:rsidRPr="00BC0641">
        <w:rPr>
          <w:rFonts w:ascii="Palatino Linotype" w:eastAsia="Times New Roman" w:hAnsi="Palatino Linotype"/>
          <w:b/>
          <w:color w:val="000000"/>
          <w:sz w:val="22"/>
          <w:szCs w:val="22"/>
          <w:lang w:val="en-US" w:eastAsia="en-GB"/>
        </w:rPr>
        <w:t>Chart 3 &amp; 4</w:t>
      </w:r>
      <w:r w:rsidRPr="00507BC0">
        <w:rPr>
          <w:rFonts w:ascii="Palatino Linotype" w:eastAsia="Times New Roman" w:hAnsi="Palatino Linotype"/>
          <w:bCs/>
          <w:color w:val="000000"/>
          <w:sz w:val="22"/>
          <w:szCs w:val="22"/>
          <w:lang w:val="en-US" w:eastAsia="en-GB"/>
        </w:rPr>
        <w:t>).</w:t>
      </w:r>
    </w:p>
    <w:p w14:paraId="1605F541" w14:textId="77777777" w:rsidR="00D33F7C" w:rsidRPr="0066149F" w:rsidRDefault="00D33F7C" w:rsidP="00D33F7C">
      <w:pPr>
        <w:spacing w:line="23" w:lineRule="atLeast"/>
        <w:rPr>
          <w:rFonts w:ascii="Garamond" w:hAnsi="Garamond"/>
          <w:bCs/>
          <w:sz w:val="22"/>
          <w:szCs w:val="22"/>
        </w:rPr>
      </w:pPr>
    </w:p>
    <w:p w14:paraId="7D9E8498" w14:textId="77777777" w:rsidR="00D33F7C" w:rsidRDefault="00D33F7C" w:rsidP="00D33F7C">
      <w:pPr>
        <w:rPr>
          <w:rFonts w:ascii="Garamond" w:hAnsi="Garamond"/>
          <w:b/>
          <w:bCs/>
          <w:szCs w:val="22"/>
        </w:rPr>
      </w:pPr>
    </w:p>
    <w:p w14:paraId="4551AE15" w14:textId="77777777" w:rsidR="00D33F7C" w:rsidRPr="004C4151" w:rsidRDefault="00D33F7C" w:rsidP="00D33F7C">
      <w:pPr>
        <w:rPr>
          <w:rFonts w:ascii="Garamond" w:hAnsi="Garamond"/>
          <w:b/>
          <w:bCs/>
          <w:szCs w:val="22"/>
        </w:rPr>
      </w:pPr>
      <w:r w:rsidRPr="004C4151">
        <w:rPr>
          <w:rFonts w:ascii="Garamond" w:hAnsi="Garamond"/>
          <w:b/>
          <w:bCs/>
          <w:szCs w:val="22"/>
        </w:rPr>
        <w:lastRenderedPageBreak/>
        <w:t>Figure 3: Movement of 10-year Government Bond Yields in Developed Nations</w:t>
      </w:r>
    </w:p>
    <w:p w14:paraId="69904700" w14:textId="77777777" w:rsidR="00D33F7C" w:rsidRPr="004C4151" w:rsidRDefault="00D33F7C" w:rsidP="00D33F7C">
      <w:pPr>
        <w:rPr>
          <w:rFonts w:ascii="Garamond" w:hAnsi="Garamond"/>
          <w:bCs/>
          <w:sz w:val="22"/>
          <w:szCs w:val="22"/>
        </w:rPr>
      </w:pPr>
    </w:p>
    <w:p w14:paraId="5F00B000" w14:textId="77777777" w:rsidR="00D33F7C" w:rsidRPr="004C4151" w:rsidRDefault="00D33F7C" w:rsidP="00D33F7C">
      <w:pPr>
        <w:spacing w:line="23" w:lineRule="atLeast"/>
        <w:jc w:val="both"/>
        <w:outlineLvl w:val="0"/>
        <w:rPr>
          <w:rFonts w:ascii="Garamond" w:hAnsi="Garamond"/>
          <w:bCs/>
          <w:sz w:val="22"/>
          <w:szCs w:val="22"/>
        </w:rPr>
      </w:pPr>
      <w:r>
        <w:rPr>
          <w:rFonts w:ascii="Garamond" w:hAnsi="Garamond"/>
          <w:bCs/>
          <w:noProof/>
          <w:sz w:val="22"/>
          <w:szCs w:val="22"/>
          <w:lang w:val="en-IN" w:eastAsia="en-IN" w:bidi="hi-IN"/>
        </w:rPr>
        <w:drawing>
          <wp:inline distT="0" distB="0" distL="0" distR="0" wp14:anchorId="042D5FF1" wp14:editId="5BC65201">
            <wp:extent cx="5624830" cy="2814320"/>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24830" cy="2814320"/>
                    </a:xfrm>
                    <a:prstGeom prst="rect">
                      <a:avLst/>
                    </a:prstGeom>
                    <a:noFill/>
                  </pic:spPr>
                </pic:pic>
              </a:graphicData>
            </a:graphic>
          </wp:inline>
        </w:drawing>
      </w:r>
    </w:p>
    <w:p w14:paraId="386CEA82" w14:textId="77777777" w:rsidR="00D33F7C" w:rsidRPr="004C4151" w:rsidRDefault="00D33F7C" w:rsidP="00D33F7C">
      <w:pPr>
        <w:spacing w:line="23" w:lineRule="atLeast"/>
        <w:jc w:val="both"/>
        <w:outlineLvl w:val="0"/>
        <w:rPr>
          <w:rFonts w:ascii="Garamond" w:hAnsi="Garamond"/>
          <w:bCs/>
          <w:sz w:val="18"/>
          <w:szCs w:val="18"/>
        </w:rPr>
      </w:pPr>
      <w:r w:rsidRPr="004C4151">
        <w:rPr>
          <w:rFonts w:ascii="Garamond" w:hAnsi="Garamond"/>
          <w:bCs/>
          <w:sz w:val="18"/>
          <w:szCs w:val="18"/>
        </w:rPr>
        <w:t>Source: Refinitiv</w:t>
      </w:r>
    </w:p>
    <w:p w14:paraId="456D5664" w14:textId="77777777" w:rsidR="00D33F7C" w:rsidRPr="004C4151" w:rsidRDefault="00D33F7C" w:rsidP="00D33F7C">
      <w:pPr>
        <w:spacing w:line="23" w:lineRule="atLeast"/>
        <w:jc w:val="both"/>
        <w:outlineLvl w:val="0"/>
        <w:rPr>
          <w:rFonts w:ascii="Garamond" w:hAnsi="Garamond"/>
          <w:bCs/>
          <w:sz w:val="22"/>
          <w:szCs w:val="22"/>
        </w:rPr>
      </w:pPr>
    </w:p>
    <w:p w14:paraId="0E981A04" w14:textId="77777777" w:rsidR="00D33F7C" w:rsidRPr="004C4151" w:rsidRDefault="00D33F7C" w:rsidP="00D33F7C">
      <w:pPr>
        <w:rPr>
          <w:rFonts w:ascii="Garamond" w:hAnsi="Garamond"/>
          <w:bCs/>
          <w:sz w:val="22"/>
          <w:szCs w:val="22"/>
        </w:rPr>
      </w:pPr>
    </w:p>
    <w:p w14:paraId="7C2ABD34" w14:textId="77777777" w:rsidR="00D33F7C" w:rsidRPr="004C4151" w:rsidRDefault="00D33F7C" w:rsidP="00D33F7C">
      <w:pPr>
        <w:spacing w:line="23" w:lineRule="atLeast"/>
        <w:jc w:val="both"/>
        <w:outlineLvl w:val="0"/>
        <w:rPr>
          <w:rFonts w:ascii="Garamond" w:hAnsi="Garamond"/>
          <w:b/>
          <w:bCs/>
          <w:szCs w:val="22"/>
        </w:rPr>
      </w:pPr>
      <w:r w:rsidRPr="004C4151">
        <w:rPr>
          <w:rFonts w:ascii="Garamond" w:hAnsi="Garamond"/>
          <w:b/>
          <w:bCs/>
          <w:szCs w:val="22"/>
        </w:rPr>
        <w:t>Figure 4: Movement of 10-year Government Bond Yields in BRIC Nations</w:t>
      </w:r>
    </w:p>
    <w:p w14:paraId="0EA9651C" w14:textId="77777777" w:rsidR="00D33F7C" w:rsidRPr="004C4151" w:rsidRDefault="00D33F7C" w:rsidP="00D33F7C">
      <w:pPr>
        <w:spacing w:line="23" w:lineRule="atLeast"/>
        <w:jc w:val="both"/>
        <w:outlineLvl w:val="0"/>
        <w:rPr>
          <w:rFonts w:ascii="Garamond" w:hAnsi="Garamond"/>
          <w:bCs/>
          <w:sz w:val="22"/>
          <w:szCs w:val="22"/>
        </w:rPr>
      </w:pPr>
      <w:r>
        <w:rPr>
          <w:rFonts w:ascii="Garamond" w:hAnsi="Garamond"/>
          <w:bCs/>
          <w:noProof/>
          <w:sz w:val="22"/>
          <w:szCs w:val="22"/>
          <w:lang w:val="en-IN" w:eastAsia="en-IN" w:bidi="hi-IN"/>
        </w:rPr>
        <w:drawing>
          <wp:inline distT="0" distB="0" distL="0" distR="0" wp14:anchorId="6244C5B4" wp14:editId="03618653">
            <wp:extent cx="5628640" cy="282003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28640" cy="2820035"/>
                    </a:xfrm>
                    <a:prstGeom prst="rect">
                      <a:avLst/>
                    </a:prstGeom>
                    <a:noFill/>
                  </pic:spPr>
                </pic:pic>
              </a:graphicData>
            </a:graphic>
          </wp:inline>
        </w:drawing>
      </w:r>
    </w:p>
    <w:p w14:paraId="1398A855" w14:textId="77777777" w:rsidR="00D33F7C" w:rsidRPr="004C4151" w:rsidRDefault="00D33F7C" w:rsidP="00D33F7C">
      <w:pPr>
        <w:spacing w:line="23" w:lineRule="atLeast"/>
        <w:jc w:val="both"/>
        <w:outlineLvl w:val="0"/>
        <w:rPr>
          <w:rFonts w:ascii="Garamond" w:hAnsi="Garamond"/>
          <w:bCs/>
          <w:sz w:val="18"/>
          <w:szCs w:val="18"/>
        </w:rPr>
      </w:pPr>
      <w:r w:rsidRPr="004C4151">
        <w:rPr>
          <w:rFonts w:ascii="Garamond" w:hAnsi="Garamond"/>
          <w:bCs/>
          <w:sz w:val="18"/>
          <w:szCs w:val="18"/>
        </w:rPr>
        <w:t>Source: Refinitiv</w:t>
      </w:r>
    </w:p>
    <w:p w14:paraId="627E9174" w14:textId="77777777" w:rsidR="00D33F7C" w:rsidRPr="004C4151" w:rsidRDefault="00D33F7C" w:rsidP="00D33F7C">
      <w:pPr>
        <w:spacing w:line="23" w:lineRule="atLeast"/>
        <w:jc w:val="both"/>
        <w:rPr>
          <w:rFonts w:ascii="Garamond" w:eastAsia="Times New Roman" w:hAnsi="Garamond"/>
          <w:bCs/>
          <w:sz w:val="22"/>
          <w:szCs w:val="22"/>
          <w:lang w:val="en-US"/>
        </w:rPr>
      </w:pPr>
    </w:p>
    <w:p w14:paraId="2C9F0168" w14:textId="77777777" w:rsidR="00D33F7C" w:rsidRDefault="00D33F7C" w:rsidP="00D33F7C">
      <w:pPr>
        <w:spacing w:line="360" w:lineRule="auto"/>
        <w:jc w:val="both"/>
        <w:rPr>
          <w:rFonts w:ascii="Palatino Linotype" w:eastAsia="Times New Roman" w:hAnsi="Palatino Linotype"/>
          <w:b/>
          <w:sz w:val="22"/>
          <w:szCs w:val="22"/>
          <w:u w:val="single"/>
          <w:lang w:val="en-US"/>
        </w:rPr>
      </w:pPr>
    </w:p>
    <w:p w14:paraId="6B05CCB1" w14:textId="77777777" w:rsidR="00D33F7C" w:rsidRPr="006D42D9" w:rsidRDefault="00D33F7C" w:rsidP="00D33F7C">
      <w:pPr>
        <w:spacing w:line="360" w:lineRule="auto"/>
        <w:jc w:val="both"/>
        <w:rPr>
          <w:rFonts w:ascii="Palatino Linotype" w:eastAsia="Times New Roman" w:hAnsi="Palatino Linotype"/>
          <w:b/>
          <w:sz w:val="22"/>
          <w:szCs w:val="22"/>
          <w:lang w:val="en-US"/>
        </w:rPr>
      </w:pPr>
      <w:r w:rsidRPr="006D42D9">
        <w:rPr>
          <w:rFonts w:ascii="Palatino Linotype" w:eastAsia="Times New Roman" w:hAnsi="Palatino Linotype"/>
          <w:b/>
          <w:sz w:val="22"/>
          <w:szCs w:val="22"/>
          <w:u w:val="single"/>
          <w:lang w:val="en-US"/>
        </w:rPr>
        <w:t>Fund Mobilisation by Issuance of Equity and Bonds (Table A2)</w:t>
      </w:r>
      <w:r w:rsidRPr="006D42D9">
        <w:rPr>
          <w:rFonts w:ascii="Palatino Linotype" w:eastAsia="Times New Roman" w:hAnsi="Palatino Linotype"/>
          <w:b/>
          <w:sz w:val="22"/>
          <w:szCs w:val="22"/>
          <w:lang w:val="en-US"/>
        </w:rPr>
        <w:t xml:space="preserve"> – </w:t>
      </w:r>
    </w:p>
    <w:p w14:paraId="588AA14E" w14:textId="77777777" w:rsidR="00D33F7C" w:rsidRPr="00507BC0" w:rsidRDefault="00D33F7C" w:rsidP="00D33F7C">
      <w:pPr>
        <w:numPr>
          <w:ilvl w:val="0"/>
          <w:numId w:val="8"/>
        </w:numPr>
        <w:spacing w:line="276" w:lineRule="auto"/>
        <w:jc w:val="both"/>
        <w:rPr>
          <w:rFonts w:ascii="Palatino Linotype" w:eastAsia="Times New Roman" w:hAnsi="Palatino Linotype"/>
          <w:bCs/>
          <w:sz w:val="22"/>
          <w:szCs w:val="22"/>
          <w:lang w:val="en-US" w:eastAsia="en-GB"/>
        </w:rPr>
      </w:pPr>
      <w:r w:rsidRPr="00507BC0">
        <w:rPr>
          <w:rFonts w:ascii="Palatino Linotype" w:eastAsia="Times New Roman" w:hAnsi="Palatino Linotype"/>
          <w:bCs/>
          <w:sz w:val="22"/>
          <w:szCs w:val="22"/>
          <w:lang w:val="en-US" w:eastAsia="en-GB"/>
        </w:rPr>
        <w:t xml:space="preserve">There was 37.4 per cent decrease in the fund mobilization at the selected analyzed exchanges world-wide during </w:t>
      </w:r>
      <w:r>
        <w:rPr>
          <w:rFonts w:ascii="Palatino Linotype" w:eastAsia="Times New Roman" w:hAnsi="Palatino Linotype"/>
          <w:bCs/>
          <w:sz w:val="22"/>
          <w:szCs w:val="22"/>
          <w:lang w:val="en-US" w:eastAsia="en-GB"/>
        </w:rPr>
        <w:t>May 2021 (at</w:t>
      </w:r>
      <w:r w:rsidRPr="00507BC0">
        <w:rPr>
          <w:rFonts w:ascii="Palatino Linotype" w:eastAsia="Times New Roman" w:hAnsi="Palatino Linotype"/>
          <w:bCs/>
          <w:sz w:val="22"/>
          <w:szCs w:val="22"/>
          <w:lang w:val="en-US" w:eastAsia="en-GB"/>
        </w:rPr>
        <w:t xml:space="preserve"> 293,683 million </w:t>
      </w:r>
      <w:r>
        <w:rPr>
          <w:rFonts w:ascii="Palatino Linotype" w:eastAsia="Times New Roman" w:hAnsi="Palatino Linotype"/>
          <w:bCs/>
          <w:sz w:val="22"/>
          <w:szCs w:val="22"/>
          <w:lang w:val="en-US" w:eastAsia="en-GB"/>
        </w:rPr>
        <w:t>USD) against previous month (at</w:t>
      </w:r>
      <w:r w:rsidRPr="00507BC0">
        <w:rPr>
          <w:rFonts w:ascii="Palatino Linotype" w:eastAsia="Times New Roman" w:hAnsi="Palatino Linotype"/>
          <w:bCs/>
          <w:sz w:val="22"/>
          <w:szCs w:val="22"/>
          <w:lang w:val="en-US" w:eastAsia="en-GB"/>
        </w:rPr>
        <w:t xml:space="preserve"> 468,934</w:t>
      </w:r>
      <w:r>
        <w:rPr>
          <w:rFonts w:ascii="Palatino Linotype" w:eastAsia="Times New Roman" w:hAnsi="Palatino Linotype"/>
          <w:bCs/>
          <w:sz w:val="22"/>
          <w:szCs w:val="22"/>
          <w:lang w:val="en-US" w:eastAsia="en-GB"/>
        </w:rPr>
        <w:t xml:space="preserve"> </w:t>
      </w:r>
      <w:r w:rsidRPr="00507BC0">
        <w:rPr>
          <w:rFonts w:ascii="Palatino Linotype" w:eastAsia="Times New Roman" w:hAnsi="Palatino Linotype"/>
          <w:bCs/>
          <w:sz w:val="22"/>
          <w:szCs w:val="22"/>
          <w:lang w:val="en-US" w:eastAsia="en-GB"/>
        </w:rPr>
        <w:t xml:space="preserve">million USD). Only </w:t>
      </w:r>
      <w:r>
        <w:rPr>
          <w:rFonts w:ascii="Palatino Linotype" w:eastAsia="Times New Roman" w:hAnsi="Palatino Linotype"/>
          <w:bCs/>
          <w:sz w:val="22"/>
          <w:szCs w:val="22"/>
          <w:lang w:val="en-US" w:eastAsia="en-GB"/>
        </w:rPr>
        <w:t>12.4</w:t>
      </w:r>
      <w:r w:rsidRPr="00507BC0">
        <w:rPr>
          <w:rFonts w:ascii="Palatino Linotype" w:eastAsia="Times New Roman" w:hAnsi="Palatino Linotype"/>
          <w:bCs/>
          <w:sz w:val="22"/>
          <w:szCs w:val="22"/>
          <w:lang w:val="en-US" w:eastAsia="en-GB"/>
        </w:rPr>
        <w:t xml:space="preserve"> per cent of the total fund mobilization in </w:t>
      </w:r>
      <w:r>
        <w:rPr>
          <w:rFonts w:ascii="Palatino Linotype" w:eastAsia="Times New Roman" w:hAnsi="Palatino Linotype"/>
          <w:bCs/>
          <w:color w:val="000000"/>
          <w:sz w:val="22"/>
          <w:szCs w:val="22"/>
          <w:lang w:val="en-US" w:eastAsia="en-GB"/>
        </w:rPr>
        <w:t>May</w:t>
      </w:r>
      <w:r w:rsidRPr="00507BC0">
        <w:rPr>
          <w:rFonts w:ascii="Palatino Linotype" w:eastAsia="Times New Roman" w:hAnsi="Palatino Linotype"/>
          <w:bCs/>
          <w:color w:val="000000"/>
          <w:sz w:val="22"/>
          <w:szCs w:val="22"/>
          <w:lang w:val="en-US" w:eastAsia="en-GB"/>
        </w:rPr>
        <w:t xml:space="preserve"> 2021 </w:t>
      </w:r>
      <w:r w:rsidRPr="00507BC0">
        <w:rPr>
          <w:rFonts w:ascii="Palatino Linotype" w:eastAsia="Times New Roman" w:hAnsi="Palatino Linotype"/>
          <w:bCs/>
          <w:sz w:val="22"/>
          <w:szCs w:val="22"/>
          <w:lang w:val="en-US" w:eastAsia="en-GB"/>
        </w:rPr>
        <w:t>was in equity and remaining was in debt.</w:t>
      </w:r>
    </w:p>
    <w:p w14:paraId="595B02AE" w14:textId="77777777" w:rsidR="00D33F7C" w:rsidRPr="00507BC0" w:rsidRDefault="00D33F7C" w:rsidP="00D33F7C">
      <w:pPr>
        <w:numPr>
          <w:ilvl w:val="0"/>
          <w:numId w:val="8"/>
        </w:numPr>
        <w:spacing w:line="276" w:lineRule="auto"/>
        <w:jc w:val="both"/>
        <w:rPr>
          <w:rFonts w:ascii="Palatino Linotype" w:eastAsia="Times New Roman" w:hAnsi="Palatino Linotype"/>
          <w:bCs/>
          <w:sz w:val="22"/>
          <w:szCs w:val="22"/>
          <w:lang w:val="en-US" w:eastAsia="en-GB"/>
        </w:rPr>
      </w:pPr>
      <w:r w:rsidRPr="00507BC0">
        <w:rPr>
          <w:rFonts w:ascii="Palatino Linotype" w:eastAsia="Times New Roman" w:hAnsi="Palatino Linotype"/>
          <w:bCs/>
          <w:sz w:val="22"/>
          <w:szCs w:val="22"/>
          <w:lang w:val="en-US" w:eastAsia="en-GB"/>
        </w:rPr>
        <w:t>As per the data available on World Federation of Exchanges (WFE)</w:t>
      </w:r>
      <w:r w:rsidRPr="00507BC0">
        <w:rPr>
          <w:rFonts w:ascii="Palatino Linotype" w:eastAsia="Times New Roman" w:hAnsi="Palatino Linotype"/>
          <w:bCs/>
          <w:sz w:val="22"/>
          <w:szCs w:val="22"/>
          <w:vertAlign w:val="superscript"/>
          <w:lang w:val="en-US" w:eastAsia="en-GB"/>
        </w:rPr>
        <w:footnoteReference w:id="5"/>
      </w:r>
      <w:r w:rsidRPr="00507BC0">
        <w:rPr>
          <w:rFonts w:ascii="Palatino Linotype" w:eastAsia="Times New Roman" w:hAnsi="Palatino Linotype"/>
          <w:bCs/>
          <w:sz w:val="22"/>
          <w:szCs w:val="22"/>
          <w:lang w:val="en-US" w:eastAsia="en-GB"/>
        </w:rPr>
        <w:t xml:space="preserve">, highest amount mobilized through equities and bonds in </w:t>
      </w:r>
      <w:r>
        <w:rPr>
          <w:rFonts w:ascii="Palatino Linotype" w:eastAsia="Times New Roman" w:hAnsi="Palatino Linotype"/>
          <w:bCs/>
          <w:sz w:val="22"/>
          <w:szCs w:val="22"/>
          <w:lang w:val="en-US" w:eastAsia="en-GB"/>
        </w:rPr>
        <w:t>May</w:t>
      </w:r>
      <w:r w:rsidRPr="00507BC0">
        <w:rPr>
          <w:rFonts w:ascii="Palatino Linotype" w:eastAsia="Times New Roman" w:hAnsi="Palatino Linotype"/>
          <w:bCs/>
          <w:sz w:val="22"/>
          <w:szCs w:val="22"/>
          <w:lang w:val="en-US" w:eastAsia="en-GB"/>
        </w:rPr>
        <w:t xml:space="preserve"> 2021 was at LSE Group London Stock Exchange (63,087 million </w:t>
      </w:r>
      <w:r w:rsidRPr="00507BC0">
        <w:rPr>
          <w:rFonts w:ascii="Palatino Linotype" w:eastAsia="Times New Roman" w:hAnsi="Palatino Linotype"/>
          <w:bCs/>
          <w:sz w:val="22"/>
          <w:szCs w:val="22"/>
          <w:lang w:val="en-US" w:eastAsia="en-GB"/>
        </w:rPr>
        <w:lastRenderedPageBreak/>
        <w:t>USD) Korea Exchange</w:t>
      </w:r>
      <w:r w:rsidRPr="00507BC0">
        <w:rPr>
          <w:rFonts w:ascii="Palatino Linotype" w:hAnsi="Palatino Linotype"/>
          <w:sz w:val="22"/>
          <w:szCs w:val="22"/>
        </w:rPr>
        <w:t xml:space="preserve"> </w:t>
      </w:r>
      <w:r w:rsidRPr="00507BC0">
        <w:rPr>
          <w:rFonts w:ascii="Palatino Linotype" w:eastAsia="Times New Roman" w:hAnsi="Palatino Linotype"/>
          <w:bCs/>
          <w:sz w:val="22"/>
          <w:szCs w:val="22"/>
          <w:lang w:val="en-US" w:eastAsia="en-GB"/>
        </w:rPr>
        <w:t>(59,489 million USD) followed by</w:t>
      </w:r>
      <w:r w:rsidRPr="00507BC0">
        <w:rPr>
          <w:rFonts w:ascii="Palatino Linotype" w:hAnsi="Palatino Linotype"/>
          <w:sz w:val="22"/>
          <w:szCs w:val="22"/>
        </w:rPr>
        <w:t xml:space="preserve"> </w:t>
      </w:r>
      <w:r w:rsidRPr="00507BC0">
        <w:rPr>
          <w:rFonts w:ascii="Palatino Linotype" w:eastAsia="Times New Roman" w:hAnsi="Palatino Linotype"/>
          <w:bCs/>
          <w:sz w:val="22"/>
          <w:szCs w:val="22"/>
          <w:lang w:val="en-US" w:eastAsia="en-GB"/>
        </w:rPr>
        <w:t xml:space="preserve">and Shanghai Stock Exchange (56,663 million USD). </w:t>
      </w:r>
    </w:p>
    <w:p w14:paraId="1382A2C8" w14:textId="77777777" w:rsidR="00D33F7C" w:rsidRPr="00507BC0" w:rsidRDefault="00D33F7C" w:rsidP="00D33F7C">
      <w:pPr>
        <w:numPr>
          <w:ilvl w:val="0"/>
          <w:numId w:val="8"/>
        </w:numPr>
        <w:spacing w:line="276" w:lineRule="auto"/>
        <w:jc w:val="both"/>
        <w:rPr>
          <w:rFonts w:ascii="Palatino Linotype" w:eastAsia="Times New Roman" w:hAnsi="Palatino Linotype"/>
          <w:bCs/>
          <w:sz w:val="22"/>
          <w:szCs w:val="22"/>
          <w:lang w:val="en-US" w:eastAsia="en-GB"/>
        </w:rPr>
      </w:pPr>
      <w:r w:rsidRPr="00507BC0">
        <w:rPr>
          <w:rFonts w:ascii="Palatino Linotype" w:eastAsia="Times New Roman" w:hAnsi="Palatino Linotype"/>
          <w:bCs/>
          <w:sz w:val="22"/>
          <w:szCs w:val="22"/>
          <w:lang w:val="en-US" w:eastAsia="en-GB"/>
        </w:rPr>
        <w:t xml:space="preserve">In </w:t>
      </w:r>
      <w:r>
        <w:rPr>
          <w:rFonts w:ascii="Palatino Linotype" w:eastAsia="Times New Roman" w:hAnsi="Palatino Linotype"/>
          <w:bCs/>
          <w:sz w:val="22"/>
          <w:szCs w:val="22"/>
          <w:lang w:val="en-US" w:eastAsia="en-GB"/>
        </w:rPr>
        <w:t>May</w:t>
      </w:r>
      <w:r w:rsidRPr="00507BC0">
        <w:rPr>
          <w:rFonts w:ascii="Palatino Linotype" w:eastAsia="Times New Roman" w:hAnsi="Palatino Linotype"/>
          <w:bCs/>
          <w:sz w:val="22"/>
          <w:szCs w:val="22"/>
          <w:lang w:val="en-US" w:eastAsia="en-GB"/>
        </w:rPr>
        <w:t xml:space="preserve"> 2021, at LSE Group London Stock Exchange</w:t>
      </w:r>
      <w:r>
        <w:rPr>
          <w:rFonts w:ascii="Palatino Linotype" w:eastAsia="Times New Roman" w:hAnsi="Palatino Linotype"/>
          <w:bCs/>
          <w:sz w:val="22"/>
          <w:szCs w:val="22"/>
          <w:lang w:val="en-US" w:eastAsia="en-GB"/>
        </w:rPr>
        <w:t>, only</w:t>
      </w:r>
      <w:r w:rsidRPr="00C4251F">
        <w:rPr>
          <w:rFonts w:ascii="Palatino Linotype" w:eastAsia="Times New Roman" w:hAnsi="Palatino Linotype"/>
          <w:bCs/>
          <w:sz w:val="22"/>
          <w:szCs w:val="22"/>
          <w:lang w:val="en-US" w:eastAsia="en-GB"/>
        </w:rPr>
        <w:t xml:space="preserve"> 3,851</w:t>
      </w:r>
      <w:r w:rsidRPr="00507BC0">
        <w:rPr>
          <w:rFonts w:ascii="Palatino Linotype" w:eastAsia="Times New Roman" w:hAnsi="Palatino Linotype"/>
          <w:bCs/>
          <w:sz w:val="22"/>
          <w:szCs w:val="22"/>
          <w:lang w:val="en-US" w:eastAsia="en-GB"/>
        </w:rPr>
        <w:t xml:space="preserve"> million USD were raised through equity and the remaining amount was raised through bonds whereas fund </w:t>
      </w:r>
      <w:r>
        <w:rPr>
          <w:rFonts w:ascii="Palatino Linotype" w:eastAsia="Times New Roman" w:hAnsi="Palatino Linotype"/>
          <w:bCs/>
          <w:sz w:val="22"/>
          <w:szCs w:val="22"/>
          <w:lang w:val="en-US" w:eastAsia="en-GB"/>
        </w:rPr>
        <w:t>mobilization through equity was</w:t>
      </w:r>
      <w:r w:rsidRPr="00C4251F">
        <w:rPr>
          <w:rFonts w:ascii="Palatino Linotype" w:eastAsia="Times New Roman" w:hAnsi="Palatino Linotype"/>
          <w:bCs/>
          <w:sz w:val="22"/>
          <w:szCs w:val="22"/>
          <w:lang w:val="en-US" w:eastAsia="en-GB"/>
        </w:rPr>
        <w:t xml:space="preserve"> 1,028</w:t>
      </w:r>
      <w:r>
        <w:rPr>
          <w:rFonts w:ascii="Palatino Linotype" w:eastAsia="Times New Roman" w:hAnsi="Palatino Linotype"/>
          <w:bCs/>
          <w:sz w:val="22"/>
          <w:szCs w:val="22"/>
          <w:lang w:val="en-US" w:eastAsia="en-GB"/>
        </w:rPr>
        <w:t xml:space="preserve"> million USD and</w:t>
      </w:r>
      <w:r w:rsidRPr="00C4251F">
        <w:rPr>
          <w:rFonts w:ascii="Palatino Linotype" w:eastAsia="Times New Roman" w:hAnsi="Palatino Linotype"/>
          <w:bCs/>
          <w:sz w:val="22"/>
          <w:szCs w:val="22"/>
          <w:lang w:val="en-US" w:eastAsia="en-GB"/>
        </w:rPr>
        <w:t xml:space="preserve"> 9,240</w:t>
      </w:r>
      <w:r>
        <w:rPr>
          <w:rFonts w:ascii="Palatino Linotype" w:eastAsia="Times New Roman" w:hAnsi="Palatino Linotype"/>
          <w:bCs/>
          <w:sz w:val="22"/>
          <w:szCs w:val="22"/>
          <w:lang w:val="en-US" w:eastAsia="en-GB"/>
        </w:rPr>
        <w:t xml:space="preserve"> </w:t>
      </w:r>
      <w:r w:rsidRPr="00507BC0">
        <w:rPr>
          <w:rFonts w:ascii="Palatino Linotype" w:eastAsia="Times New Roman" w:hAnsi="Palatino Linotype"/>
          <w:bCs/>
          <w:sz w:val="22"/>
          <w:szCs w:val="22"/>
          <w:lang w:val="en-US" w:eastAsia="en-GB"/>
        </w:rPr>
        <w:t>million USD respectively at Shanghai Stock Exchange</w:t>
      </w:r>
      <w:r w:rsidRPr="00507BC0">
        <w:rPr>
          <w:rFonts w:ascii="Palatino Linotype" w:hAnsi="Palatino Linotype"/>
          <w:sz w:val="22"/>
          <w:szCs w:val="22"/>
        </w:rPr>
        <w:t xml:space="preserve"> </w:t>
      </w:r>
      <w:r w:rsidRPr="00507BC0">
        <w:rPr>
          <w:rFonts w:ascii="Palatino Linotype" w:eastAsia="Times New Roman" w:hAnsi="Palatino Linotype"/>
          <w:bCs/>
          <w:sz w:val="22"/>
          <w:szCs w:val="22"/>
          <w:lang w:val="en-US" w:eastAsia="en-GB"/>
        </w:rPr>
        <w:t>and</w:t>
      </w:r>
      <w:r w:rsidRPr="00C4251F">
        <w:rPr>
          <w:rFonts w:ascii="Palatino Linotype" w:hAnsi="Palatino Linotype"/>
          <w:sz w:val="22"/>
          <w:szCs w:val="22"/>
        </w:rPr>
        <w:t xml:space="preserve"> </w:t>
      </w:r>
      <w:r w:rsidRPr="00507BC0">
        <w:rPr>
          <w:rFonts w:ascii="Palatino Linotype" w:hAnsi="Palatino Linotype"/>
          <w:sz w:val="22"/>
          <w:szCs w:val="22"/>
        </w:rPr>
        <w:t>Korea Exchange</w:t>
      </w:r>
      <w:r>
        <w:rPr>
          <w:rFonts w:ascii="Palatino Linotype" w:hAnsi="Palatino Linotype"/>
          <w:sz w:val="22"/>
          <w:szCs w:val="22"/>
        </w:rPr>
        <w:t xml:space="preserve"> respectively</w:t>
      </w:r>
      <w:r w:rsidRPr="00507BC0">
        <w:rPr>
          <w:rFonts w:ascii="Palatino Linotype" w:hAnsi="Palatino Linotype"/>
          <w:sz w:val="22"/>
          <w:szCs w:val="22"/>
        </w:rPr>
        <w:t>.</w:t>
      </w:r>
    </w:p>
    <w:p w14:paraId="15AB96C5" w14:textId="77777777" w:rsidR="00D33F7C" w:rsidRPr="00507BC0" w:rsidRDefault="00D33F7C" w:rsidP="00D33F7C">
      <w:pPr>
        <w:numPr>
          <w:ilvl w:val="0"/>
          <w:numId w:val="8"/>
        </w:numPr>
        <w:spacing w:line="276" w:lineRule="auto"/>
        <w:jc w:val="both"/>
        <w:rPr>
          <w:rFonts w:ascii="Palatino Linotype" w:eastAsia="Times New Roman" w:hAnsi="Palatino Linotype"/>
          <w:bCs/>
          <w:sz w:val="22"/>
          <w:szCs w:val="22"/>
          <w:lang w:val="en-US" w:eastAsia="en-GB"/>
        </w:rPr>
      </w:pPr>
      <w:r w:rsidRPr="00507BC0">
        <w:rPr>
          <w:rFonts w:ascii="Palatino Linotype" w:eastAsia="Times New Roman" w:hAnsi="Palatino Linotype"/>
          <w:bCs/>
          <w:sz w:val="22"/>
          <w:szCs w:val="22"/>
          <w:lang w:val="en-US" w:eastAsia="en-GB"/>
        </w:rPr>
        <w:t xml:space="preserve">Maximum fund mobilization through equities in </w:t>
      </w:r>
      <w:r>
        <w:rPr>
          <w:rFonts w:ascii="Palatino Linotype" w:eastAsia="Times New Roman" w:hAnsi="Palatino Linotype"/>
          <w:bCs/>
          <w:sz w:val="22"/>
          <w:szCs w:val="22"/>
          <w:lang w:val="en-US" w:eastAsia="en-GB"/>
        </w:rPr>
        <w:t>May</w:t>
      </w:r>
      <w:r w:rsidRPr="00507BC0">
        <w:rPr>
          <w:rFonts w:ascii="Palatino Linotype" w:eastAsia="Times New Roman" w:hAnsi="Palatino Linotype"/>
          <w:bCs/>
          <w:sz w:val="22"/>
          <w:szCs w:val="22"/>
          <w:lang w:val="en-US" w:eastAsia="en-GB"/>
        </w:rPr>
        <w:t xml:space="preserve"> 2021 was at </w:t>
      </w:r>
      <w:r w:rsidRPr="002903EF">
        <w:rPr>
          <w:rFonts w:ascii="Palatino Linotype" w:eastAsia="Times New Roman" w:hAnsi="Palatino Linotype"/>
          <w:bCs/>
          <w:sz w:val="22"/>
          <w:szCs w:val="22"/>
          <w:lang w:val="en-US" w:eastAsia="en-GB"/>
        </w:rPr>
        <w:t>Shanghai Stock Exchange</w:t>
      </w:r>
      <w:r w:rsidRPr="00507BC0">
        <w:rPr>
          <w:rFonts w:ascii="Palatino Linotype" w:eastAsia="Times New Roman" w:hAnsi="Palatino Linotype"/>
          <w:bCs/>
          <w:sz w:val="22"/>
          <w:szCs w:val="22"/>
          <w:lang w:val="en-US" w:eastAsia="en-GB"/>
        </w:rPr>
        <w:t xml:space="preserve"> (</w:t>
      </w:r>
      <w:r w:rsidRPr="002903EF">
        <w:rPr>
          <w:rFonts w:ascii="Palatino Linotype" w:eastAsia="Times New Roman" w:hAnsi="Palatino Linotype"/>
          <w:bCs/>
          <w:sz w:val="22"/>
          <w:szCs w:val="22"/>
          <w:lang w:val="en-US" w:eastAsia="en-GB"/>
        </w:rPr>
        <w:t xml:space="preserve">9,240 </w:t>
      </w:r>
      <w:r w:rsidRPr="00507BC0">
        <w:rPr>
          <w:rFonts w:ascii="Palatino Linotype" w:eastAsia="Times New Roman" w:hAnsi="Palatino Linotype"/>
          <w:bCs/>
          <w:sz w:val="22"/>
          <w:szCs w:val="22"/>
          <w:lang w:val="en-US" w:eastAsia="en-GB"/>
        </w:rPr>
        <w:t>million USD) followed by</w:t>
      </w:r>
      <w:r w:rsidRPr="00507BC0">
        <w:t xml:space="preserve"> </w:t>
      </w:r>
      <w:r w:rsidRPr="002903EF">
        <w:rPr>
          <w:rFonts w:ascii="Palatino Linotype" w:eastAsia="Times New Roman" w:hAnsi="Palatino Linotype"/>
          <w:bCs/>
          <w:sz w:val="22"/>
          <w:szCs w:val="22"/>
          <w:lang w:val="en-US" w:eastAsia="en-GB"/>
        </w:rPr>
        <w:t>Hong Kong Exchanges and Clearing</w:t>
      </w:r>
      <w:r w:rsidRPr="00507BC0">
        <w:rPr>
          <w:rFonts w:ascii="Palatino Linotype" w:eastAsia="Times New Roman" w:hAnsi="Palatino Linotype"/>
          <w:bCs/>
          <w:sz w:val="22"/>
          <w:szCs w:val="22"/>
          <w:lang w:val="en-US" w:eastAsia="en-GB"/>
        </w:rPr>
        <w:t xml:space="preserve"> (</w:t>
      </w:r>
      <w:r w:rsidRPr="002903EF">
        <w:rPr>
          <w:rFonts w:ascii="Palatino Linotype" w:eastAsia="Times New Roman" w:hAnsi="Palatino Linotype"/>
          <w:bCs/>
          <w:sz w:val="22"/>
          <w:szCs w:val="22"/>
          <w:lang w:val="en-US" w:eastAsia="en-GB"/>
        </w:rPr>
        <w:t xml:space="preserve">7,555 </w:t>
      </w:r>
      <w:r w:rsidRPr="00507BC0">
        <w:rPr>
          <w:rFonts w:ascii="Palatino Linotype" w:eastAsia="Times New Roman" w:hAnsi="Palatino Linotype"/>
          <w:bCs/>
          <w:sz w:val="22"/>
          <w:szCs w:val="22"/>
          <w:lang w:val="en-US" w:eastAsia="en-GB"/>
        </w:rPr>
        <w:t xml:space="preserve">million USD).   </w:t>
      </w:r>
    </w:p>
    <w:p w14:paraId="72C3BB4F" w14:textId="77777777" w:rsidR="00D33F7C" w:rsidRPr="006D42D9" w:rsidRDefault="00D33F7C" w:rsidP="00D33F7C">
      <w:pPr>
        <w:spacing w:line="276" w:lineRule="auto"/>
        <w:jc w:val="both"/>
        <w:rPr>
          <w:rFonts w:ascii="Palatino Linotype" w:eastAsia="Times New Roman" w:hAnsi="Palatino Linotype"/>
          <w:bCs/>
          <w:sz w:val="22"/>
          <w:szCs w:val="22"/>
          <w:lang w:val="en-US"/>
        </w:rPr>
      </w:pPr>
    </w:p>
    <w:p w14:paraId="59F5CB4C" w14:textId="77777777" w:rsidR="00D33F7C" w:rsidRPr="006D42D9" w:rsidRDefault="00D33F7C" w:rsidP="00D33F7C">
      <w:pPr>
        <w:spacing w:line="276" w:lineRule="auto"/>
        <w:ind w:left="284"/>
        <w:jc w:val="both"/>
        <w:rPr>
          <w:rFonts w:ascii="Palatino Linotype" w:eastAsia="Times New Roman" w:hAnsi="Palatino Linotype"/>
          <w:b/>
          <w:sz w:val="22"/>
          <w:szCs w:val="22"/>
          <w:lang w:val="en-US"/>
        </w:rPr>
      </w:pPr>
      <w:r w:rsidRPr="006D42D9">
        <w:rPr>
          <w:rFonts w:ascii="Palatino Linotype" w:eastAsia="Times New Roman" w:hAnsi="Palatino Linotype"/>
          <w:b/>
          <w:sz w:val="22"/>
          <w:szCs w:val="22"/>
          <w:u w:val="single"/>
          <w:lang w:val="en-US"/>
        </w:rPr>
        <w:t>Market Capitalisation of Major</w:t>
      </w:r>
      <w:r w:rsidRPr="00BC0641">
        <w:rPr>
          <w:rFonts w:ascii="Palatino Linotype" w:eastAsia="Times New Roman" w:hAnsi="Palatino Linotype"/>
          <w:b/>
          <w:sz w:val="22"/>
          <w:szCs w:val="22"/>
          <w:u w:val="single"/>
          <w:lang w:val="en-US"/>
        </w:rPr>
        <w:t xml:space="preserve"> Exchanges </w:t>
      </w:r>
      <w:r w:rsidRPr="006D42D9">
        <w:rPr>
          <w:rFonts w:ascii="Palatino Linotype" w:eastAsia="Times New Roman" w:hAnsi="Palatino Linotype"/>
          <w:b/>
          <w:sz w:val="22"/>
          <w:szCs w:val="22"/>
          <w:lang w:val="en-US"/>
        </w:rPr>
        <w:t>(Table A3) –</w:t>
      </w:r>
    </w:p>
    <w:p w14:paraId="4584F75A" w14:textId="77777777" w:rsidR="00D33F7C" w:rsidRPr="007554B6" w:rsidRDefault="00D33F7C" w:rsidP="00D33F7C">
      <w:pPr>
        <w:spacing w:line="276" w:lineRule="auto"/>
        <w:ind w:left="360"/>
        <w:contextualSpacing/>
        <w:jc w:val="both"/>
        <w:rPr>
          <w:rFonts w:ascii="Palatino Linotype" w:eastAsia="Times New Roman" w:hAnsi="Palatino Linotype"/>
          <w:b/>
          <w:sz w:val="22"/>
          <w:szCs w:val="22"/>
          <w:lang w:val="en-US" w:eastAsia="en-GB"/>
        </w:rPr>
      </w:pPr>
    </w:p>
    <w:p w14:paraId="1912223F" w14:textId="77777777" w:rsidR="00D33F7C" w:rsidRPr="007554B6" w:rsidRDefault="00D33F7C" w:rsidP="00D33F7C">
      <w:pPr>
        <w:numPr>
          <w:ilvl w:val="0"/>
          <w:numId w:val="8"/>
        </w:numPr>
        <w:spacing w:line="276" w:lineRule="auto"/>
        <w:ind w:left="357" w:hanging="357"/>
        <w:jc w:val="both"/>
        <w:rPr>
          <w:rFonts w:ascii="Palatino Linotype" w:eastAsia="Times New Roman" w:hAnsi="Palatino Linotype"/>
          <w:bCs/>
          <w:sz w:val="22"/>
          <w:szCs w:val="22"/>
          <w:lang w:val="en-US" w:eastAsia="en-GB"/>
        </w:rPr>
      </w:pPr>
      <w:r w:rsidRPr="007554B6">
        <w:rPr>
          <w:rFonts w:ascii="Palatino Linotype" w:eastAsia="Times New Roman" w:hAnsi="Palatino Linotype"/>
          <w:bCs/>
          <w:sz w:val="22"/>
          <w:szCs w:val="22"/>
          <w:lang w:val="en-US" w:eastAsia="en-GB"/>
        </w:rPr>
        <w:t>Most of the analysed exchanges of selected markets</w:t>
      </w:r>
      <w:r w:rsidRPr="007554B6">
        <w:rPr>
          <w:rFonts w:ascii="Palatino Linotype" w:eastAsia="Times New Roman" w:hAnsi="Palatino Linotype"/>
          <w:bCs/>
          <w:sz w:val="22"/>
          <w:szCs w:val="22"/>
          <w:vertAlign w:val="superscript"/>
          <w:lang w:val="en-US" w:eastAsia="en-GB"/>
        </w:rPr>
        <w:footnoteReference w:id="6"/>
      </w:r>
      <w:r w:rsidRPr="007554B6">
        <w:rPr>
          <w:rFonts w:ascii="Palatino Linotype" w:eastAsia="Times New Roman" w:hAnsi="Palatino Linotype"/>
          <w:bCs/>
          <w:sz w:val="22"/>
          <w:szCs w:val="22"/>
          <w:lang w:val="en-US" w:eastAsia="en-GB"/>
        </w:rPr>
        <w:t xml:space="preserve">, reflected a rise in market capitalization in the month of </w:t>
      </w:r>
      <w:r>
        <w:rPr>
          <w:rFonts w:ascii="Palatino Linotype" w:eastAsia="Times New Roman" w:hAnsi="Palatino Linotype"/>
          <w:bCs/>
          <w:sz w:val="22"/>
          <w:szCs w:val="22"/>
          <w:lang w:val="en-US" w:eastAsia="en-GB"/>
        </w:rPr>
        <w:t>May</w:t>
      </w:r>
      <w:r w:rsidRPr="007554B6">
        <w:rPr>
          <w:rFonts w:ascii="Palatino Linotype" w:eastAsia="Times New Roman" w:hAnsi="Palatino Linotype"/>
          <w:bCs/>
          <w:sz w:val="22"/>
          <w:szCs w:val="22"/>
          <w:lang w:val="en-US" w:eastAsia="en-GB"/>
        </w:rPr>
        <w:t xml:space="preserve"> 2021 as compared to previous month.</w:t>
      </w:r>
    </w:p>
    <w:p w14:paraId="67B88999" w14:textId="77777777" w:rsidR="00D33F7C" w:rsidRPr="007554B6" w:rsidRDefault="00D33F7C" w:rsidP="00D33F7C">
      <w:pPr>
        <w:numPr>
          <w:ilvl w:val="0"/>
          <w:numId w:val="8"/>
        </w:numPr>
        <w:spacing w:line="276" w:lineRule="auto"/>
        <w:contextualSpacing/>
        <w:jc w:val="both"/>
        <w:rPr>
          <w:rFonts w:ascii="Palatino Linotype" w:eastAsia="Times New Roman" w:hAnsi="Palatino Linotype"/>
          <w:b/>
          <w:sz w:val="22"/>
          <w:szCs w:val="22"/>
          <w:u w:val="single"/>
          <w:lang w:val="en-US"/>
        </w:rPr>
      </w:pPr>
      <w:r w:rsidRPr="007554B6">
        <w:rPr>
          <w:rFonts w:ascii="Palatino Linotype" w:eastAsia="Times New Roman" w:hAnsi="Palatino Linotype"/>
          <w:bCs/>
          <w:sz w:val="22"/>
          <w:szCs w:val="22"/>
          <w:lang w:val="en-US" w:eastAsia="en-GB"/>
        </w:rPr>
        <w:t xml:space="preserve">Among the exchanges which registered highest increase in market capitalization were B3 - Brasil Bolsa Balcão, </w:t>
      </w:r>
      <w:r>
        <w:rPr>
          <w:rFonts w:ascii="Palatino Linotype" w:eastAsia="Times New Roman" w:hAnsi="Palatino Linotype"/>
          <w:bCs/>
          <w:sz w:val="22"/>
          <w:szCs w:val="22"/>
          <w:lang w:val="en-US" w:eastAsia="en-GB"/>
        </w:rPr>
        <w:t>NSE</w:t>
      </w:r>
      <w:r w:rsidRPr="007554B6">
        <w:rPr>
          <w:rFonts w:ascii="Palatino Linotype" w:eastAsia="Times New Roman" w:hAnsi="Palatino Linotype"/>
          <w:bCs/>
          <w:sz w:val="22"/>
          <w:szCs w:val="22"/>
          <w:lang w:val="en-US" w:eastAsia="en-GB"/>
        </w:rPr>
        <w:t>, and Shanghai Stock Exchange (10.6, 10.0 and 8.0 per cent respectively). Among the analysed exchanges, a decline in market capitalization was observed for Singapore Exchange and</w:t>
      </w:r>
      <w:r w:rsidRPr="007554B6">
        <w:t xml:space="preserve"> </w:t>
      </w:r>
      <w:r w:rsidRPr="00BF5EC5">
        <w:rPr>
          <w:rFonts w:ascii="Palatino Linotype" w:eastAsia="Times New Roman" w:hAnsi="Palatino Linotype"/>
          <w:bCs/>
          <w:sz w:val="22"/>
          <w:szCs w:val="22"/>
          <w:lang w:val="en-US" w:eastAsia="en-GB"/>
        </w:rPr>
        <w:t>Nasdaq - US</w:t>
      </w:r>
      <w:r w:rsidRPr="007554B6">
        <w:rPr>
          <w:rFonts w:ascii="Palatino Linotype" w:eastAsia="Times New Roman" w:hAnsi="Palatino Linotype"/>
          <w:bCs/>
          <w:sz w:val="22"/>
          <w:szCs w:val="22"/>
          <w:lang w:val="en-US" w:eastAsia="en-GB"/>
        </w:rPr>
        <w:t xml:space="preserve"> (-</w:t>
      </w:r>
      <w:r>
        <w:rPr>
          <w:rFonts w:ascii="Palatino Linotype" w:eastAsia="Times New Roman" w:hAnsi="Palatino Linotype"/>
          <w:bCs/>
          <w:sz w:val="22"/>
          <w:szCs w:val="22"/>
          <w:lang w:val="en-US" w:eastAsia="en-GB"/>
        </w:rPr>
        <w:t>0.6</w:t>
      </w:r>
      <w:r w:rsidRPr="007554B6">
        <w:rPr>
          <w:rFonts w:ascii="Palatino Linotype" w:eastAsia="Times New Roman" w:hAnsi="Palatino Linotype"/>
          <w:bCs/>
          <w:sz w:val="22"/>
          <w:szCs w:val="22"/>
          <w:lang w:val="en-US" w:eastAsia="en-GB"/>
        </w:rPr>
        <w:t xml:space="preserve"> per cent</w:t>
      </w:r>
      <w:r>
        <w:rPr>
          <w:rFonts w:ascii="Palatino Linotype" w:eastAsia="Times New Roman" w:hAnsi="Palatino Linotype"/>
          <w:bCs/>
          <w:sz w:val="22"/>
          <w:szCs w:val="22"/>
          <w:lang w:val="en-US" w:eastAsia="en-GB"/>
        </w:rPr>
        <w:t xml:space="preserve"> each</w:t>
      </w:r>
      <w:r w:rsidRPr="007554B6">
        <w:rPr>
          <w:rFonts w:ascii="Palatino Linotype" w:eastAsia="Times New Roman" w:hAnsi="Palatino Linotype"/>
          <w:bCs/>
          <w:sz w:val="22"/>
          <w:szCs w:val="22"/>
          <w:lang w:val="en-US" w:eastAsia="en-GB"/>
        </w:rPr>
        <w:t xml:space="preserve">).  </w:t>
      </w:r>
    </w:p>
    <w:p w14:paraId="2D83B40F" w14:textId="77777777" w:rsidR="00D33F7C" w:rsidRPr="007554B6" w:rsidRDefault="00D33F7C" w:rsidP="00D33F7C">
      <w:pPr>
        <w:spacing w:line="276" w:lineRule="auto"/>
        <w:ind w:left="360"/>
        <w:contextualSpacing/>
        <w:jc w:val="both"/>
        <w:rPr>
          <w:rFonts w:ascii="Palatino Linotype" w:eastAsia="Times New Roman" w:hAnsi="Palatino Linotype"/>
          <w:b/>
          <w:sz w:val="22"/>
          <w:szCs w:val="22"/>
          <w:u w:val="single"/>
          <w:lang w:val="en-US"/>
        </w:rPr>
      </w:pPr>
    </w:p>
    <w:p w14:paraId="309F787E" w14:textId="77777777" w:rsidR="00D33F7C" w:rsidRPr="007554B6" w:rsidRDefault="00D33F7C" w:rsidP="00D33F7C">
      <w:pPr>
        <w:spacing w:line="276" w:lineRule="auto"/>
        <w:ind w:left="360"/>
        <w:contextualSpacing/>
        <w:jc w:val="both"/>
        <w:rPr>
          <w:rFonts w:ascii="Palatino Linotype" w:eastAsia="Times New Roman" w:hAnsi="Palatino Linotype"/>
          <w:b/>
          <w:sz w:val="22"/>
          <w:szCs w:val="22"/>
          <w:u w:val="single"/>
          <w:lang w:val="en-US"/>
        </w:rPr>
      </w:pPr>
    </w:p>
    <w:p w14:paraId="70DE59D4" w14:textId="77777777" w:rsidR="00D33F7C" w:rsidRPr="00497662" w:rsidRDefault="00D33F7C" w:rsidP="00D33F7C">
      <w:pPr>
        <w:spacing w:line="276" w:lineRule="auto"/>
        <w:ind w:left="360"/>
        <w:contextualSpacing/>
        <w:jc w:val="both"/>
        <w:rPr>
          <w:rFonts w:ascii="Palatino Linotype" w:eastAsia="Times New Roman" w:hAnsi="Palatino Linotype"/>
          <w:b/>
          <w:sz w:val="22"/>
          <w:szCs w:val="22"/>
          <w:lang w:val="en-US" w:eastAsia="en-GB"/>
        </w:rPr>
      </w:pPr>
      <w:r w:rsidRPr="00497662">
        <w:rPr>
          <w:rFonts w:ascii="Palatino Linotype" w:eastAsia="Times New Roman" w:hAnsi="Palatino Linotype"/>
          <w:b/>
          <w:sz w:val="22"/>
          <w:szCs w:val="22"/>
          <w:u w:val="single"/>
          <w:lang w:val="en-US"/>
        </w:rPr>
        <w:t xml:space="preserve">Derivatives </w:t>
      </w:r>
      <w:r w:rsidRPr="00497662">
        <w:rPr>
          <w:rFonts w:ascii="Palatino Linotype" w:eastAsia="Times New Roman" w:hAnsi="Palatino Linotype"/>
          <w:b/>
          <w:sz w:val="22"/>
          <w:szCs w:val="22"/>
          <w:lang w:val="en-US" w:eastAsia="en-GB"/>
        </w:rPr>
        <w:t xml:space="preserve">(Figures 5-6, Table A4–A8) – </w:t>
      </w:r>
    </w:p>
    <w:p w14:paraId="1D2914FA" w14:textId="77777777" w:rsidR="00D33F7C" w:rsidRPr="00DC5A27" w:rsidRDefault="00D33F7C" w:rsidP="00D33F7C">
      <w:pPr>
        <w:spacing w:line="276" w:lineRule="auto"/>
        <w:ind w:left="360"/>
        <w:contextualSpacing/>
        <w:jc w:val="both"/>
        <w:rPr>
          <w:rFonts w:ascii="Palatino Linotype" w:eastAsia="Times New Roman" w:hAnsi="Palatino Linotype"/>
          <w:b/>
          <w:sz w:val="22"/>
          <w:szCs w:val="22"/>
          <w:lang w:val="en-US" w:eastAsia="en-GB"/>
        </w:rPr>
      </w:pPr>
    </w:p>
    <w:p w14:paraId="4C167125" w14:textId="77777777" w:rsidR="00D33F7C" w:rsidRPr="00DC5A27" w:rsidRDefault="00D33F7C" w:rsidP="00D33F7C">
      <w:pPr>
        <w:numPr>
          <w:ilvl w:val="0"/>
          <w:numId w:val="8"/>
        </w:numPr>
        <w:spacing w:line="276" w:lineRule="auto"/>
        <w:jc w:val="both"/>
        <w:rPr>
          <w:rFonts w:ascii="Palatino Linotype" w:eastAsia="Times New Roman" w:hAnsi="Palatino Linotype"/>
          <w:bCs/>
          <w:sz w:val="22"/>
          <w:szCs w:val="22"/>
          <w:lang w:val="en-US" w:eastAsia="en-GB"/>
        </w:rPr>
      </w:pPr>
      <w:r w:rsidRPr="00DC5A27">
        <w:rPr>
          <w:rFonts w:ascii="Palatino Linotype" w:eastAsia="Times New Roman" w:hAnsi="Palatino Linotype"/>
          <w:bCs/>
          <w:sz w:val="22"/>
          <w:szCs w:val="22"/>
          <w:lang w:val="en-US" w:eastAsia="en-GB"/>
        </w:rPr>
        <w:t xml:space="preserve">During </w:t>
      </w:r>
      <w:r>
        <w:rPr>
          <w:rFonts w:ascii="Palatino Linotype" w:eastAsia="Times New Roman" w:hAnsi="Palatino Linotype"/>
          <w:bCs/>
          <w:sz w:val="22"/>
          <w:szCs w:val="22"/>
          <w:lang w:val="en-US" w:eastAsia="en-GB"/>
        </w:rPr>
        <w:t>May</w:t>
      </w:r>
      <w:r w:rsidRPr="00DC5A27">
        <w:rPr>
          <w:rFonts w:ascii="Palatino Linotype" w:eastAsia="Times New Roman" w:hAnsi="Palatino Linotype"/>
          <w:bCs/>
          <w:sz w:val="22"/>
          <w:szCs w:val="22"/>
          <w:lang w:val="en-US" w:eastAsia="en-GB"/>
        </w:rPr>
        <w:t xml:space="preserve"> 2021, the highest number of single stock futures contracts traded was at</w:t>
      </w:r>
      <w:r w:rsidRPr="00A05FF4">
        <w:rPr>
          <w:rFonts w:ascii="Palatino Linotype" w:eastAsia="Times New Roman" w:hAnsi="Palatino Linotype"/>
          <w:bCs/>
          <w:sz w:val="22"/>
          <w:szCs w:val="22"/>
          <w:lang w:val="en-US" w:eastAsia="en-GB"/>
        </w:rPr>
        <w:t xml:space="preserve"> </w:t>
      </w:r>
      <w:r w:rsidRPr="00DC5A27">
        <w:rPr>
          <w:rFonts w:ascii="Palatino Linotype" w:eastAsia="Times New Roman" w:hAnsi="Palatino Linotype"/>
          <w:bCs/>
          <w:sz w:val="22"/>
          <w:szCs w:val="22"/>
          <w:lang w:val="en-US" w:eastAsia="en-GB"/>
        </w:rPr>
        <w:t>Korea Exchange</w:t>
      </w:r>
      <w:r w:rsidRPr="00DC5A27">
        <w:t xml:space="preserve"> </w:t>
      </w:r>
      <w:r w:rsidRPr="00DC5A27">
        <w:rPr>
          <w:rFonts w:ascii="Palatino Linotype" w:eastAsia="Times New Roman" w:hAnsi="Palatino Linotype"/>
          <w:bCs/>
          <w:sz w:val="22"/>
          <w:szCs w:val="22"/>
          <w:lang w:val="en-US" w:eastAsia="en-GB"/>
        </w:rPr>
        <w:t>(</w:t>
      </w:r>
      <w:r w:rsidRPr="00A05FF4">
        <w:rPr>
          <w:rFonts w:ascii="Palatino Linotype" w:eastAsia="Times New Roman" w:hAnsi="Palatino Linotype"/>
          <w:bCs/>
          <w:sz w:val="22"/>
          <w:szCs w:val="22"/>
          <w:lang w:val="en-US" w:eastAsia="en-GB"/>
        </w:rPr>
        <w:t>100,445,723)</w:t>
      </w:r>
      <w:r w:rsidRPr="00DC5A27">
        <w:rPr>
          <w:rFonts w:ascii="Palatino Linotype" w:eastAsia="Times New Roman" w:hAnsi="Palatino Linotype"/>
          <w:bCs/>
          <w:sz w:val="22"/>
          <w:szCs w:val="22"/>
          <w:lang w:val="en-US" w:eastAsia="en-GB"/>
        </w:rPr>
        <w:t xml:space="preserve"> followed by Borsa Istanbul (</w:t>
      </w:r>
      <w:r w:rsidRPr="00A05FF4">
        <w:rPr>
          <w:rFonts w:ascii="Palatino Linotype" w:eastAsia="Times New Roman" w:hAnsi="Palatino Linotype"/>
          <w:bCs/>
          <w:sz w:val="22"/>
          <w:szCs w:val="22"/>
          <w:lang w:val="en-US" w:eastAsia="en-GB"/>
        </w:rPr>
        <w:t>97,287,362)</w:t>
      </w:r>
      <w:r w:rsidRPr="00DC5A27">
        <w:rPr>
          <w:rFonts w:ascii="Palatino Linotype" w:eastAsia="Times New Roman" w:hAnsi="Palatino Linotype"/>
          <w:bCs/>
          <w:sz w:val="22"/>
          <w:szCs w:val="22"/>
          <w:lang w:val="en-US" w:eastAsia="en-GB"/>
        </w:rPr>
        <w:t>. The highest number of single stock options were traded at Nasdaq - US (</w:t>
      </w:r>
      <w:r w:rsidRPr="00A05FF4">
        <w:rPr>
          <w:rFonts w:ascii="Palatino Linotype" w:eastAsia="Times New Roman" w:hAnsi="Palatino Linotype"/>
          <w:bCs/>
          <w:sz w:val="22"/>
          <w:szCs w:val="22"/>
          <w:lang w:val="en-US" w:eastAsia="en-GB"/>
        </w:rPr>
        <w:t>177,729,693)</w:t>
      </w:r>
      <w:r w:rsidRPr="00DC5A27">
        <w:rPr>
          <w:rFonts w:ascii="Palatino Linotype" w:eastAsia="Times New Roman" w:hAnsi="Palatino Linotype"/>
          <w:bCs/>
          <w:sz w:val="22"/>
          <w:szCs w:val="22"/>
          <w:lang w:val="en-US" w:eastAsia="en-GB"/>
        </w:rPr>
        <w:t xml:space="preserve"> followed by Cboe Global Markets (</w:t>
      </w:r>
      <w:r w:rsidRPr="00A05FF4">
        <w:rPr>
          <w:rFonts w:ascii="Palatino Linotype" w:eastAsia="Times New Roman" w:hAnsi="Palatino Linotype"/>
          <w:bCs/>
          <w:sz w:val="22"/>
          <w:szCs w:val="22"/>
          <w:lang w:val="en-US" w:eastAsia="en-GB"/>
        </w:rPr>
        <w:t>158,595,348)</w:t>
      </w:r>
      <w:r w:rsidRPr="00DC5A27">
        <w:rPr>
          <w:rFonts w:ascii="Palatino Linotype" w:eastAsia="Times New Roman" w:hAnsi="Palatino Linotype"/>
          <w:bCs/>
          <w:sz w:val="22"/>
          <w:szCs w:val="22"/>
          <w:lang w:val="en-US" w:eastAsia="en-GB"/>
        </w:rPr>
        <w:t>.</w:t>
      </w:r>
      <w:r>
        <w:rPr>
          <w:rFonts w:ascii="Palatino Linotype" w:eastAsia="Times New Roman" w:hAnsi="Palatino Linotype"/>
          <w:bCs/>
          <w:sz w:val="22"/>
          <w:szCs w:val="22"/>
          <w:lang w:val="en-US" w:eastAsia="en-GB"/>
        </w:rPr>
        <w:t xml:space="preserve"> Highest notional turnover in single stock futures and options was at NSE (</w:t>
      </w:r>
      <w:r w:rsidRPr="009A31CA">
        <w:rPr>
          <w:rFonts w:ascii="Palatino Linotype" w:eastAsia="Times New Roman" w:hAnsi="Palatino Linotype"/>
          <w:bCs/>
          <w:sz w:val="22"/>
          <w:szCs w:val="22"/>
          <w:lang w:val="en-US" w:eastAsia="en-GB"/>
        </w:rPr>
        <w:t>239,100</w:t>
      </w:r>
      <w:r>
        <w:rPr>
          <w:rFonts w:ascii="Palatino Linotype" w:eastAsia="Times New Roman" w:hAnsi="Palatino Linotype"/>
          <w:bCs/>
          <w:sz w:val="22"/>
          <w:szCs w:val="22"/>
          <w:lang w:val="en-US" w:eastAsia="en-GB"/>
        </w:rPr>
        <w:t xml:space="preserve"> million USD) and MIAX Exchange Group (</w:t>
      </w:r>
      <w:r w:rsidRPr="009A31CA">
        <w:rPr>
          <w:rFonts w:ascii="Palatino Linotype" w:eastAsia="Times New Roman" w:hAnsi="Palatino Linotype"/>
          <w:bCs/>
          <w:sz w:val="22"/>
          <w:szCs w:val="22"/>
          <w:lang w:val="en-US" w:eastAsia="en-GB"/>
        </w:rPr>
        <w:t>1,440,145</w:t>
      </w:r>
      <w:r>
        <w:rPr>
          <w:rFonts w:ascii="Palatino Linotype" w:eastAsia="Times New Roman" w:hAnsi="Palatino Linotype"/>
          <w:bCs/>
          <w:sz w:val="22"/>
          <w:szCs w:val="22"/>
          <w:lang w:val="en-US" w:eastAsia="en-GB"/>
        </w:rPr>
        <w:t xml:space="preserve"> million USD) respectively.</w:t>
      </w:r>
    </w:p>
    <w:p w14:paraId="13FF665F" w14:textId="77777777" w:rsidR="00D33F7C" w:rsidRPr="00DC5A27" w:rsidRDefault="00D33F7C" w:rsidP="00D33F7C">
      <w:pPr>
        <w:numPr>
          <w:ilvl w:val="0"/>
          <w:numId w:val="8"/>
        </w:numPr>
        <w:spacing w:line="276" w:lineRule="auto"/>
        <w:jc w:val="both"/>
        <w:rPr>
          <w:rFonts w:ascii="Palatino Linotype" w:eastAsia="Times New Roman" w:hAnsi="Palatino Linotype"/>
          <w:bCs/>
          <w:sz w:val="22"/>
          <w:szCs w:val="22"/>
          <w:lang w:val="en-US" w:eastAsia="en-GB"/>
        </w:rPr>
      </w:pPr>
      <w:r w:rsidRPr="00DC5A27">
        <w:rPr>
          <w:rFonts w:ascii="Palatino Linotype" w:eastAsia="Times New Roman" w:hAnsi="Palatino Linotype"/>
          <w:bCs/>
          <w:sz w:val="22"/>
          <w:szCs w:val="22"/>
          <w:lang w:val="en-US" w:eastAsia="en-GB"/>
        </w:rPr>
        <w:t xml:space="preserve">During </w:t>
      </w:r>
      <w:r>
        <w:rPr>
          <w:rFonts w:ascii="Palatino Linotype" w:eastAsia="Times New Roman" w:hAnsi="Palatino Linotype"/>
          <w:bCs/>
          <w:sz w:val="22"/>
          <w:szCs w:val="22"/>
          <w:lang w:val="en-US" w:eastAsia="en-GB"/>
        </w:rPr>
        <w:t>May</w:t>
      </w:r>
      <w:r w:rsidRPr="00DC5A27">
        <w:rPr>
          <w:rFonts w:ascii="Palatino Linotype" w:eastAsia="Times New Roman" w:hAnsi="Palatino Linotype"/>
          <w:bCs/>
          <w:sz w:val="22"/>
          <w:szCs w:val="22"/>
          <w:lang w:val="en-US" w:eastAsia="en-GB"/>
        </w:rPr>
        <w:t xml:space="preserve"> 2021, the highest number of stock index futures contracts traded was at B3 - Brasil Bolsa Balcão (</w:t>
      </w:r>
      <w:r w:rsidRPr="00335E88">
        <w:rPr>
          <w:rFonts w:ascii="Palatino Linotype" w:eastAsia="Times New Roman" w:hAnsi="Palatino Linotype"/>
          <w:bCs/>
          <w:sz w:val="22"/>
          <w:szCs w:val="22"/>
          <w:lang w:val="en-US" w:eastAsia="en-GB"/>
        </w:rPr>
        <w:t>324,939,722)</w:t>
      </w:r>
      <w:r w:rsidRPr="00DC5A27">
        <w:rPr>
          <w:rFonts w:ascii="Palatino Linotype" w:eastAsia="Times New Roman" w:hAnsi="Palatino Linotype"/>
          <w:bCs/>
          <w:sz w:val="22"/>
          <w:szCs w:val="22"/>
          <w:lang w:val="en-US" w:eastAsia="en-GB"/>
        </w:rPr>
        <w:t xml:space="preserve"> followed by CME Group (</w:t>
      </w:r>
      <w:r w:rsidRPr="00335E88">
        <w:rPr>
          <w:rFonts w:ascii="Palatino Linotype" w:eastAsia="Times New Roman" w:hAnsi="Palatino Linotype"/>
          <w:bCs/>
          <w:sz w:val="22"/>
          <w:szCs w:val="22"/>
          <w:lang w:val="en-US" w:eastAsia="en-GB"/>
        </w:rPr>
        <w:t>97,150,859)</w:t>
      </w:r>
      <w:r w:rsidRPr="00DC5A27">
        <w:rPr>
          <w:rFonts w:ascii="Palatino Linotype" w:eastAsia="Times New Roman" w:hAnsi="Palatino Linotype"/>
          <w:bCs/>
          <w:sz w:val="22"/>
          <w:szCs w:val="22"/>
          <w:lang w:val="en-US" w:eastAsia="en-GB"/>
        </w:rPr>
        <w:t>. The highest number of stock index options were traded at NSE (</w:t>
      </w:r>
      <w:r w:rsidRPr="00335E88">
        <w:rPr>
          <w:rFonts w:ascii="Palatino Linotype" w:eastAsia="Times New Roman" w:hAnsi="Palatino Linotype"/>
          <w:bCs/>
          <w:sz w:val="22"/>
          <w:szCs w:val="22"/>
          <w:lang w:val="en-US" w:eastAsia="en-GB"/>
        </w:rPr>
        <w:t>856,255,549)</w:t>
      </w:r>
      <w:r w:rsidRPr="00DC5A27">
        <w:rPr>
          <w:rFonts w:ascii="Palatino Linotype" w:eastAsia="Times New Roman" w:hAnsi="Palatino Linotype"/>
          <w:bCs/>
          <w:sz w:val="22"/>
          <w:szCs w:val="22"/>
          <w:lang w:val="en-US" w:eastAsia="en-GB"/>
        </w:rPr>
        <w:t xml:space="preserve"> which also recorded the highest notional turnover in this segment. Second highest number of stock index options were traded at Korea Exchange (</w:t>
      </w:r>
      <w:r w:rsidRPr="00335E88">
        <w:rPr>
          <w:rFonts w:ascii="Palatino Linotype" w:eastAsia="Times New Roman" w:hAnsi="Palatino Linotype"/>
          <w:bCs/>
          <w:sz w:val="22"/>
          <w:szCs w:val="22"/>
          <w:lang w:val="en-US" w:eastAsia="en-GB"/>
        </w:rPr>
        <w:t>57,354,862)</w:t>
      </w:r>
      <w:r w:rsidRPr="00DC5A27">
        <w:rPr>
          <w:rFonts w:ascii="Palatino Linotype" w:eastAsia="Times New Roman" w:hAnsi="Palatino Linotype"/>
          <w:bCs/>
          <w:sz w:val="22"/>
          <w:szCs w:val="22"/>
          <w:lang w:val="en-US" w:eastAsia="en-GB"/>
        </w:rPr>
        <w:t>.</w:t>
      </w:r>
    </w:p>
    <w:p w14:paraId="4806FA64" w14:textId="77777777" w:rsidR="00D33F7C" w:rsidRPr="00DC5A27" w:rsidRDefault="00D33F7C" w:rsidP="00D33F7C">
      <w:pPr>
        <w:numPr>
          <w:ilvl w:val="0"/>
          <w:numId w:val="8"/>
        </w:numPr>
        <w:spacing w:line="276" w:lineRule="auto"/>
        <w:jc w:val="both"/>
        <w:rPr>
          <w:rFonts w:ascii="Palatino Linotype" w:eastAsia="Times New Roman" w:hAnsi="Palatino Linotype"/>
          <w:bCs/>
          <w:sz w:val="22"/>
          <w:szCs w:val="22"/>
          <w:lang w:val="en-US" w:eastAsia="en-GB"/>
        </w:rPr>
      </w:pPr>
      <w:r w:rsidRPr="00DC5A27">
        <w:rPr>
          <w:rFonts w:ascii="Palatino Linotype" w:eastAsia="Times New Roman" w:hAnsi="Palatino Linotype"/>
          <w:bCs/>
          <w:sz w:val="22"/>
          <w:szCs w:val="22"/>
          <w:lang w:val="en-US" w:eastAsia="en-GB"/>
        </w:rPr>
        <w:t xml:space="preserve">Highest number of currency futures contracts were traded at </w:t>
      </w:r>
      <w:r w:rsidRPr="00B46612">
        <w:rPr>
          <w:rFonts w:ascii="Palatino Linotype" w:eastAsia="Times New Roman" w:hAnsi="Palatino Linotype"/>
          <w:bCs/>
          <w:sz w:val="22"/>
          <w:szCs w:val="22"/>
          <w:lang w:val="en-US" w:eastAsia="en-GB"/>
        </w:rPr>
        <w:t>B3 - Brasil Bolsa Balcão</w:t>
      </w:r>
      <w:r w:rsidRPr="00DC5A27">
        <w:rPr>
          <w:rFonts w:ascii="Palatino Linotype" w:eastAsia="Times New Roman" w:hAnsi="Palatino Linotype"/>
          <w:bCs/>
          <w:sz w:val="22"/>
          <w:szCs w:val="22"/>
          <w:lang w:val="en-US" w:eastAsia="en-GB"/>
        </w:rPr>
        <w:t xml:space="preserve"> (</w:t>
      </w:r>
      <w:r w:rsidRPr="00B46612">
        <w:rPr>
          <w:rFonts w:ascii="Palatino Linotype" w:eastAsia="Times New Roman" w:hAnsi="Palatino Linotype"/>
          <w:bCs/>
          <w:sz w:val="22"/>
          <w:szCs w:val="22"/>
          <w:lang w:val="en-US" w:eastAsia="en-GB"/>
        </w:rPr>
        <w:t>69,395,443)</w:t>
      </w:r>
      <w:r w:rsidRPr="00DC5A27">
        <w:rPr>
          <w:rFonts w:ascii="Palatino Linotype" w:eastAsia="Times New Roman" w:hAnsi="Palatino Linotype"/>
          <w:bCs/>
          <w:sz w:val="22"/>
          <w:szCs w:val="22"/>
          <w:lang w:val="en-US" w:eastAsia="en-GB"/>
        </w:rPr>
        <w:t xml:space="preserve"> followed by </w:t>
      </w:r>
      <w:r w:rsidRPr="00B46612">
        <w:rPr>
          <w:rFonts w:ascii="Palatino Linotype" w:eastAsia="Times New Roman" w:hAnsi="Palatino Linotype"/>
          <w:bCs/>
          <w:sz w:val="22"/>
          <w:szCs w:val="22"/>
          <w:lang w:val="en-US" w:eastAsia="en-GB"/>
        </w:rPr>
        <w:t xml:space="preserve">Moscow Exchange </w:t>
      </w:r>
      <w:r w:rsidRPr="00DC5A27">
        <w:rPr>
          <w:rFonts w:ascii="Palatino Linotype" w:eastAsia="Times New Roman" w:hAnsi="Palatino Linotype"/>
          <w:bCs/>
          <w:sz w:val="22"/>
          <w:szCs w:val="22"/>
          <w:lang w:val="en-US" w:eastAsia="en-GB"/>
        </w:rPr>
        <w:t>(</w:t>
      </w:r>
      <w:r w:rsidRPr="00B46612">
        <w:rPr>
          <w:rFonts w:ascii="Palatino Linotype" w:eastAsia="Times New Roman" w:hAnsi="Palatino Linotype"/>
          <w:bCs/>
          <w:sz w:val="22"/>
          <w:szCs w:val="22"/>
          <w:lang w:val="en-US" w:eastAsia="en-GB"/>
        </w:rPr>
        <w:t>58,018,143)</w:t>
      </w:r>
      <w:r w:rsidRPr="00DC5A27">
        <w:rPr>
          <w:rFonts w:ascii="Palatino Linotype" w:eastAsia="Times New Roman" w:hAnsi="Palatino Linotype"/>
          <w:bCs/>
          <w:sz w:val="22"/>
          <w:szCs w:val="22"/>
          <w:lang w:val="en-US" w:eastAsia="en-GB"/>
        </w:rPr>
        <w:t>. The highest number of currency options were traded at NSE (</w:t>
      </w:r>
      <w:r w:rsidRPr="005D70F0">
        <w:rPr>
          <w:rFonts w:ascii="Palatino Linotype" w:eastAsia="Times New Roman" w:hAnsi="Palatino Linotype"/>
          <w:bCs/>
          <w:sz w:val="22"/>
          <w:szCs w:val="22"/>
          <w:lang w:val="en-US" w:eastAsia="en-GB"/>
        </w:rPr>
        <w:t>90,313,872)</w:t>
      </w:r>
      <w:r w:rsidRPr="00DC5A27">
        <w:rPr>
          <w:rFonts w:ascii="Palatino Linotype" w:eastAsia="Times New Roman" w:hAnsi="Palatino Linotype"/>
          <w:bCs/>
          <w:sz w:val="22"/>
          <w:szCs w:val="22"/>
          <w:lang w:val="en-US" w:eastAsia="en-GB"/>
        </w:rPr>
        <w:t xml:space="preserve"> which also recorded the highest notional turnover in this segment. NSE was followed by Moscow Exchange (</w:t>
      </w:r>
      <w:r w:rsidRPr="005D70F0">
        <w:rPr>
          <w:rFonts w:ascii="Palatino Linotype" w:eastAsia="Times New Roman" w:hAnsi="Palatino Linotype"/>
          <w:bCs/>
          <w:sz w:val="22"/>
          <w:szCs w:val="22"/>
          <w:lang w:val="en-US" w:eastAsia="en-GB"/>
        </w:rPr>
        <w:t>1,244,014)</w:t>
      </w:r>
      <w:r w:rsidRPr="00DC5A27">
        <w:rPr>
          <w:rFonts w:ascii="Palatino Linotype" w:eastAsia="Times New Roman" w:hAnsi="Palatino Linotype"/>
          <w:bCs/>
          <w:sz w:val="22"/>
          <w:szCs w:val="22"/>
          <w:lang w:val="en-US" w:eastAsia="en-GB"/>
        </w:rPr>
        <w:t xml:space="preserve"> in the currency options segment.</w:t>
      </w:r>
    </w:p>
    <w:p w14:paraId="4EC0AACA" w14:textId="77777777" w:rsidR="00D33F7C" w:rsidRPr="00DC5A27" w:rsidRDefault="00D33F7C" w:rsidP="00D33F7C">
      <w:pPr>
        <w:numPr>
          <w:ilvl w:val="0"/>
          <w:numId w:val="8"/>
        </w:numPr>
        <w:spacing w:line="276" w:lineRule="auto"/>
        <w:jc w:val="both"/>
        <w:rPr>
          <w:rFonts w:ascii="Palatino Linotype" w:eastAsia="Times New Roman" w:hAnsi="Palatino Linotype"/>
          <w:bCs/>
          <w:sz w:val="22"/>
          <w:szCs w:val="22"/>
          <w:lang w:val="en-US" w:eastAsia="en-GB"/>
        </w:rPr>
      </w:pPr>
      <w:r w:rsidRPr="00DC5A27">
        <w:rPr>
          <w:rFonts w:ascii="Palatino Linotype" w:eastAsia="Times New Roman" w:hAnsi="Palatino Linotype"/>
          <w:bCs/>
          <w:sz w:val="22"/>
          <w:szCs w:val="22"/>
          <w:lang w:val="en-US" w:eastAsia="en-GB"/>
        </w:rPr>
        <w:t xml:space="preserve">In </w:t>
      </w:r>
      <w:r>
        <w:rPr>
          <w:rFonts w:ascii="Palatino Linotype" w:eastAsia="Times New Roman" w:hAnsi="Palatino Linotype"/>
          <w:bCs/>
          <w:sz w:val="22"/>
          <w:szCs w:val="22"/>
          <w:lang w:val="en-US" w:eastAsia="en-GB"/>
        </w:rPr>
        <w:t>May</w:t>
      </w:r>
      <w:r w:rsidRPr="00DC5A27">
        <w:rPr>
          <w:rFonts w:ascii="Palatino Linotype" w:eastAsia="Times New Roman" w:hAnsi="Palatino Linotype"/>
          <w:bCs/>
          <w:sz w:val="22"/>
          <w:szCs w:val="22"/>
          <w:lang w:val="en-US" w:eastAsia="en-GB"/>
        </w:rPr>
        <w:t xml:space="preserve"> 2021, the highest number of interest rate futures were traded at CME Group (</w:t>
      </w:r>
      <w:r w:rsidRPr="00184C2A">
        <w:rPr>
          <w:rFonts w:ascii="Palatino Linotype" w:eastAsia="Times New Roman" w:hAnsi="Palatino Linotype"/>
          <w:bCs/>
          <w:sz w:val="22"/>
          <w:szCs w:val="22"/>
          <w:lang w:val="en-US" w:eastAsia="en-GB"/>
        </w:rPr>
        <w:t>166,416,486)</w:t>
      </w:r>
      <w:r w:rsidRPr="00DC5A27">
        <w:rPr>
          <w:rFonts w:ascii="Palatino Linotype" w:eastAsia="Times New Roman" w:hAnsi="Palatino Linotype"/>
          <w:bCs/>
          <w:sz w:val="22"/>
          <w:szCs w:val="22"/>
          <w:lang w:val="en-US" w:eastAsia="en-GB"/>
        </w:rPr>
        <w:t xml:space="preserve"> followed by </w:t>
      </w:r>
      <w:r w:rsidRPr="00184C2A">
        <w:rPr>
          <w:rFonts w:ascii="Palatino Linotype" w:eastAsia="Times New Roman" w:hAnsi="Palatino Linotype"/>
          <w:bCs/>
          <w:sz w:val="22"/>
          <w:szCs w:val="22"/>
          <w:lang w:val="en-US" w:eastAsia="en-GB"/>
        </w:rPr>
        <w:t>Deutsche Boerse AG</w:t>
      </w:r>
      <w:r w:rsidRPr="00DC5A27">
        <w:rPr>
          <w:rFonts w:ascii="Palatino Linotype" w:eastAsia="Times New Roman" w:hAnsi="Palatino Linotype"/>
          <w:bCs/>
          <w:sz w:val="22"/>
          <w:szCs w:val="22"/>
          <w:lang w:val="en-US" w:eastAsia="en-GB"/>
        </w:rPr>
        <w:t xml:space="preserve"> (</w:t>
      </w:r>
      <w:r w:rsidRPr="00184C2A">
        <w:rPr>
          <w:rFonts w:ascii="Palatino Linotype" w:eastAsia="Times New Roman" w:hAnsi="Palatino Linotype"/>
          <w:bCs/>
          <w:sz w:val="22"/>
          <w:szCs w:val="22"/>
          <w:lang w:val="en-US" w:eastAsia="en-GB"/>
        </w:rPr>
        <w:t>44,838,937)</w:t>
      </w:r>
      <w:r w:rsidRPr="00DC5A27">
        <w:rPr>
          <w:rFonts w:ascii="Palatino Linotype" w:eastAsia="Times New Roman" w:hAnsi="Palatino Linotype"/>
          <w:bCs/>
          <w:sz w:val="22"/>
          <w:szCs w:val="22"/>
          <w:lang w:val="en-US" w:eastAsia="en-GB"/>
        </w:rPr>
        <w:t>. Highest number of interest rate options were traded at CME Group (</w:t>
      </w:r>
      <w:r w:rsidRPr="00184C2A">
        <w:rPr>
          <w:rFonts w:ascii="Palatino Linotype" w:eastAsia="Times New Roman" w:hAnsi="Palatino Linotype"/>
          <w:bCs/>
          <w:sz w:val="22"/>
          <w:szCs w:val="22"/>
          <w:lang w:val="en-US" w:eastAsia="en-GB"/>
        </w:rPr>
        <w:t>37,441,724)</w:t>
      </w:r>
      <w:r w:rsidRPr="00DC5A27">
        <w:rPr>
          <w:rFonts w:ascii="Palatino Linotype" w:eastAsia="Times New Roman" w:hAnsi="Palatino Linotype"/>
          <w:bCs/>
          <w:sz w:val="22"/>
          <w:szCs w:val="22"/>
          <w:lang w:val="en-US" w:eastAsia="en-GB"/>
        </w:rPr>
        <w:t xml:space="preserve"> followed by B3 - Brasil Bolsa Balcão (</w:t>
      </w:r>
      <w:r w:rsidRPr="00184C2A">
        <w:rPr>
          <w:rFonts w:ascii="Palatino Linotype" w:eastAsia="Times New Roman" w:hAnsi="Palatino Linotype"/>
          <w:bCs/>
          <w:sz w:val="22"/>
          <w:szCs w:val="22"/>
          <w:lang w:val="en-US" w:eastAsia="en-GB"/>
        </w:rPr>
        <w:t>10,098,780)</w:t>
      </w:r>
      <w:r w:rsidRPr="00DC5A27">
        <w:rPr>
          <w:rFonts w:ascii="Palatino Linotype" w:eastAsia="Times New Roman" w:hAnsi="Palatino Linotype"/>
          <w:bCs/>
          <w:sz w:val="22"/>
          <w:szCs w:val="22"/>
          <w:lang w:val="en-US" w:eastAsia="en-GB"/>
        </w:rPr>
        <w:t xml:space="preserve">. </w:t>
      </w:r>
    </w:p>
    <w:p w14:paraId="5064E6C4" w14:textId="77777777" w:rsidR="00D33F7C" w:rsidRPr="00DC5A27" w:rsidRDefault="00D33F7C" w:rsidP="00D33F7C">
      <w:pPr>
        <w:numPr>
          <w:ilvl w:val="0"/>
          <w:numId w:val="8"/>
        </w:numPr>
        <w:spacing w:line="276" w:lineRule="auto"/>
        <w:jc w:val="both"/>
        <w:rPr>
          <w:rFonts w:ascii="Palatino Linotype" w:eastAsia="Times New Roman" w:hAnsi="Palatino Linotype"/>
          <w:bCs/>
          <w:sz w:val="22"/>
          <w:szCs w:val="22"/>
          <w:lang w:val="en-US" w:eastAsia="en-GB"/>
        </w:rPr>
      </w:pPr>
      <w:r w:rsidRPr="00DC5A27">
        <w:rPr>
          <w:rFonts w:ascii="Palatino Linotype" w:eastAsia="Times New Roman" w:hAnsi="Palatino Linotype"/>
          <w:bCs/>
          <w:sz w:val="22"/>
          <w:szCs w:val="22"/>
          <w:lang w:val="en-US" w:eastAsia="en-GB"/>
        </w:rPr>
        <w:t>The highest number of commodity futures contracts were traded at Zhengzhou Commodity Exchange (</w:t>
      </w:r>
      <w:r w:rsidRPr="00BF4308">
        <w:rPr>
          <w:rFonts w:ascii="Palatino Linotype" w:eastAsia="Times New Roman" w:hAnsi="Palatino Linotype"/>
          <w:bCs/>
          <w:sz w:val="22"/>
          <w:szCs w:val="22"/>
          <w:lang w:val="en-US" w:eastAsia="en-GB"/>
        </w:rPr>
        <w:t>229,658,618)</w:t>
      </w:r>
      <w:r w:rsidRPr="00DC5A27">
        <w:rPr>
          <w:rFonts w:ascii="Palatino Linotype" w:eastAsia="Times New Roman" w:hAnsi="Palatino Linotype"/>
          <w:bCs/>
          <w:sz w:val="22"/>
          <w:szCs w:val="22"/>
          <w:lang w:val="en-US" w:eastAsia="en-GB"/>
        </w:rPr>
        <w:t xml:space="preserve"> followed by Shanghai Futures Exchange (</w:t>
      </w:r>
      <w:r w:rsidRPr="00BF4308">
        <w:rPr>
          <w:rFonts w:ascii="Palatino Linotype" w:eastAsia="Times New Roman" w:hAnsi="Palatino Linotype"/>
          <w:bCs/>
          <w:sz w:val="22"/>
          <w:szCs w:val="22"/>
          <w:lang w:val="en-US" w:eastAsia="en-GB"/>
        </w:rPr>
        <w:t>218,064,267)</w:t>
      </w:r>
      <w:r w:rsidRPr="00DC5A27">
        <w:rPr>
          <w:rFonts w:ascii="Palatino Linotype" w:eastAsia="Times New Roman" w:hAnsi="Palatino Linotype"/>
          <w:bCs/>
          <w:sz w:val="22"/>
          <w:szCs w:val="22"/>
          <w:lang w:val="en-US" w:eastAsia="en-GB"/>
        </w:rPr>
        <w:t xml:space="preserve"> in </w:t>
      </w:r>
      <w:r>
        <w:rPr>
          <w:rFonts w:ascii="Palatino Linotype" w:eastAsia="Times New Roman" w:hAnsi="Palatino Linotype"/>
          <w:bCs/>
          <w:sz w:val="22"/>
          <w:szCs w:val="22"/>
          <w:lang w:val="en-US" w:eastAsia="en-GB"/>
        </w:rPr>
        <w:t>May</w:t>
      </w:r>
      <w:r w:rsidRPr="00DC5A27">
        <w:rPr>
          <w:rFonts w:ascii="Palatino Linotype" w:eastAsia="Times New Roman" w:hAnsi="Palatino Linotype"/>
          <w:bCs/>
          <w:sz w:val="22"/>
          <w:szCs w:val="22"/>
          <w:lang w:val="en-US" w:eastAsia="en-GB"/>
        </w:rPr>
        <w:t xml:space="preserve"> 2021. Among </w:t>
      </w:r>
      <w:r w:rsidRPr="00DC5A27">
        <w:rPr>
          <w:rFonts w:ascii="Palatino Linotype" w:eastAsia="Times New Roman" w:hAnsi="Palatino Linotype"/>
          <w:bCs/>
          <w:sz w:val="22"/>
          <w:szCs w:val="22"/>
          <w:lang w:val="en-US" w:eastAsia="en-GB"/>
        </w:rPr>
        <w:lastRenderedPageBreak/>
        <w:t>the commodity options the highest number of contracts were traded at CME Group (</w:t>
      </w:r>
      <w:r w:rsidRPr="00BF4308">
        <w:rPr>
          <w:rFonts w:ascii="Palatino Linotype" w:eastAsia="Times New Roman" w:hAnsi="Palatino Linotype"/>
          <w:bCs/>
          <w:sz w:val="22"/>
          <w:szCs w:val="22"/>
          <w:lang w:val="en-US" w:eastAsia="en-GB"/>
        </w:rPr>
        <w:t>12,527,714)</w:t>
      </w:r>
      <w:r w:rsidRPr="00DC5A27">
        <w:rPr>
          <w:rFonts w:ascii="Palatino Linotype" w:eastAsia="Times New Roman" w:hAnsi="Palatino Linotype"/>
          <w:bCs/>
          <w:sz w:val="22"/>
          <w:szCs w:val="22"/>
          <w:lang w:val="en-US" w:eastAsia="en-GB"/>
        </w:rPr>
        <w:t xml:space="preserve"> followed by Zhengzhou Commodity Exchange (</w:t>
      </w:r>
      <w:r w:rsidRPr="00BF4308">
        <w:rPr>
          <w:rFonts w:ascii="Palatino Linotype" w:eastAsia="Times New Roman" w:hAnsi="Palatino Linotype"/>
          <w:bCs/>
          <w:sz w:val="22"/>
          <w:szCs w:val="22"/>
          <w:lang w:val="en-US" w:eastAsia="en-GB"/>
        </w:rPr>
        <w:t>6,304,894)</w:t>
      </w:r>
      <w:r w:rsidRPr="00DC5A27">
        <w:rPr>
          <w:rFonts w:ascii="Palatino Linotype" w:eastAsia="Times New Roman" w:hAnsi="Palatino Linotype"/>
          <w:bCs/>
          <w:sz w:val="22"/>
          <w:szCs w:val="22"/>
          <w:lang w:val="en-US" w:eastAsia="en-GB"/>
        </w:rPr>
        <w:t xml:space="preserve"> during the same period.</w:t>
      </w:r>
    </w:p>
    <w:p w14:paraId="49F5CFCF" w14:textId="77777777" w:rsidR="00D33F7C" w:rsidRPr="00DC5A27" w:rsidRDefault="00D33F7C" w:rsidP="00D33F7C">
      <w:pPr>
        <w:numPr>
          <w:ilvl w:val="0"/>
          <w:numId w:val="8"/>
        </w:numPr>
        <w:spacing w:line="276" w:lineRule="auto"/>
        <w:ind w:hanging="357"/>
        <w:contextualSpacing/>
        <w:jc w:val="both"/>
        <w:rPr>
          <w:rFonts w:ascii="Palatino Linotype" w:hAnsi="Palatino Linotype"/>
          <w:bCs/>
          <w:sz w:val="22"/>
          <w:szCs w:val="22"/>
          <w:lang w:val="en-US"/>
        </w:rPr>
      </w:pPr>
      <w:r w:rsidRPr="00DC5A27">
        <w:rPr>
          <w:rFonts w:ascii="Palatino Linotype" w:eastAsia="Times New Roman" w:hAnsi="Palatino Linotype"/>
          <w:bCs/>
          <w:sz w:val="22"/>
          <w:szCs w:val="22"/>
          <w:lang w:val="en-US" w:eastAsia="en-GB"/>
        </w:rPr>
        <w:t xml:space="preserve">In </w:t>
      </w:r>
      <w:r>
        <w:rPr>
          <w:rFonts w:ascii="Palatino Linotype" w:eastAsia="Times New Roman" w:hAnsi="Palatino Linotype"/>
          <w:bCs/>
          <w:sz w:val="22"/>
          <w:szCs w:val="22"/>
          <w:lang w:val="en-US" w:eastAsia="en-GB"/>
        </w:rPr>
        <w:t>June</w:t>
      </w:r>
      <w:r w:rsidRPr="00DC5A27">
        <w:rPr>
          <w:rFonts w:ascii="Palatino Linotype" w:eastAsia="Times New Roman" w:hAnsi="Palatino Linotype"/>
          <w:bCs/>
          <w:sz w:val="22"/>
          <w:szCs w:val="22"/>
          <w:lang w:val="en-US" w:eastAsia="en-GB"/>
        </w:rPr>
        <w:t xml:space="preserve"> 2021, most of the analysed</w:t>
      </w:r>
      <w:r w:rsidRPr="00DC5A27">
        <w:rPr>
          <w:rFonts w:ascii="Palatino Linotype" w:eastAsia="Times New Roman" w:hAnsi="Palatino Linotype"/>
          <w:bCs/>
          <w:sz w:val="22"/>
          <w:szCs w:val="22"/>
          <w:vertAlign w:val="superscript"/>
          <w:lang w:val="en-US" w:eastAsia="en-GB"/>
        </w:rPr>
        <w:footnoteReference w:id="7"/>
      </w:r>
      <w:r w:rsidRPr="00DC5A27">
        <w:rPr>
          <w:rFonts w:ascii="Palatino Linotype" w:eastAsia="Times New Roman" w:hAnsi="Palatino Linotype"/>
          <w:bCs/>
          <w:sz w:val="22"/>
          <w:szCs w:val="22"/>
          <w:lang w:val="en-US" w:eastAsia="en-GB"/>
        </w:rPr>
        <w:t xml:space="preserve"> currencies appreciated against dollar. Yen was the only currency to depreciate among the analysed currencies.</w:t>
      </w:r>
    </w:p>
    <w:p w14:paraId="76321389" w14:textId="77777777" w:rsidR="00D33F7C" w:rsidRPr="00DC5A27" w:rsidRDefault="00D33F7C" w:rsidP="00D33F7C">
      <w:pPr>
        <w:spacing w:line="276" w:lineRule="auto"/>
        <w:outlineLvl w:val="0"/>
        <w:rPr>
          <w:rFonts w:ascii="Palatino Linotype" w:eastAsia="Times New Roman" w:hAnsi="Palatino Linotype"/>
          <w:b/>
          <w:sz w:val="22"/>
          <w:szCs w:val="22"/>
          <w:u w:val="single"/>
        </w:rPr>
      </w:pPr>
    </w:p>
    <w:p w14:paraId="7A2458B7" w14:textId="77777777" w:rsidR="00D33F7C" w:rsidRPr="0024165F" w:rsidRDefault="00D33F7C" w:rsidP="00D33F7C">
      <w:pPr>
        <w:spacing w:line="276" w:lineRule="auto"/>
        <w:outlineLvl w:val="0"/>
        <w:rPr>
          <w:rFonts w:ascii="Palatino Linotype" w:eastAsia="Times New Roman" w:hAnsi="Palatino Linotype"/>
          <w:b/>
          <w:sz w:val="22"/>
          <w:szCs w:val="22"/>
          <w:lang w:eastAsia="en-GB"/>
        </w:rPr>
      </w:pPr>
      <w:r w:rsidRPr="0024165F">
        <w:rPr>
          <w:rFonts w:ascii="Palatino Linotype" w:eastAsia="Times New Roman" w:hAnsi="Palatino Linotype"/>
          <w:b/>
          <w:sz w:val="22"/>
          <w:szCs w:val="22"/>
          <w:u w:val="single"/>
        </w:rPr>
        <w:t xml:space="preserve">US Treasury Securities </w:t>
      </w:r>
      <w:r w:rsidRPr="0024165F">
        <w:rPr>
          <w:rFonts w:ascii="Palatino Linotype" w:eastAsia="Times New Roman" w:hAnsi="Palatino Linotype"/>
          <w:b/>
          <w:sz w:val="22"/>
          <w:szCs w:val="22"/>
          <w:lang w:eastAsia="en-GB"/>
        </w:rPr>
        <w:t>(Table A9)</w:t>
      </w:r>
    </w:p>
    <w:p w14:paraId="5F6C5EB0" w14:textId="77777777" w:rsidR="00D33F7C" w:rsidRPr="00D02A3E" w:rsidRDefault="00D33F7C" w:rsidP="00D33F7C">
      <w:pPr>
        <w:spacing w:line="276" w:lineRule="auto"/>
        <w:outlineLvl w:val="0"/>
        <w:rPr>
          <w:rFonts w:ascii="Palatino Linotype" w:hAnsi="Palatino Linotype"/>
          <w:bCs/>
          <w:sz w:val="22"/>
          <w:szCs w:val="22"/>
        </w:rPr>
      </w:pPr>
    </w:p>
    <w:p w14:paraId="5B7969AA" w14:textId="21D56593" w:rsidR="00D33F7C" w:rsidRPr="00930D54" w:rsidRDefault="00D33F7C" w:rsidP="00D33F7C">
      <w:pPr>
        <w:numPr>
          <w:ilvl w:val="0"/>
          <w:numId w:val="8"/>
        </w:numPr>
        <w:spacing w:line="276" w:lineRule="auto"/>
        <w:contextualSpacing/>
        <w:jc w:val="both"/>
        <w:rPr>
          <w:rFonts w:ascii="Palatino Linotype" w:hAnsi="Palatino Linotype"/>
          <w:bCs/>
          <w:strike/>
          <w:sz w:val="22"/>
          <w:szCs w:val="22"/>
          <w:lang w:val="en-US"/>
        </w:rPr>
      </w:pPr>
      <w:r w:rsidRPr="00D02A3E">
        <w:rPr>
          <w:rFonts w:ascii="Palatino Linotype" w:eastAsia="Times New Roman" w:hAnsi="Palatino Linotype"/>
          <w:bCs/>
          <w:sz w:val="22"/>
          <w:szCs w:val="22"/>
          <w:lang w:val="en-US" w:eastAsia="en-GB"/>
        </w:rPr>
        <w:t xml:space="preserve">At the end of May 2021, Japan was the </w:t>
      </w:r>
      <w:r w:rsidR="004D10FC">
        <w:rPr>
          <w:rFonts w:ascii="Palatino Linotype" w:eastAsia="Times New Roman" w:hAnsi="Palatino Linotype"/>
          <w:bCs/>
          <w:sz w:val="22"/>
          <w:szCs w:val="22"/>
          <w:lang w:val="en-US" w:eastAsia="en-GB"/>
        </w:rPr>
        <w:t>highest</w:t>
      </w:r>
      <w:r w:rsidR="004D10FC" w:rsidRPr="00D02A3E">
        <w:rPr>
          <w:rFonts w:ascii="Palatino Linotype" w:eastAsia="Times New Roman" w:hAnsi="Palatino Linotype"/>
          <w:bCs/>
          <w:sz w:val="22"/>
          <w:szCs w:val="22"/>
          <w:lang w:val="en-US" w:eastAsia="en-GB"/>
        </w:rPr>
        <w:t xml:space="preserve"> </w:t>
      </w:r>
      <w:r w:rsidRPr="00D02A3E">
        <w:rPr>
          <w:rFonts w:ascii="Palatino Linotype" w:eastAsia="Times New Roman" w:hAnsi="Palatino Linotype"/>
          <w:bCs/>
          <w:sz w:val="22"/>
          <w:szCs w:val="22"/>
          <w:lang w:val="en-US" w:eastAsia="en-GB"/>
        </w:rPr>
        <w:t xml:space="preserve">foreign holder of US Treasury Securities holding 17.7 per cent of the total US </w:t>
      </w:r>
      <w:r w:rsidR="004D10FC">
        <w:rPr>
          <w:rFonts w:ascii="Palatino Linotype" w:eastAsia="Times New Roman" w:hAnsi="Palatino Linotype"/>
          <w:bCs/>
          <w:sz w:val="22"/>
          <w:szCs w:val="22"/>
          <w:lang w:val="en-US" w:eastAsia="en-GB"/>
        </w:rPr>
        <w:t>T</w:t>
      </w:r>
      <w:r w:rsidR="004D10FC" w:rsidRPr="00D02A3E">
        <w:rPr>
          <w:rFonts w:ascii="Palatino Linotype" w:eastAsia="Times New Roman" w:hAnsi="Palatino Linotype"/>
          <w:bCs/>
          <w:sz w:val="22"/>
          <w:szCs w:val="22"/>
          <w:lang w:val="en-US" w:eastAsia="en-GB"/>
        </w:rPr>
        <w:t xml:space="preserve">reasury </w:t>
      </w:r>
      <w:r w:rsidR="004D10FC">
        <w:rPr>
          <w:rFonts w:ascii="Palatino Linotype" w:eastAsia="Times New Roman" w:hAnsi="Palatino Linotype"/>
          <w:bCs/>
          <w:sz w:val="22"/>
          <w:szCs w:val="22"/>
          <w:lang w:val="en-US" w:eastAsia="en-GB"/>
        </w:rPr>
        <w:t>S</w:t>
      </w:r>
      <w:r w:rsidR="004D10FC" w:rsidRPr="00D02A3E">
        <w:rPr>
          <w:rFonts w:ascii="Palatino Linotype" w:eastAsia="Times New Roman" w:hAnsi="Palatino Linotype"/>
          <w:bCs/>
          <w:sz w:val="22"/>
          <w:szCs w:val="22"/>
          <w:lang w:val="en-US" w:eastAsia="en-GB"/>
        </w:rPr>
        <w:t xml:space="preserve">ecurities </w:t>
      </w:r>
      <w:r w:rsidRPr="00D02A3E">
        <w:rPr>
          <w:rFonts w:ascii="Palatino Linotype" w:eastAsia="Times New Roman" w:hAnsi="Palatino Linotype"/>
          <w:bCs/>
          <w:sz w:val="22"/>
          <w:szCs w:val="22"/>
          <w:lang w:val="en-US" w:eastAsia="en-GB"/>
        </w:rPr>
        <w:t>followed by China with 15.1 per cent. The total foreign holding of US Treasury Securities at the end of May 2021 was USD 7,135 billion. The holdings of US Treasury Securities by India remained at 3 per cent at the end of May 2021.</w:t>
      </w:r>
    </w:p>
    <w:p w14:paraId="5BD795E4" w14:textId="77777777" w:rsidR="00D33F7C" w:rsidRPr="0024165F" w:rsidRDefault="00D33F7C" w:rsidP="00D33F7C">
      <w:pPr>
        <w:rPr>
          <w:rFonts w:ascii="Garamond" w:hAnsi="Garamond"/>
          <w:b/>
          <w:bCs/>
          <w:szCs w:val="22"/>
        </w:rPr>
      </w:pPr>
    </w:p>
    <w:p w14:paraId="789E44AF" w14:textId="77777777" w:rsidR="00D33F7C" w:rsidRPr="0024165F" w:rsidRDefault="00D33F7C" w:rsidP="00D33F7C">
      <w:pPr>
        <w:rPr>
          <w:rFonts w:ascii="Garamond" w:hAnsi="Garamond"/>
          <w:b/>
          <w:bCs/>
          <w:szCs w:val="22"/>
        </w:rPr>
      </w:pPr>
    </w:p>
    <w:p w14:paraId="6ABDED40" w14:textId="77777777" w:rsidR="00D33F7C" w:rsidRDefault="00D33F7C" w:rsidP="00D33F7C">
      <w:pPr>
        <w:rPr>
          <w:rFonts w:ascii="Garamond" w:hAnsi="Garamond"/>
          <w:b/>
          <w:bCs/>
          <w:szCs w:val="22"/>
        </w:rPr>
      </w:pPr>
    </w:p>
    <w:p w14:paraId="13439DE0" w14:textId="77777777" w:rsidR="00D33F7C" w:rsidRPr="002A058E" w:rsidRDefault="00D33F7C" w:rsidP="00D33F7C">
      <w:pPr>
        <w:rPr>
          <w:rFonts w:ascii="Garamond" w:hAnsi="Garamond"/>
          <w:bCs/>
          <w:szCs w:val="22"/>
        </w:rPr>
      </w:pPr>
      <w:r w:rsidRPr="002A058E">
        <w:rPr>
          <w:rFonts w:ascii="Garamond" w:hAnsi="Garamond"/>
          <w:b/>
          <w:bCs/>
          <w:szCs w:val="22"/>
        </w:rPr>
        <w:t>Figure 5: Movement of the Major Currencies against USD</w:t>
      </w:r>
    </w:p>
    <w:p w14:paraId="240C43E3" w14:textId="77777777" w:rsidR="00D33F7C" w:rsidRPr="002A058E" w:rsidRDefault="00D33F7C" w:rsidP="00D33F7C">
      <w:pPr>
        <w:spacing w:line="23" w:lineRule="atLeast"/>
        <w:jc w:val="both"/>
        <w:rPr>
          <w:rFonts w:ascii="Garamond" w:hAnsi="Garamond"/>
          <w:bCs/>
          <w:sz w:val="18"/>
          <w:szCs w:val="18"/>
        </w:rPr>
      </w:pPr>
      <w:r>
        <w:rPr>
          <w:rFonts w:ascii="Garamond" w:hAnsi="Garamond"/>
          <w:bCs/>
          <w:noProof/>
          <w:sz w:val="18"/>
          <w:szCs w:val="18"/>
          <w:lang w:val="en-IN" w:eastAsia="en-IN" w:bidi="hi-IN"/>
        </w:rPr>
        <w:drawing>
          <wp:inline distT="0" distB="0" distL="0" distR="0" wp14:anchorId="4F6AE243" wp14:editId="52770273">
            <wp:extent cx="5721985" cy="35814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21985" cy="3581400"/>
                    </a:xfrm>
                    <a:prstGeom prst="rect">
                      <a:avLst/>
                    </a:prstGeom>
                    <a:noFill/>
                  </pic:spPr>
                </pic:pic>
              </a:graphicData>
            </a:graphic>
          </wp:inline>
        </w:drawing>
      </w:r>
    </w:p>
    <w:p w14:paraId="05952712" w14:textId="77777777" w:rsidR="00D33F7C" w:rsidRPr="002A058E" w:rsidRDefault="00D33F7C" w:rsidP="00D33F7C">
      <w:pPr>
        <w:spacing w:line="23" w:lineRule="atLeast"/>
        <w:jc w:val="both"/>
        <w:rPr>
          <w:rFonts w:ascii="Garamond" w:hAnsi="Garamond"/>
          <w:bCs/>
          <w:sz w:val="18"/>
          <w:szCs w:val="18"/>
        </w:rPr>
      </w:pPr>
      <w:r w:rsidRPr="002A058E">
        <w:rPr>
          <w:rFonts w:ascii="Garamond" w:hAnsi="Garamond"/>
          <w:bCs/>
          <w:sz w:val="18"/>
          <w:szCs w:val="18"/>
        </w:rPr>
        <w:t xml:space="preserve">Note: All indices have been </w:t>
      </w:r>
      <w:r>
        <w:rPr>
          <w:rFonts w:ascii="Garamond" w:hAnsi="Garamond"/>
          <w:bCs/>
          <w:sz w:val="18"/>
          <w:szCs w:val="18"/>
        </w:rPr>
        <w:t>normalised to 100 on 30 June</w:t>
      </w:r>
      <w:r w:rsidRPr="00483369">
        <w:rPr>
          <w:rFonts w:ascii="Garamond" w:hAnsi="Garamond"/>
          <w:bCs/>
          <w:sz w:val="18"/>
          <w:szCs w:val="18"/>
        </w:rPr>
        <w:t xml:space="preserve"> </w:t>
      </w:r>
      <w:r>
        <w:rPr>
          <w:rFonts w:ascii="Garamond" w:hAnsi="Garamond"/>
          <w:bCs/>
          <w:sz w:val="18"/>
          <w:szCs w:val="18"/>
        </w:rPr>
        <w:t>2020</w:t>
      </w:r>
      <w:r w:rsidRPr="002A058E">
        <w:rPr>
          <w:rFonts w:ascii="Garamond" w:hAnsi="Garamond"/>
          <w:bCs/>
          <w:sz w:val="18"/>
          <w:szCs w:val="18"/>
        </w:rPr>
        <w:t>.</w:t>
      </w:r>
    </w:p>
    <w:p w14:paraId="46089B94" w14:textId="77777777" w:rsidR="00D33F7C" w:rsidRPr="002A058E" w:rsidRDefault="00D33F7C" w:rsidP="00D33F7C">
      <w:pPr>
        <w:spacing w:line="23" w:lineRule="atLeast"/>
        <w:outlineLvl w:val="0"/>
        <w:rPr>
          <w:rFonts w:ascii="Garamond" w:hAnsi="Garamond"/>
          <w:bCs/>
          <w:sz w:val="18"/>
          <w:szCs w:val="18"/>
        </w:rPr>
      </w:pPr>
      <w:r w:rsidRPr="002A058E">
        <w:rPr>
          <w:rFonts w:ascii="Garamond" w:hAnsi="Garamond"/>
          <w:bCs/>
          <w:sz w:val="18"/>
          <w:szCs w:val="18"/>
        </w:rPr>
        <w:t>Source: Refinitiv</w:t>
      </w:r>
    </w:p>
    <w:p w14:paraId="534565E4" w14:textId="77777777" w:rsidR="00D33F7C" w:rsidRPr="002A058E" w:rsidRDefault="00D33F7C" w:rsidP="00D33F7C">
      <w:pPr>
        <w:rPr>
          <w:rFonts w:ascii="Garamond" w:hAnsi="Garamond"/>
          <w:b/>
          <w:bCs/>
          <w:szCs w:val="22"/>
        </w:rPr>
      </w:pPr>
    </w:p>
    <w:p w14:paraId="2862AF9A" w14:textId="77777777" w:rsidR="00D33F7C" w:rsidRPr="002A058E" w:rsidRDefault="00D33F7C" w:rsidP="00D33F7C">
      <w:pPr>
        <w:rPr>
          <w:rFonts w:ascii="Garamond" w:hAnsi="Garamond"/>
          <w:b/>
          <w:bCs/>
          <w:szCs w:val="22"/>
        </w:rPr>
      </w:pPr>
    </w:p>
    <w:p w14:paraId="6CF75D44" w14:textId="77777777" w:rsidR="00D33F7C" w:rsidRPr="002A058E" w:rsidRDefault="00D33F7C" w:rsidP="00D33F7C">
      <w:pPr>
        <w:rPr>
          <w:rFonts w:ascii="Garamond" w:hAnsi="Garamond"/>
          <w:b/>
          <w:bCs/>
          <w:szCs w:val="22"/>
        </w:rPr>
      </w:pPr>
    </w:p>
    <w:p w14:paraId="68C1EDFD" w14:textId="77777777" w:rsidR="00D33F7C" w:rsidRPr="002A058E" w:rsidRDefault="00D33F7C" w:rsidP="00D33F7C">
      <w:pPr>
        <w:rPr>
          <w:rFonts w:ascii="Garamond" w:hAnsi="Garamond"/>
          <w:b/>
          <w:bCs/>
          <w:szCs w:val="22"/>
        </w:rPr>
      </w:pPr>
    </w:p>
    <w:p w14:paraId="72D3FF83" w14:textId="77777777" w:rsidR="00D33F7C" w:rsidRPr="002A058E" w:rsidRDefault="00D33F7C" w:rsidP="00D33F7C">
      <w:pPr>
        <w:rPr>
          <w:rFonts w:ascii="Garamond" w:hAnsi="Garamond"/>
          <w:b/>
          <w:bCs/>
          <w:szCs w:val="22"/>
        </w:rPr>
      </w:pPr>
      <w:r>
        <w:rPr>
          <w:rFonts w:ascii="Garamond" w:hAnsi="Garamond"/>
          <w:b/>
          <w:bCs/>
          <w:szCs w:val="22"/>
        </w:rPr>
        <w:br w:type="page"/>
      </w:r>
      <w:r w:rsidRPr="002A058E">
        <w:rPr>
          <w:rFonts w:ascii="Garamond" w:hAnsi="Garamond"/>
          <w:b/>
          <w:bCs/>
          <w:szCs w:val="22"/>
        </w:rPr>
        <w:lastRenderedPageBreak/>
        <w:t>Figure 6: Movement of the US Dollar Index and MSCI EM Currency Index</w:t>
      </w:r>
    </w:p>
    <w:p w14:paraId="49FE476A" w14:textId="77777777" w:rsidR="00D33F7C" w:rsidRPr="002A058E" w:rsidRDefault="00D33F7C" w:rsidP="00D33F7C">
      <w:pPr>
        <w:spacing w:line="23" w:lineRule="atLeast"/>
        <w:outlineLvl w:val="0"/>
        <w:rPr>
          <w:rFonts w:ascii="Garamond" w:hAnsi="Garamond"/>
          <w:bCs/>
          <w:sz w:val="22"/>
          <w:szCs w:val="22"/>
        </w:rPr>
      </w:pPr>
    </w:p>
    <w:p w14:paraId="3B068D0B" w14:textId="77777777" w:rsidR="00D33F7C" w:rsidRPr="002A058E" w:rsidRDefault="00D33F7C" w:rsidP="00D33F7C">
      <w:pPr>
        <w:spacing w:line="23" w:lineRule="atLeast"/>
        <w:outlineLvl w:val="0"/>
        <w:rPr>
          <w:rFonts w:ascii="Garamond" w:hAnsi="Garamond"/>
          <w:bCs/>
          <w:sz w:val="22"/>
          <w:szCs w:val="22"/>
        </w:rPr>
      </w:pPr>
      <w:r>
        <w:rPr>
          <w:rFonts w:ascii="Garamond" w:hAnsi="Garamond"/>
          <w:bCs/>
          <w:noProof/>
          <w:sz w:val="22"/>
          <w:szCs w:val="22"/>
          <w:lang w:val="en-IN" w:eastAsia="en-IN" w:bidi="hi-IN"/>
        </w:rPr>
        <w:drawing>
          <wp:inline distT="0" distB="0" distL="0" distR="0" wp14:anchorId="3AA5D503" wp14:editId="06E9A8C3">
            <wp:extent cx="5868035" cy="3177540"/>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68035" cy="3177540"/>
                    </a:xfrm>
                    <a:prstGeom prst="rect">
                      <a:avLst/>
                    </a:prstGeom>
                    <a:noFill/>
                  </pic:spPr>
                </pic:pic>
              </a:graphicData>
            </a:graphic>
          </wp:inline>
        </w:drawing>
      </w:r>
    </w:p>
    <w:p w14:paraId="055DA92E" w14:textId="77777777" w:rsidR="00D33F7C" w:rsidRPr="002A058E" w:rsidRDefault="00D33F7C" w:rsidP="00D33F7C">
      <w:pPr>
        <w:tabs>
          <w:tab w:val="left" w:pos="3760"/>
        </w:tabs>
        <w:spacing w:line="23" w:lineRule="atLeast"/>
        <w:rPr>
          <w:rFonts w:ascii="Garamond" w:hAnsi="Garamond"/>
          <w:bCs/>
          <w:sz w:val="18"/>
          <w:szCs w:val="18"/>
        </w:rPr>
      </w:pPr>
      <w:r w:rsidRPr="002A058E">
        <w:rPr>
          <w:rFonts w:ascii="Garamond" w:hAnsi="Garamond"/>
          <w:bCs/>
          <w:sz w:val="18"/>
          <w:szCs w:val="18"/>
        </w:rPr>
        <w:t>Note:</w:t>
      </w:r>
    </w:p>
    <w:p w14:paraId="752FF671" w14:textId="77777777" w:rsidR="00D33F7C" w:rsidRPr="002A058E" w:rsidRDefault="00D33F7C" w:rsidP="00D33F7C">
      <w:pPr>
        <w:widowControl w:val="0"/>
        <w:numPr>
          <w:ilvl w:val="0"/>
          <w:numId w:val="7"/>
        </w:numPr>
        <w:autoSpaceDE w:val="0"/>
        <w:autoSpaceDN w:val="0"/>
        <w:adjustRightInd w:val="0"/>
        <w:spacing w:line="23" w:lineRule="atLeast"/>
        <w:ind w:right="1788"/>
        <w:jc w:val="both"/>
        <w:rPr>
          <w:rFonts w:ascii="Garamond" w:eastAsia="Times New Roman" w:hAnsi="Garamond"/>
          <w:bCs/>
          <w:sz w:val="18"/>
          <w:szCs w:val="18"/>
        </w:rPr>
      </w:pPr>
      <w:r w:rsidRPr="002A058E">
        <w:rPr>
          <w:rFonts w:ascii="Garamond" w:eastAsia="Times New Roman" w:hAnsi="Garamond"/>
          <w:bCs/>
          <w:sz w:val="18"/>
          <w:szCs w:val="18"/>
        </w:rPr>
        <w:t xml:space="preserve">All indices have been </w:t>
      </w:r>
      <w:r>
        <w:rPr>
          <w:rFonts w:ascii="Garamond" w:eastAsia="Times New Roman" w:hAnsi="Garamond"/>
          <w:bCs/>
          <w:sz w:val="18"/>
          <w:szCs w:val="18"/>
        </w:rPr>
        <w:t>normalised to 100 on 30 June 2020</w:t>
      </w:r>
      <w:r w:rsidRPr="002A058E">
        <w:rPr>
          <w:rFonts w:ascii="Garamond" w:eastAsia="Times New Roman" w:hAnsi="Garamond"/>
          <w:bCs/>
          <w:sz w:val="18"/>
          <w:szCs w:val="18"/>
        </w:rPr>
        <w:t>.</w:t>
      </w:r>
    </w:p>
    <w:p w14:paraId="4C0E37C0" w14:textId="77777777" w:rsidR="00D33F7C" w:rsidRPr="002A058E" w:rsidRDefault="00D33F7C" w:rsidP="00D33F7C">
      <w:pPr>
        <w:widowControl w:val="0"/>
        <w:numPr>
          <w:ilvl w:val="0"/>
          <w:numId w:val="7"/>
        </w:numPr>
        <w:autoSpaceDE w:val="0"/>
        <w:autoSpaceDN w:val="0"/>
        <w:adjustRightInd w:val="0"/>
        <w:spacing w:line="23" w:lineRule="atLeast"/>
        <w:ind w:right="1788"/>
        <w:jc w:val="both"/>
        <w:rPr>
          <w:rFonts w:ascii="Garamond" w:eastAsia="Times New Roman" w:hAnsi="Garamond"/>
          <w:bCs/>
          <w:sz w:val="18"/>
          <w:szCs w:val="18"/>
        </w:rPr>
      </w:pPr>
      <w:r w:rsidRPr="002A058E">
        <w:rPr>
          <w:rFonts w:ascii="Garamond" w:eastAsia="Times New Roman" w:hAnsi="Garamond"/>
          <w:bCs/>
          <w:sz w:val="18"/>
          <w:szCs w:val="18"/>
        </w:rPr>
        <w:t>The U.S. Dollar Index is an index of the value of the United States dollar relative to a basket of foreign currencies. The Index goes up when the U.S. dollar gains value compared to other currencies. The index is maintained and published by Intercontinental Exchange. It is a weighted geometric mean of the dollar's value relative to following select currencies: Euro, Japanese yen, Pound sterling, Canadian dollar, Swedish krona, Swiss franc.</w:t>
      </w:r>
    </w:p>
    <w:p w14:paraId="587D8D67" w14:textId="77777777" w:rsidR="00D33F7C" w:rsidRPr="002A058E" w:rsidRDefault="00D33F7C" w:rsidP="00D33F7C">
      <w:pPr>
        <w:widowControl w:val="0"/>
        <w:numPr>
          <w:ilvl w:val="0"/>
          <w:numId w:val="7"/>
        </w:numPr>
        <w:autoSpaceDE w:val="0"/>
        <w:autoSpaceDN w:val="0"/>
        <w:adjustRightInd w:val="0"/>
        <w:spacing w:line="23" w:lineRule="atLeast"/>
        <w:ind w:right="1788"/>
        <w:jc w:val="both"/>
        <w:rPr>
          <w:rFonts w:ascii="Garamond" w:eastAsia="Times New Roman" w:hAnsi="Garamond"/>
          <w:bCs/>
          <w:sz w:val="18"/>
          <w:szCs w:val="18"/>
        </w:rPr>
      </w:pPr>
      <w:r w:rsidRPr="002A058E">
        <w:rPr>
          <w:rFonts w:ascii="Garamond" w:eastAsia="Times New Roman" w:hAnsi="Garamond"/>
          <w:bCs/>
          <w:sz w:val="18"/>
          <w:szCs w:val="18"/>
        </w:rPr>
        <w:t>The MSCI Emerging Markets (EM) Currency Index tracks the performance of twenty-five emerging-market currencies relative to the US Dollar.</w:t>
      </w:r>
    </w:p>
    <w:p w14:paraId="63A67B49" w14:textId="77777777" w:rsidR="00D33F7C" w:rsidRPr="002A058E" w:rsidRDefault="00D33F7C" w:rsidP="00D33F7C">
      <w:pPr>
        <w:spacing w:line="23" w:lineRule="atLeast"/>
        <w:outlineLvl w:val="0"/>
        <w:rPr>
          <w:rFonts w:ascii="Garamond" w:hAnsi="Garamond"/>
          <w:bCs/>
          <w:sz w:val="18"/>
          <w:szCs w:val="18"/>
        </w:rPr>
      </w:pPr>
      <w:r w:rsidRPr="002A058E">
        <w:rPr>
          <w:rFonts w:ascii="Garamond" w:hAnsi="Garamond"/>
          <w:bCs/>
          <w:sz w:val="18"/>
          <w:szCs w:val="18"/>
        </w:rPr>
        <w:t>Source: Refinitiv</w:t>
      </w:r>
    </w:p>
    <w:p w14:paraId="04D49BAE" w14:textId="77777777" w:rsidR="00D33F7C" w:rsidRPr="002A058E" w:rsidRDefault="00D33F7C" w:rsidP="00D33F7C">
      <w:pPr>
        <w:spacing w:after="240" w:line="23" w:lineRule="atLeast"/>
        <w:jc w:val="both"/>
        <w:rPr>
          <w:rFonts w:ascii="Garamond" w:eastAsia="Times New Roman" w:hAnsi="Garamond"/>
          <w:bCs/>
          <w:sz w:val="18"/>
          <w:szCs w:val="18"/>
          <w:lang w:eastAsia="en-GB"/>
        </w:rPr>
      </w:pPr>
    </w:p>
    <w:p w14:paraId="6B6514DC" w14:textId="77777777" w:rsidR="00D33F7C" w:rsidRPr="002A058E" w:rsidRDefault="00D33F7C" w:rsidP="00D33F7C">
      <w:pPr>
        <w:spacing w:after="240" w:line="23" w:lineRule="atLeast"/>
        <w:jc w:val="both"/>
        <w:rPr>
          <w:rFonts w:ascii="Garamond" w:eastAsia="Times New Roman" w:hAnsi="Garamond"/>
          <w:bCs/>
          <w:sz w:val="18"/>
          <w:szCs w:val="18"/>
          <w:lang w:eastAsia="en-GB"/>
        </w:rPr>
      </w:pPr>
    </w:p>
    <w:p w14:paraId="1FDE3409" w14:textId="77777777" w:rsidR="00D33F7C" w:rsidRPr="002A058E" w:rsidRDefault="00D33F7C" w:rsidP="00D33F7C">
      <w:pPr>
        <w:rPr>
          <w:rFonts w:ascii="Garamond" w:hAnsi="Garamond"/>
          <w:b/>
          <w:bCs/>
          <w:szCs w:val="22"/>
        </w:rPr>
      </w:pPr>
    </w:p>
    <w:p w14:paraId="2A7EF757" w14:textId="77777777" w:rsidR="00D33F7C" w:rsidRPr="00073FE2" w:rsidRDefault="00D33F7C" w:rsidP="00D33F7C">
      <w:pPr>
        <w:rPr>
          <w:rFonts w:ascii="Garamond" w:hAnsi="Garamond"/>
          <w:b/>
          <w:bCs/>
          <w:strike/>
          <w:szCs w:val="22"/>
        </w:rPr>
        <w:sectPr w:rsidR="00D33F7C" w:rsidRPr="00073FE2" w:rsidSect="00332F86">
          <w:headerReference w:type="even" r:id="rId42"/>
          <w:headerReference w:type="default" r:id="rId43"/>
          <w:footerReference w:type="even" r:id="rId44"/>
          <w:footerReference w:type="default" r:id="rId45"/>
          <w:pgSz w:w="11906" w:h="16838" w:code="9"/>
          <w:pgMar w:top="578" w:right="1009" w:bottom="578" w:left="1009" w:header="431" w:footer="431" w:gutter="0"/>
          <w:cols w:space="720"/>
          <w:docGrid w:linePitch="360"/>
        </w:sectPr>
      </w:pPr>
    </w:p>
    <w:p w14:paraId="63E395AD" w14:textId="77777777" w:rsidR="00D33F7C" w:rsidRPr="001972CA" w:rsidRDefault="00D33F7C" w:rsidP="00D33F7C">
      <w:pPr>
        <w:rPr>
          <w:rFonts w:ascii="Garamond" w:hAnsi="Garamond"/>
          <w:b/>
          <w:bCs/>
          <w:szCs w:val="22"/>
        </w:rPr>
      </w:pPr>
      <w:r w:rsidRPr="001972CA">
        <w:rPr>
          <w:rFonts w:ascii="Garamond" w:hAnsi="Garamond"/>
          <w:b/>
          <w:bCs/>
          <w:szCs w:val="22"/>
        </w:rPr>
        <w:lastRenderedPageBreak/>
        <w:t>Table A1: Performance of Stock Indices</w:t>
      </w:r>
    </w:p>
    <w:tbl>
      <w:tblPr>
        <w:tblW w:w="4794" w:type="pct"/>
        <w:tblLook w:val="04A0" w:firstRow="1" w:lastRow="0" w:firstColumn="1" w:lastColumn="0" w:noHBand="0" w:noVBand="1"/>
      </w:tblPr>
      <w:tblGrid>
        <w:gridCol w:w="1316"/>
        <w:gridCol w:w="3392"/>
        <w:gridCol w:w="2373"/>
        <w:gridCol w:w="1285"/>
        <w:gridCol w:w="1285"/>
        <w:gridCol w:w="1285"/>
        <w:gridCol w:w="1171"/>
        <w:gridCol w:w="1928"/>
        <w:gridCol w:w="982"/>
      </w:tblGrid>
      <w:tr w:rsidR="00D33F7C" w:rsidRPr="001210D0" w14:paraId="765A329F" w14:textId="77777777" w:rsidTr="00E213CE">
        <w:trPr>
          <w:trHeight w:val="279"/>
        </w:trPr>
        <w:tc>
          <w:tcPr>
            <w:tcW w:w="438" w:type="pct"/>
            <w:vMerge w:val="restart"/>
            <w:tcBorders>
              <w:top w:val="single" w:sz="8" w:space="0" w:color="auto"/>
              <w:left w:val="single" w:sz="8" w:space="0" w:color="auto"/>
              <w:bottom w:val="single" w:sz="8" w:space="0" w:color="000000"/>
              <w:right w:val="single" w:sz="8" w:space="0" w:color="auto"/>
            </w:tcBorders>
            <w:shd w:val="clear" w:color="000000" w:fill="B4C6E7"/>
            <w:hideMark/>
          </w:tcPr>
          <w:p w14:paraId="2CF1FC38" w14:textId="77777777" w:rsidR="00D33F7C" w:rsidRPr="001210D0" w:rsidRDefault="00D33F7C" w:rsidP="00E213CE">
            <w:pPr>
              <w:jc w:val="center"/>
              <w:rPr>
                <w:rFonts w:ascii="Garamond" w:eastAsia="Times New Roman" w:hAnsi="Garamond"/>
                <w:b/>
                <w:bCs/>
                <w:color w:val="000000"/>
                <w:sz w:val="20"/>
                <w:szCs w:val="20"/>
                <w:lang w:val="en-IN" w:eastAsia="en-IN" w:bidi="hi-IN"/>
              </w:rPr>
            </w:pPr>
            <w:r w:rsidRPr="001210D0">
              <w:rPr>
                <w:rFonts w:ascii="Garamond" w:eastAsia="Times New Roman" w:hAnsi="Garamond"/>
                <w:b/>
                <w:bCs/>
                <w:color w:val="000000"/>
                <w:sz w:val="20"/>
                <w:szCs w:val="20"/>
                <w:lang w:val="en-IN" w:eastAsia="en-IN" w:bidi="hi-IN"/>
              </w:rPr>
              <w:t>Country</w:t>
            </w:r>
          </w:p>
        </w:tc>
        <w:tc>
          <w:tcPr>
            <w:tcW w:w="1129" w:type="pct"/>
            <w:vMerge w:val="restart"/>
            <w:tcBorders>
              <w:top w:val="single" w:sz="8" w:space="0" w:color="auto"/>
              <w:left w:val="single" w:sz="8" w:space="0" w:color="auto"/>
              <w:bottom w:val="single" w:sz="8" w:space="0" w:color="000000"/>
              <w:right w:val="single" w:sz="8" w:space="0" w:color="auto"/>
            </w:tcBorders>
            <w:shd w:val="clear" w:color="000000" w:fill="B4C6E7"/>
            <w:hideMark/>
          </w:tcPr>
          <w:p w14:paraId="5A65B92C" w14:textId="77777777" w:rsidR="00D33F7C" w:rsidRPr="001210D0" w:rsidRDefault="00D33F7C" w:rsidP="00E213CE">
            <w:pPr>
              <w:jc w:val="center"/>
              <w:rPr>
                <w:rFonts w:ascii="Garamond" w:eastAsia="Times New Roman" w:hAnsi="Garamond"/>
                <w:b/>
                <w:bCs/>
                <w:color w:val="000000"/>
                <w:sz w:val="20"/>
                <w:szCs w:val="20"/>
                <w:lang w:val="en-IN" w:eastAsia="en-IN" w:bidi="hi-IN"/>
              </w:rPr>
            </w:pPr>
            <w:r w:rsidRPr="001210D0">
              <w:rPr>
                <w:rFonts w:ascii="Garamond" w:eastAsia="Times New Roman" w:hAnsi="Garamond"/>
                <w:b/>
                <w:bCs/>
                <w:color w:val="000000"/>
                <w:sz w:val="20"/>
                <w:szCs w:val="20"/>
                <w:lang w:val="en-IN" w:eastAsia="en-IN" w:bidi="hi-IN"/>
              </w:rPr>
              <w:t>Name of the Index</w:t>
            </w:r>
          </w:p>
        </w:tc>
        <w:tc>
          <w:tcPr>
            <w:tcW w:w="790" w:type="pct"/>
            <w:tcBorders>
              <w:top w:val="single" w:sz="8" w:space="0" w:color="auto"/>
              <w:left w:val="nil"/>
              <w:bottom w:val="nil"/>
              <w:right w:val="single" w:sz="8" w:space="0" w:color="auto"/>
            </w:tcBorders>
            <w:shd w:val="clear" w:color="000000" w:fill="B4C6E7"/>
            <w:noWrap/>
            <w:hideMark/>
          </w:tcPr>
          <w:p w14:paraId="0B7DBC1B" w14:textId="77777777" w:rsidR="00D33F7C" w:rsidRPr="001210D0" w:rsidRDefault="00D33F7C" w:rsidP="00E213CE">
            <w:pPr>
              <w:jc w:val="center"/>
              <w:rPr>
                <w:rFonts w:ascii="Garamond" w:eastAsia="Times New Roman" w:hAnsi="Garamond"/>
                <w:b/>
                <w:bCs/>
                <w:color w:val="000000"/>
                <w:sz w:val="20"/>
                <w:szCs w:val="20"/>
                <w:lang w:val="en-IN" w:eastAsia="en-IN" w:bidi="hi-IN"/>
              </w:rPr>
            </w:pPr>
            <w:r w:rsidRPr="001210D0">
              <w:rPr>
                <w:rFonts w:ascii="Garamond" w:eastAsia="Times New Roman" w:hAnsi="Garamond"/>
                <w:b/>
                <w:bCs/>
                <w:color w:val="000000"/>
                <w:sz w:val="20"/>
                <w:szCs w:val="20"/>
                <w:lang w:val="en-IN" w:eastAsia="en-IN" w:bidi="hi-IN"/>
              </w:rPr>
              <w:t>Closing Value as on</w:t>
            </w:r>
          </w:p>
        </w:tc>
        <w:tc>
          <w:tcPr>
            <w:tcW w:w="1674" w:type="pct"/>
            <w:gridSpan w:val="4"/>
            <w:tcBorders>
              <w:top w:val="single" w:sz="8" w:space="0" w:color="auto"/>
              <w:left w:val="nil"/>
              <w:bottom w:val="single" w:sz="8" w:space="0" w:color="auto"/>
              <w:right w:val="single" w:sz="8" w:space="0" w:color="000000"/>
            </w:tcBorders>
            <w:shd w:val="clear" w:color="000000" w:fill="B4C6E7"/>
            <w:hideMark/>
          </w:tcPr>
          <w:p w14:paraId="71A61998" w14:textId="77777777" w:rsidR="00D33F7C" w:rsidRPr="001210D0" w:rsidRDefault="00D33F7C" w:rsidP="00E213CE">
            <w:pPr>
              <w:jc w:val="center"/>
              <w:rPr>
                <w:rFonts w:ascii="Garamond" w:eastAsia="Times New Roman" w:hAnsi="Garamond"/>
                <w:b/>
                <w:bCs/>
                <w:color w:val="000000"/>
                <w:sz w:val="20"/>
                <w:szCs w:val="20"/>
                <w:lang w:val="en-IN" w:eastAsia="en-IN" w:bidi="hi-IN"/>
              </w:rPr>
            </w:pPr>
            <w:r w:rsidRPr="001210D0">
              <w:rPr>
                <w:rFonts w:ascii="Garamond" w:eastAsia="Times New Roman" w:hAnsi="Garamond"/>
                <w:b/>
                <w:bCs/>
                <w:color w:val="000000"/>
                <w:sz w:val="20"/>
                <w:szCs w:val="20"/>
                <w:lang w:val="en-IN" w:eastAsia="en-IN" w:bidi="hi-IN"/>
              </w:rPr>
              <w:t>Closing Value before</w:t>
            </w:r>
          </w:p>
        </w:tc>
        <w:tc>
          <w:tcPr>
            <w:tcW w:w="642" w:type="pct"/>
            <w:vMerge w:val="restart"/>
            <w:tcBorders>
              <w:top w:val="single" w:sz="8" w:space="0" w:color="auto"/>
              <w:left w:val="single" w:sz="8" w:space="0" w:color="auto"/>
              <w:bottom w:val="single" w:sz="8" w:space="0" w:color="000000"/>
              <w:right w:val="single" w:sz="8" w:space="0" w:color="auto"/>
            </w:tcBorders>
            <w:shd w:val="clear" w:color="000000" w:fill="B4C6E7"/>
            <w:hideMark/>
          </w:tcPr>
          <w:p w14:paraId="0C30C87E" w14:textId="77777777" w:rsidR="00D33F7C" w:rsidRPr="001210D0" w:rsidRDefault="00D33F7C" w:rsidP="00E213CE">
            <w:pPr>
              <w:jc w:val="center"/>
              <w:rPr>
                <w:rFonts w:ascii="Garamond" w:eastAsia="Times New Roman" w:hAnsi="Garamond"/>
                <w:b/>
                <w:bCs/>
                <w:color w:val="000000"/>
                <w:sz w:val="20"/>
                <w:szCs w:val="20"/>
                <w:lang w:val="en-IN" w:eastAsia="en-IN" w:bidi="hi-IN"/>
              </w:rPr>
            </w:pPr>
            <w:r w:rsidRPr="001210D0">
              <w:rPr>
                <w:rFonts w:ascii="Garamond" w:eastAsia="Times New Roman" w:hAnsi="Garamond"/>
                <w:b/>
                <w:bCs/>
                <w:color w:val="000000"/>
                <w:sz w:val="20"/>
                <w:szCs w:val="20"/>
                <w:lang w:val="en-IN" w:eastAsia="en-IN" w:bidi="hi-IN"/>
              </w:rPr>
              <w:t>Monthly Volatility (Annualised)</w:t>
            </w:r>
          </w:p>
        </w:tc>
        <w:tc>
          <w:tcPr>
            <w:tcW w:w="327" w:type="pct"/>
            <w:vMerge w:val="restart"/>
            <w:tcBorders>
              <w:top w:val="single" w:sz="8" w:space="0" w:color="auto"/>
              <w:left w:val="single" w:sz="8" w:space="0" w:color="auto"/>
              <w:bottom w:val="single" w:sz="8" w:space="0" w:color="000000"/>
              <w:right w:val="single" w:sz="8" w:space="0" w:color="auto"/>
            </w:tcBorders>
            <w:shd w:val="clear" w:color="000000" w:fill="B4C6E7"/>
            <w:hideMark/>
          </w:tcPr>
          <w:p w14:paraId="46884F62" w14:textId="77777777" w:rsidR="00D33F7C" w:rsidRPr="001210D0" w:rsidRDefault="00D33F7C" w:rsidP="00E213CE">
            <w:pPr>
              <w:jc w:val="center"/>
              <w:rPr>
                <w:rFonts w:ascii="Garamond" w:eastAsia="Times New Roman" w:hAnsi="Garamond"/>
                <w:b/>
                <w:bCs/>
                <w:color w:val="000000"/>
                <w:sz w:val="20"/>
                <w:szCs w:val="20"/>
                <w:lang w:val="en-IN" w:eastAsia="en-IN" w:bidi="hi-IN"/>
              </w:rPr>
            </w:pPr>
            <w:r w:rsidRPr="001210D0">
              <w:rPr>
                <w:rFonts w:ascii="Garamond" w:eastAsia="Times New Roman" w:hAnsi="Garamond"/>
                <w:b/>
                <w:bCs/>
                <w:color w:val="000000"/>
                <w:sz w:val="20"/>
                <w:szCs w:val="20"/>
                <w:lang w:val="en-IN" w:eastAsia="en-IN" w:bidi="hi-IN"/>
              </w:rPr>
              <w:t>P/E Ratio</w:t>
            </w:r>
          </w:p>
        </w:tc>
      </w:tr>
      <w:tr w:rsidR="00D33F7C" w:rsidRPr="001210D0" w14:paraId="13E4369F" w14:textId="77777777" w:rsidTr="00E213CE">
        <w:trPr>
          <w:trHeight w:val="425"/>
        </w:trPr>
        <w:tc>
          <w:tcPr>
            <w:tcW w:w="438" w:type="pct"/>
            <w:vMerge/>
            <w:tcBorders>
              <w:top w:val="single" w:sz="8" w:space="0" w:color="auto"/>
              <w:left w:val="single" w:sz="8" w:space="0" w:color="auto"/>
              <w:bottom w:val="single" w:sz="8" w:space="0" w:color="000000"/>
              <w:right w:val="single" w:sz="8" w:space="0" w:color="auto"/>
            </w:tcBorders>
            <w:vAlign w:val="center"/>
            <w:hideMark/>
          </w:tcPr>
          <w:p w14:paraId="7D54FDA9" w14:textId="77777777" w:rsidR="00D33F7C" w:rsidRPr="001210D0" w:rsidRDefault="00D33F7C" w:rsidP="00E213CE">
            <w:pPr>
              <w:rPr>
                <w:rFonts w:ascii="Garamond" w:eastAsia="Times New Roman" w:hAnsi="Garamond"/>
                <w:b/>
                <w:bCs/>
                <w:color w:val="000000"/>
                <w:sz w:val="20"/>
                <w:szCs w:val="20"/>
                <w:lang w:val="en-IN" w:eastAsia="en-IN" w:bidi="hi-IN"/>
              </w:rPr>
            </w:pPr>
          </w:p>
        </w:tc>
        <w:tc>
          <w:tcPr>
            <w:tcW w:w="1129" w:type="pct"/>
            <w:vMerge/>
            <w:tcBorders>
              <w:top w:val="single" w:sz="8" w:space="0" w:color="auto"/>
              <w:left w:val="single" w:sz="8" w:space="0" w:color="auto"/>
              <w:bottom w:val="single" w:sz="8" w:space="0" w:color="000000"/>
              <w:right w:val="single" w:sz="8" w:space="0" w:color="auto"/>
            </w:tcBorders>
            <w:vAlign w:val="center"/>
            <w:hideMark/>
          </w:tcPr>
          <w:p w14:paraId="40943EFF" w14:textId="77777777" w:rsidR="00D33F7C" w:rsidRPr="001210D0" w:rsidRDefault="00D33F7C" w:rsidP="00E213CE">
            <w:pPr>
              <w:rPr>
                <w:rFonts w:ascii="Garamond" w:eastAsia="Times New Roman" w:hAnsi="Garamond"/>
                <w:b/>
                <w:bCs/>
                <w:color w:val="000000"/>
                <w:sz w:val="20"/>
                <w:szCs w:val="20"/>
                <w:lang w:val="en-IN" w:eastAsia="en-IN" w:bidi="hi-IN"/>
              </w:rPr>
            </w:pPr>
          </w:p>
        </w:tc>
        <w:tc>
          <w:tcPr>
            <w:tcW w:w="790" w:type="pct"/>
            <w:tcBorders>
              <w:top w:val="nil"/>
              <w:left w:val="nil"/>
              <w:bottom w:val="single" w:sz="8" w:space="0" w:color="auto"/>
              <w:right w:val="single" w:sz="8" w:space="0" w:color="auto"/>
            </w:tcBorders>
            <w:shd w:val="clear" w:color="000000" w:fill="B4C6E7"/>
            <w:noWrap/>
            <w:hideMark/>
          </w:tcPr>
          <w:p w14:paraId="12418732" w14:textId="77777777" w:rsidR="00D33F7C" w:rsidRPr="004813C2" w:rsidRDefault="00D33F7C" w:rsidP="00E213CE">
            <w:pPr>
              <w:jc w:val="center"/>
              <w:rPr>
                <w:rFonts w:ascii="Garamond" w:eastAsia="Times New Roman" w:hAnsi="Garamond"/>
                <w:b/>
                <w:bCs/>
                <w:color w:val="000000"/>
                <w:sz w:val="20"/>
                <w:szCs w:val="20"/>
                <w:lang w:val="en-IN" w:eastAsia="en-IN" w:bidi="hi-IN"/>
              </w:rPr>
            </w:pPr>
            <w:r>
              <w:rPr>
                <w:rFonts w:ascii="Garamond" w:eastAsia="Times New Roman" w:hAnsi="Garamond"/>
                <w:b/>
                <w:bCs/>
                <w:color w:val="000000"/>
                <w:sz w:val="20"/>
                <w:szCs w:val="20"/>
                <w:lang w:val="en-IN" w:eastAsia="en-IN" w:bidi="hi-IN"/>
              </w:rPr>
              <w:t>30-Jun-21</w:t>
            </w:r>
          </w:p>
        </w:tc>
        <w:tc>
          <w:tcPr>
            <w:tcW w:w="428" w:type="pct"/>
            <w:tcBorders>
              <w:top w:val="nil"/>
              <w:left w:val="nil"/>
              <w:bottom w:val="single" w:sz="8" w:space="0" w:color="auto"/>
              <w:right w:val="single" w:sz="8" w:space="0" w:color="auto"/>
            </w:tcBorders>
            <w:shd w:val="clear" w:color="000000" w:fill="B4C6E7"/>
            <w:noWrap/>
            <w:hideMark/>
          </w:tcPr>
          <w:p w14:paraId="76EC325F" w14:textId="77777777" w:rsidR="00D33F7C" w:rsidRPr="001210D0" w:rsidRDefault="00D33F7C" w:rsidP="00E213CE">
            <w:pPr>
              <w:jc w:val="center"/>
              <w:rPr>
                <w:rFonts w:ascii="Garamond" w:eastAsia="Times New Roman" w:hAnsi="Garamond"/>
                <w:b/>
                <w:bCs/>
                <w:color w:val="000000"/>
                <w:sz w:val="20"/>
                <w:szCs w:val="20"/>
                <w:lang w:val="en-IN" w:eastAsia="en-IN" w:bidi="hi-IN"/>
              </w:rPr>
            </w:pPr>
            <w:r w:rsidRPr="001210D0">
              <w:rPr>
                <w:rFonts w:ascii="Garamond" w:eastAsia="Times New Roman" w:hAnsi="Garamond"/>
                <w:b/>
                <w:bCs/>
                <w:color w:val="000000"/>
                <w:sz w:val="20"/>
                <w:szCs w:val="20"/>
                <w:lang w:val="en-IN" w:eastAsia="en-IN" w:bidi="hi-IN"/>
              </w:rPr>
              <w:t>1-Month</w:t>
            </w:r>
          </w:p>
        </w:tc>
        <w:tc>
          <w:tcPr>
            <w:tcW w:w="428" w:type="pct"/>
            <w:tcBorders>
              <w:top w:val="nil"/>
              <w:left w:val="nil"/>
              <w:bottom w:val="single" w:sz="8" w:space="0" w:color="auto"/>
              <w:right w:val="single" w:sz="8" w:space="0" w:color="auto"/>
            </w:tcBorders>
            <w:shd w:val="clear" w:color="000000" w:fill="B4C6E7"/>
            <w:noWrap/>
            <w:hideMark/>
          </w:tcPr>
          <w:p w14:paraId="5E5562F7" w14:textId="77777777" w:rsidR="00D33F7C" w:rsidRPr="001210D0" w:rsidRDefault="00D33F7C" w:rsidP="00E213CE">
            <w:pPr>
              <w:jc w:val="center"/>
              <w:rPr>
                <w:rFonts w:ascii="Garamond" w:eastAsia="Times New Roman" w:hAnsi="Garamond"/>
                <w:b/>
                <w:bCs/>
                <w:color w:val="000000"/>
                <w:sz w:val="20"/>
                <w:szCs w:val="20"/>
                <w:lang w:val="en-IN" w:eastAsia="en-IN" w:bidi="hi-IN"/>
              </w:rPr>
            </w:pPr>
            <w:r w:rsidRPr="001210D0">
              <w:rPr>
                <w:rFonts w:ascii="Garamond" w:eastAsia="Times New Roman" w:hAnsi="Garamond"/>
                <w:b/>
                <w:bCs/>
                <w:color w:val="000000"/>
                <w:sz w:val="20"/>
                <w:szCs w:val="20"/>
                <w:lang w:val="en-IN" w:eastAsia="en-IN" w:bidi="hi-IN"/>
              </w:rPr>
              <w:t>3-Month</w:t>
            </w:r>
          </w:p>
        </w:tc>
        <w:tc>
          <w:tcPr>
            <w:tcW w:w="428" w:type="pct"/>
            <w:tcBorders>
              <w:top w:val="nil"/>
              <w:left w:val="nil"/>
              <w:bottom w:val="single" w:sz="8" w:space="0" w:color="auto"/>
              <w:right w:val="single" w:sz="8" w:space="0" w:color="auto"/>
            </w:tcBorders>
            <w:shd w:val="clear" w:color="000000" w:fill="B4C6E7"/>
            <w:noWrap/>
            <w:hideMark/>
          </w:tcPr>
          <w:p w14:paraId="0CC292B2" w14:textId="77777777" w:rsidR="00D33F7C" w:rsidRPr="001210D0" w:rsidRDefault="00D33F7C" w:rsidP="00E213CE">
            <w:pPr>
              <w:jc w:val="center"/>
              <w:rPr>
                <w:rFonts w:ascii="Garamond" w:eastAsia="Times New Roman" w:hAnsi="Garamond"/>
                <w:b/>
                <w:bCs/>
                <w:color w:val="000000"/>
                <w:sz w:val="20"/>
                <w:szCs w:val="20"/>
                <w:lang w:val="en-IN" w:eastAsia="en-IN" w:bidi="hi-IN"/>
              </w:rPr>
            </w:pPr>
            <w:r w:rsidRPr="001210D0">
              <w:rPr>
                <w:rFonts w:ascii="Garamond" w:eastAsia="Times New Roman" w:hAnsi="Garamond"/>
                <w:b/>
                <w:bCs/>
                <w:color w:val="000000"/>
                <w:sz w:val="20"/>
                <w:szCs w:val="20"/>
                <w:lang w:val="en-IN" w:eastAsia="en-IN" w:bidi="hi-IN"/>
              </w:rPr>
              <w:t>6-Month</w:t>
            </w:r>
          </w:p>
        </w:tc>
        <w:tc>
          <w:tcPr>
            <w:tcW w:w="390" w:type="pct"/>
            <w:tcBorders>
              <w:top w:val="nil"/>
              <w:left w:val="nil"/>
              <w:bottom w:val="single" w:sz="8" w:space="0" w:color="auto"/>
              <w:right w:val="single" w:sz="8" w:space="0" w:color="auto"/>
            </w:tcBorders>
            <w:shd w:val="clear" w:color="000000" w:fill="B4C6E7"/>
            <w:noWrap/>
            <w:hideMark/>
          </w:tcPr>
          <w:p w14:paraId="1F827EE6" w14:textId="77777777" w:rsidR="00D33F7C" w:rsidRPr="001210D0" w:rsidRDefault="00D33F7C" w:rsidP="00E213CE">
            <w:pPr>
              <w:jc w:val="center"/>
              <w:rPr>
                <w:rFonts w:ascii="Garamond" w:eastAsia="Times New Roman" w:hAnsi="Garamond"/>
                <w:b/>
                <w:bCs/>
                <w:color w:val="000000"/>
                <w:sz w:val="20"/>
                <w:szCs w:val="20"/>
                <w:lang w:val="en-IN" w:eastAsia="en-IN" w:bidi="hi-IN"/>
              </w:rPr>
            </w:pPr>
            <w:r w:rsidRPr="001210D0">
              <w:rPr>
                <w:rFonts w:ascii="Garamond" w:eastAsia="Times New Roman" w:hAnsi="Garamond"/>
                <w:b/>
                <w:bCs/>
                <w:color w:val="000000"/>
                <w:sz w:val="20"/>
                <w:szCs w:val="20"/>
                <w:lang w:val="en-IN" w:eastAsia="en-IN" w:bidi="hi-IN"/>
              </w:rPr>
              <w:t>1-Year</w:t>
            </w:r>
          </w:p>
        </w:tc>
        <w:tc>
          <w:tcPr>
            <w:tcW w:w="642" w:type="pct"/>
            <w:vMerge/>
            <w:tcBorders>
              <w:top w:val="single" w:sz="8" w:space="0" w:color="auto"/>
              <w:left w:val="single" w:sz="8" w:space="0" w:color="auto"/>
              <w:bottom w:val="single" w:sz="8" w:space="0" w:color="000000"/>
              <w:right w:val="single" w:sz="8" w:space="0" w:color="auto"/>
            </w:tcBorders>
            <w:vAlign w:val="center"/>
            <w:hideMark/>
          </w:tcPr>
          <w:p w14:paraId="6C4AF4ED" w14:textId="77777777" w:rsidR="00D33F7C" w:rsidRPr="001210D0" w:rsidRDefault="00D33F7C" w:rsidP="00E213CE">
            <w:pPr>
              <w:rPr>
                <w:rFonts w:ascii="Garamond" w:eastAsia="Times New Roman" w:hAnsi="Garamond"/>
                <w:b/>
                <w:bCs/>
                <w:color w:val="000000"/>
                <w:sz w:val="20"/>
                <w:szCs w:val="20"/>
                <w:lang w:val="en-IN" w:eastAsia="en-IN" w:bidi="hi-IN"/>
              </w:rPr>
            </w:pPr>
          </w:p>
        </w:tc>
        <w:tc>
          <w:tcPr>
            <w:tcW w:w="327" w:type="pct"/>
            <w:vMerge/>
            <w:tcBorders>
              <w:top w:val="single" w:sz="8" w:space="0" w:color="auto"/>
              <w:left w:val="single" w:sz="8" w:space="0" w:color="auto"/>
              <w:bottom w:val="single" w:sz="8" w:space="0" w:color="000000"/>
              <w:right w:val="single" w:sz="8" w:space="0" w:color="auto"/>
            </w:tcBorders>
            <w:vAlign w:val="center"/>
            <w:hideMark/>
          </w:tcPr>
          <w:p w14:paraId="12A30ADB" w14:textId="77777777" w:rsidR="00D33F7C" w:rsidRPr="001210D0" w:rsidRDefault="00D33F7C" w:rsidP="00E213CE">
            <w:pPr>
              <w:rPr>
                <w:rFonts w:ascii="Garamond" w:eastAsia="Times New Roman" w:hAnsi="Garamond"/>
                <w:b/>
                <w:bCs/>
                <w:color w:val="000000"/>
                <w:sz w:val="20"/>
                <w:szCs w:val="20"/>
                <w:lang w:val="en-IN" w:eastAsia="en-IN" w:bidi="hi-IN"/>
              </w:rPr>
            </w:pPr>
          </w:p>
        </w:tc>
      </w:tr>
      <w:tr w:rsidR="00D33F7C" w:rsidRPr="001210D0" w14:paraId="4AB5E133" w14:textId="77777777" w:rsidTr="00E213CE">
        <w:trPr>
          <w:trHeight w:val="279"/>
        </w:trPr>
        <w:tc>
          <w:tcPr>
            <w:tcW w:w="5000" w:type="pct"/>
            <w:gridSpan w:val="9"/>
            <w:tcBorders>
              <w:top w:val="single" w:sz="8" w:space="0" w:color="auto"/>
              <w:left w:val="single" w:sz="8" w:space="0" w:color="auto"/>
              <w:bottom w:val="single" w:sz="8" w:space="0" w:color="auto"/>
              <w:right w:val="single" w:sz="8" w:space="0" w:color="000000"/>
            </w:tcBorders>
            <w:shd w:val="clear" w:color="000000" w:fill="D9E1F2"/>
            <w:noWrap/>
            <w:hideMark/>
          </w:tcPr>
          <w:p w14:paraId="35103B0B" w14:textId="77777777" w:rsidR="00D33F7C" w:rsidRPr="001210D0" w:rsidRDefault="00D33F7C" w:rsidP="00E213CE">
            <w:pPr>
              <w:jc w:val="center"/>
              <w:rPr>
                <w:rFonts w:ascii="Garamond" w:eastAsia="Times New Roman" w:hAnsi="Garamond"/>
                <w:b/>
                <w:bCs/>
                <w:color w:val="000000"/>
                <w:sz w:val="20"/>
                <w:szCs w:val="20"/>
                <w:lang w:val="en-IN" w:eastAsia="en-IN" w:bidi="hi-IN"/>
              </w:rPr>
            </w:pPr>
            <w:r w:rsidRPr="001210D0">
              <w:rPr>
                <w:rFonts w:ascii="Garamond" w:eastAsia="Times New Roman" w:hAnsi="Garamond"/>
                <w:b/>
                <w:bCs/>
                <w:color w:val="000000"/>
                <w:sz w:val="20"/>
                <w:szCs w:val="20"/>
                <w:lang w:val="en-IN" w:eastAsia="en-IN" w:bidi="hi-IN"/>
              </w:rPr>
              <w:t>BRICS Nations</w:t>
            </w:r>
          </w:p>
        </w:tc>
      </w:tr>
      <w:tr w:rsidR="00D33F7C" w:rsidRPr="001210D0" w14:paraId="6C8D35EA" w14:textId="77777777" w:rsidTr="00E213CE">
        <w:trPr>
          <w:trHeight w:val="266"/>
        </w:trPr>
        <w:tc>
          <w:tcPr>
            <w:tcW w:w="438" w:type="pct"/>
            <w:tcBorders>
              <w:top w:val="nil"/>
              <w:left w:val="single" w:sz="8" w:space="0" w:color="auto"/>
              <w:bottom w:val="nil"/>
              <w:right w:val="single" w:sz="8" w:space="0" w:color="auto"/>
            </w:tcBorders>
            <w:shd w:val="clear" w:color="000000" w:fill="D9E1F2"/>
            <w:noWrap/>
            <w:hideMark/>
          </w:tcPr>
          <w:p w14:paraId="3E8D30F4" w14:textId="77777777" w:rsidR="00D33F7C" w:rsidRPr="001210D0" w:rsidRDefault="00D33F7C" w:rsidP="00E213CE">
            <w:pPr>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Brazil</w:t>
            </w:r>
          </w:p>
        </w:tc>
        <w:tc>
          <w:tcPr>
            <w:tcW w:w="1129" w:type="pct"/>
            <w:tcBorders>
              <w:top w:val="nil"/>
              <w:left w:val="nil"/>
              <w:bottom w:val="nil"/>
              <w:right w:val="single" w:sz="8" w:space="0" w:color="auto"/>
            </w:tcBorders>
            <w:shd w:val="clear" w:color="000000" w:fill="D9E1F2"/>
            <w:noWrap/>
            <w:hideMark/>
          </w:tcPr>
          <w:p w14:paraId="499BC8CC" w14:textId="77777777" w:rsidR="00D33F7C" w:rsidRPr="001210D0" w:rsidRDefault="00D33F7C" w:rsidP="00E213CE">
            <w:pPr>
              <w:rPr>
                <w:rFonts w:ascii="Garamond" w:eastAsia="Times New Roman" w:hAnsi="Garamond"/>
                <w:color w:val="000000"/>
                <w:sz w:val="18"/>
                <w:szCs w:val="18"/>
                <w:lang w:val="en-IN" w:eastAsia="en-IN" w:bidi="hi-IN"/>
              </w:rPr>
            </w:pPr>
            <w:r w:rsidRPr="001210D0">
              <w:rPr>
                <w:rFonts w:ascii="Garamond" w:eastAsia="Times New Roman" w:hAnsi="Garamond"/>
                <w:color w:val="000000"/>
                <w:sz w:val="18"/>
                <w:szCs w:val="18"/>
                <w:lang w:val="en-IN" w:eastAsia="en-IN" w:bidi="hi-IN"/>
              </w:rPr>
              <w:t xml:space="preserve">BRAZIL IBOVESPA </w:t>
            </w:r>
          </w:p>
        </w:tc>
        <w:tc>
          <w:tcPr>
            <w:tcW w:w="790" w:type="pct"/>
            <w:tcBorders>
              <w:top w:val="nil"/>
              <w:left w:val="nil"/>
              <w:bottom w:val="nil"/>
              <w:right w:val="single" w:sz="8" w:space="0" w:color="auto"/>
            </w:tcBorders>
            <w:shd w:val="clear" w:color="auto" w:fill="auto"/>
            <w:noWrap/>
            <w:hideMark/>
          </w:tcPr>
          <w:p w14:paraId="787310E0"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126801.7</w:t>
            </w:r>
          </w:p>
        </w:tc>
        <w:tc>
          <w:tcPr>
            <w:tcW w:w="428" w:type="pct"/>
            <w:tcBorders>
              <w:top w:val="nil"/>
              <w:left w:val="nil"/>
              <w:bottom w:val="nil"/>
              <w:right w:val="single" w:sz="8" w:space="0" w:color="auto"/>
            </w:tcBorders>
            <w:shd w:val="clear" w:color="auto" w:fill="auto"/>
            <w:noWrap/>
            <w:hideMark/>
          </w:tcPr>
          <w:p w14:paraId="715B4840"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126215.7</w:t>
            </w:r>
          </w:p>
        </w:tc>
        <w:tc>
          <w:tcPr>
            <w:tcW w:w="428" w:type="pct"/>
            <w:tcBorders>
              <w:top w:val="nil"/>
              <w:left w:val="nil"/>
              <w:bottom w:val="nil"/>
              <w:right w:val="single" w:sz="8" w:space="0" w:color="auto"/>
            </w:tcBorders>
            <w:shd w:val="clear" w:color="auto" w:fill="auto"/>
            <w:noWrap/>
            <w:hideMark/>
          </w:tcPr>
          <w:p w14:paraId="55EFA839"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116633.7</w:t>
            </w:r>
          </w:p>
        </w:tc>
        <w:tc>
          <w:tcPr>
            <w:tcW w:w="428" w:type="pct"/>
            <w:tcBorders>
              <w:top w:val="nil"/>
              <w:left w:val="nil"/>
              <w:bottom w:val="nil"/>
              <w:right w:val="single" w:sz="8" w:space="0" w:color="auto"/>
            </w:tcBorders>
            <w:shd w:val="clear" w:color="auto" w:fill="auto"/>
            <w:noWrap/>
            <w:hideMark/>
          </w:tcPr>
          <w:p w14:paraId="66157EFA"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119017.2</w:t>
            </w:r>
          </w:p>
        </w:tc>
        <w:tc>
          <w:tcPr>
            <w:tcW w:w="390" w:type="pct"/>
            <w:tcBorders>
              <w:top w:val="nil"/>
              <w:left w:val="nil"/>
              <w:bottom w:val="nil"/>
              <w:right w:val="single" w:sz="8" w:space="0" w:color="auto"/>
            </w:tcBorders>
            <w:shd w:val="clear" w:color="auto" w:fill="auto"/>
            <w:noWrap/>
            <w:hideMark/>
          </w:tcPr>
          <w:p w14:paraId="61B528B7"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95055.8</w:t>
            </w:r>
          </w:p>
        </w:tc>
        <w:tc>
          <w:tcPr>
            <w:tcW w:w="642" w:type="pct"/>
            <w:tcBorders>
              <w:top w:val="nil"/>
              <w:left w:val="nil"/>
              <w:bottom w:val="nil"/>
              <w:right w:val="single" w:sz="8" w:space="0" w:color="auto"/>
            </w:tcBorders>
            <w:shd w:val="clear" w:color="auto" w:fill="auto"/>
            <w:noWrap/>
            <w:hideMark/>
          </w:tcPr>
          <w:p w14:paraId="7DE7E3E5"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11.4</w:t>
            </w:r>
          </w:p>
        </w:tc>
        <w:tc>
          <w:tcPr>
            <w:tcW w:w="327" w:type="pct"/>
            <w:tcBorders>
              <w:top w:val="nil"/>
              <w:left w:val="nil"/>
              <w:bottom w:val="nil"/>
              <w:right w:val="single" w:sz="8" w:space="0" w:color="auto"/>
            </w:tcBorders>
            <w:shd w:val="clear" w:color="auto" w:fill="auto"/>
            <w:noWrap/>
            <w:hideMark/>
          </w:tcPr>
          <w:p w14:paraId="441ECC37"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13.5</w:t>
            </w:r>
          </w:p>
        </w:tc>
      </w:tr>
      <w:tr w:rsidR="00D33F7C" w:rsidRPr="001210D0" w14:paraId="73E25B2C" w14:textId="77777777" w:rsidTr="00E213CE">
        <w:trPr>
          <w:trHeight w:val="266"/>
        </w:trPr>
        <w:tc>
          <w:tcPr>
            <w:tcW w:w="438" w:type="pct"/>
            <w:tcBorders>
              <w:top w:val="nil"/>
              <w:left w:val="single" w:sz="8" w:space="0" w:color="auto"/>
              <w:bottom w:val="nil"/>
              <w:right w:val="single" w:sz="8" w:space="0" w:color="auto"/>
            </w:tcBorders>
            <w:shd w:val="clear" w:color="000000" w:fill="D9E1F2"/>
            <w:noWrap/>
            <w:hideMark/>
          </w:tcPr>
          <w:p w14:paraId="005A4D58" w14:textId="77777777" w:rsidR="00D33F7C" w:rsidRPr="001210D0" w:rsidRDefault="00D33F7C" w:rsidP="00E213CE">
            <w:pPr>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Russia</w:t>
            </w:r>
          </w:p>
        </w:tc>
        <w:tc>
          <w:tcPr>
            <w:tcW w:w="1129" w:type="pct"/>
            <w:tcBorders>
              <w:top w:val="nil"/>
              <w:left w:val="nil"/>
              <w:bottom w:val="nil"/>
              <w:right w:val="single" w:sz="8" w:space="0" w:color="auto"/>
            </w:tcBorders>
            <w:shd w:val="clear" w:color="000000" w:fill="D9E1F2"/>
            <w:noWrap/>
            <w:hideMark/>
          </w:tcPr>
          <w:p w14:paraId="2355DBD9" w14:textId="77777777" w:rsidR="00D33F7C" w:rsidRPr="001210D0" w:rsidRDefault="00D33F7C" w:rsidP="00E213CE">
            <w:pPr>
              <w:rPr>
                <w:rFonts w:ascii="Garamond" w:eastAsia="Times New Roman" w:hAnsi="Garamond"/>
                <w:color w:val="000000"/>
                <w:sz w:val="18"/>
                <w:szCs w:val="18"/>
                <w:lang w:val="en-IN" w:eastAsia="en-IN" w:bidi="hi-IN"/>
              </w:rPr>
            </w:pPr>
            <w:r w:rsidRPr="001210D0">
              <w:rPr>
                <w:rFonts w:ascii="Garamond" w:eastAsia="Times New Roman" w:hAnsi="Garamond"/>
                <w:color w:val="000000"/>
                <w:sz w:val="18"/>
                <w:szCs w:val="18"/>
                <w:lang w:val="en-IN" w:eastAsia="en-IN" w:bidi="hi-IN"/>
              </w:rPr>
              <w:t xml:space="preserve">RUSSIAN TRADED </w:t>
            </w:r>
          </w:p>
        </w:tc>
        <w:tc>
          <w:tcPr>
            <w:tcW w:w="790" w:type="pct"/>
            <w:tcBorders>
              <w:top w:val="nil"/>
              <w:left w:val="nil"/>
              <w:bottom w:val="nil"/>
              <w:right w:val="single" w:sz="8" w:space="0" w:color="auto"/>
            </w:tcBorders>
            <w:shd w:val="clear" w:color="auto" w:fill="auto"/>
            <w:noWrap/>
            <w:hideMark/>
          </w:tcPr>
          <w:p w14:paraId="2FDFD420"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2161.7</w:t>
            </w:r>
          </w:p>
        </w:tc>
        <w:tc>
          <w:tcPr>
            <w:tcW w:w="428" w:type="pct"/>
            <w:tcBorders>
              <w:top w:val="nil"/>
              <w:left w:val="nil"/>
              <w:bottom w:val="nil"/>
              <w:right w:val="single" w:sz="8" w:space="0" w:color="auto"/>
            </w:tcBorders>
            <w:shd w:val="clear" w:color="auto" w:fill="auto"/>
            <w:noWrap/>
            <w:hideMark/>
          </w:tcPr>
          <w:p w14:paraId="38D98BA5"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2070.5</w:t>
            </w:r>
          </w:p>
        </w:tc>
        <w:tc>
          <w:tcPr>
            <w:tcW w:w="428" w:type="pct"/>
            <w:tcBorders>
              <w:top w:val="nil"/>
              <w:left w:val="nil"/>
              <w:bottom w:val="nil"/>
              <w:right w:val="single" w:sz="8" w:space="0" w:color="auto"/>
            </w:tcBorders>
            <w:shd w:val="clear" w:color="auto" w:fill="auto"/>
            <w:noWrap/>
            <w:hideMark/>
          </w:tcPr>
          <w:p w14:paraId="0CCEFF61"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1936.4</w:t>
            </w:r>
          </w:p>
        </w:tc>
        <w:tc>
          <w:tcPr>
            <w:tcW w:w="428" w:type="pct"/>
            <w:tcBorders>
              <w:top w:val="nil"/>
              <w:left w:val="nil"/>
              <w:bottom w:val="nil"/>
              <w:right w:val="single" w:sz="8" w:space="0" w:color="auto"/>
            </w:tcBorders>
            <w:shd w:val="clear" w:color="auto" w:fill="auto"/>
            <w:noWrap/>
            <w:hideMark/>
          </w:tcPr>
          <w:p w14:paraId="7C27D5D2"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1802.3</w:t>
            </w:r>
          </w:p>
        </w:tc>
        <w:tc>
          <w:tcPr>
            <w:tcW w:w="390" w:type="pct"/>
            <w:tcBorders>
              <w:top w:val="nil"/>
              <w:left w:val="nil"/>
              <w:bottom w:val="nil"/>
              <w:right w:val="single" w:sz="8" w:space="0" w:color="auto"/>
            </w:tcBorders>
            <w:shd w:val="clear" w:color="auto" w:fill="auto"/>
            <w:noWrap/>
            <w:hideMark/>
          </w:tcPr>
          <w:p w14:paraId="1F42D23A"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1628.3</w:t>
            </w:r>
          </w:p>
        </w:tc>
        <w:tc>
          <w:tcPr>
            <w:tcW w:w="642" w:type="pct"/>
            <w:tcBorders>
              <w:top w:val="nil"/>
              <w:left w:val="nil"/>
              <w:bottom w:val="nil"/>
              <w:right w:val="single" w:sz="8" w:space="0" w:color="auto"/>
            </w:tcBorders>
            <w:shd w:val="clear" w:color="auto" w:fill="auto"/>
            <w:noWrap/>
            <w:hideMark/>
          </w:tcPr>
          <w:p w14:paraId="6187B523"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14.5</w:t>
            </w:r>
          </w:p>
        </w:tc>
        <w:tc>
          <w:tcPr>
            <w:tcW w:w="327" w:type="pct"/>
            <w:tcBorders>
              <w:top w:val="nil"/>
              <w:left w:val="nil"/>
              <w:bottom w:val="nil"/>
              <w:right w:val="single" w:sz="8" w:space="0" w:color="auto"/>
            </w:tcBorders>
            <w:shd w:val="clear" w:color="auto" w:fill="auto"/>
            <w:noWrap/>
            <w:hideMark/>
          </w:tcPr>
          <w:p w14:paraId="2E3CF727"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12.4</w:t>
            </w:r>
          </w:p>
        </w:tc>
      </w:tr>
      <w:tr w:rsidR="00D33F7C" w:rsidRPr="001210D0" w14:paraId="076E2733" w14:textId="77777777" w:rsidTr="00E213CE">
        <w:trPr>
          <w:trHeight w:val="266"/>
        </w:trPr>
        <w:tc>
          <w:tcPr>
            <w:tcW w:w="438" w:type="pct"/>
            <w:tcBorders>
              <w:top w:val="nil"/>
              <w:left w:val="single" w:sz="8" w:space="0" w:color="auto"/>
              <w:bottom w:val="nil"/>
              <w:right w:val="single" w:sz="8" w:space="0" w:color="auto"/>
            </w:tcBorders>
            <w:shd w:val="clear" w:color="000000" w:fill="D9E1F2"/>
            <w:noWrap/>
            <w:hideMark/>
          </w:tcPr>
          <w:p w14:paraId="4DD0962D" w14:textId="77777777" w:rsidR="00D33F7C" w:rsidRPr="001210D0" w:rsidRDefault="00D33F7C" w:rsidP="00E213CE">
            <w:pPr>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India</w:t>
            </w:r>
          </w:p>
        </w:tc>
        <w:tc>
          <w:tcPr>
            <w:tcW w:w="1129" w:type="pct"/>
            <w:tcBorders>
              <w:top w:val="nil"/>
              <w:left w:val="nil"/>
              <w:bottom w:val="nil"/>
              <w:right w:val="single" w:sz="8" w:space="0" w:color="auto"/>
            </w:tcBorders>
            <w:shd w:val="clear" w:color="000000" w:fill="D9E1F2"/>
            <w:noWrap/>
            <w:hideMark/>
          </w:tcPr>
          <w:p w14:paraId="561E2B77" w14:textId="77777777" w:rsidR="00D33F7C" w:rsidRPr="001210D0" w:rsidRDefault="00D33F7C" w:rsidP="00E213CE">
            <w:pPr>
              <w:rPr>
                <w:rFonts w:ascii="Garamond" w:eastAsia="Times New Roman" w:hAnsi="Garamond"/>
                <w:color w:val="000000"/>
                <w:sz w:val="18"/>
                <w:szCs w:val="18"/>
                <w:lang w:val="en-IN" w:eastAsia="en-IN" w:bidi="hi-IN"/>
              </w:rPr>
            </w:pPr>
            <w:r w:rsidRPr="001210D0">
              <w:rPr>
                <w:rFonts w:ascii="Garamond" w:eastAsia="Times New Roman" w:hAnsi="Garamond"/>
                <w:color w:val="000000"/>
                <w:sz w:val="18"/>
                <w:szCs w:val="18"/>
                <w:lang w:val="en-IN" w:eastAsia="en-IN" w:bidi="hi-IN"/>
              </w:rPr>
              <w:t>Nifty 50</w:t>
            </w:r>
          </w:p>
        </w:tc>
        <w:tc>
          <w:tcPr>
            <w:tcW w:w="790" w:type="pct"/>
            <w:tcBorders>
              <w:top w:val="nil"/>
              <w:left w:val="nil"/>
              <w:bottom w:val="nil"/>
              <w:right w:val="single" w:sz="8" w:space="0" w:color="auto"/>
            </w:tcBorders>
            <w:shd w:val="clear" w:color="auto" w:fill="auto"/>
            <w:noWrap/>
            <w:hideMark/>
          </w:tcPr>
          <w:p w14:paraId="5E765C61"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15721.5</w:t>
            </w:r>
          </w:p>
        </w:tc>
        <w:tc>
          <w:tcPr>
            <w:tcW w:w="428" w:type="pct"/>
            <w:tcBorders>
              <w:top w:val="nil"/>
              <w:left w:val="nil"/>
              <w:bottom w:val="nil"/>
              <w:right w:val="single" w:sz="8" w:space="0" w:color="auto"/>
            </w:tcBorders>
            <w:shd w:val="clear" w:color="auto" w:fill="auto"/>
            <w:noWrap/>
            <w:hideMark/>
          </w:tcPr>
          <w:p w14:paraId="7DC2E182"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15582.8</w:t>
            </w:r>
          </w:p>
        </w:tc>
        <w:tc>
          <w:tcPr>
            <w:tcW w:w="428" w:type="pct"/>
            <w:tcBorders>
              <w:top w:val="nil"/>
              <w:left w:val="nil"/>
              <w:bottom w:val="nil"/>
              <w:right w:val="single" w:sz="8" w:space="0" w:color="auto"/>
            </w:tcBorders>
            <w:shd w:val="clear" w:color="auto" w:fill="auto"/>
            <w:noWrap/>
            <w:hideMark/>
          </w:tcPr>
          <w:p w14:paraId="38522420"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14690.7</w:t>
            </w:r>
          </w:p>
        </w:tc>
        <w:tc>
          <w:tcPr>
            <w:tcW w:w="428" w:type="pct"/>
            <w:tcBorders>
              <w:top w:val="nil"/>
              <w:left w:val="nil"/>
              <w:bottom w:val="nil"/>
              <w:right w:val="single" w:sz="8" w:space="0" w:color="auto"/>
            </w:tcBorders>
            <w:shd w:val="clear" w:color="auto" w:fill="auto"/>
            <w:noWrap/>
            <w:hideMark/>
          </w:tcPr>
          <w:p w14:paraId="4240A8AE"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13981.8</w:t>
            </w:r>
          </w:p>
        </w:tc>
        <w:tc>
          <w:tcPr>
            <w:tcW w:w="390" w:type="pct"/>
            <w:tcBorders>
              <w:top w:val="nil"/>
              <w:left w:val="nil"/>
              <w:bottom w:val="nil"/>
              <w:right w:val="single" w:sz="8" w:space="0" w:color="auto"/>
            </w:tcBorders>
            <w:shd w:val="clear" w:color="auto" w:fill="auto"/>
            <w:noWrap/>
            <w:hideMark/>
          </w:tcPr>
          <w:p w14:paraId="4593F8DF"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10302.1</w:t>
            </w:r>
          </w:p>
        </w:tc>
        <w:tc>
          <w:tcPr>
            <w:tcW w:w="642" w:type="pct"/>
            <w:tcBorders>
              <w:top w:val="nil"/>
              <w:left w:val="nil"/>
              <w:bottom w:val="nil"/>
              <w:right w:val="single" w:sz="8" w:space="0" w:color="auto"/>
            </w:tcBorders>
            <w:shd w:val="clear" w:color="auto" w:fill="auto"/>
            <w:noWrap/>
            <w:hideMark/>
          </w:tcPr>
          <w:p w14:paraId="58BF5ECC"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6.8</w:t>
            </w:r>
          </w:p>
        </w:tc>
        <w:tc>
          <w:tcPr>
            <w:tcW w:w="327" w:type="pct"/>
            <w:tcBorders>
              <w:top w:val="nil"/>
              <w:left w:val="nil"/>
              <w:bottom w:val="nil"/>
              <w:right w:val="single" w:sz="8" w:space="0" w:color="auto"/>
            </w:tcBorders>
            <w:shd w:val="clear" w:color="auto" w:fill="auto"/>
            <w:noWrap/>
            <w:hideMark/>
          </w:tcPr>
          <w:p w14:paraId="40A4A581"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28.3</w:t>
            </w:r>
          </w:p>
        </w:tc>
      </w:tr>
      <w:tr w:rsidR="00D33F7C" w:rsidRPr="001210D0" w14:paraId="3FD7CC26" w14:textId="77777777" w:rsidTr="00E213CE">
        <w:trPr>
          <w:trHeight w:val="266"/>
        </w:trPr>
        <w:tc>
          <w:tcPr>
            <w:tcW w:w="438" w:type="pct"/>
            <w:tcBorders>
              <w:top w:val="nil"/>
              <w:left w:val="single" w:sz="8" w:space="0" w:color="auto"/>
              <w:bottom w:val="nil"/>
              <w:right w:val="single" w:sz="8" w:space="0" w:color="auto"/>
            </w:tcBorders>
            <w:shd w:val="clear" w:color="000000" w:fill="D9E1F2"/>
            <w:noWrap/>
            <w:hideMark/>
          </w:tcPr>
          <w:p w14:paraId="27E28122" w14:textId="77777777" w:rsidR="00D33F7C" w:rsidRPr="001210D0" w:rsidRDefault="00D33F7C" w:rsidP="00E213CE">
            <w:pPr>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India</w:t>
            </w:r>
          </w:p>
        </w:tc>
        <w:tc>
          <w:tcPr>
            <w:tcW w:w="1129" w:type="pct"/>
            <w:tcBorders>
              <w:top w:val="nil"/>
              <w:left w:val="nil"/>
              <w:bottom w:val="nil"/>
              <w:right w:val="single" w:sz="8" w:space="0" w:color="auto"/>
            </w:tcBorders>
            <w:shd w:val="clear" w:color="000000" w:fill="D9E1F2"/>
            <w:noWrap/>
            <w:hideMark/>
          </w:tcPr>
          <w:p w14:paraId="3780B245" w14:textId="77777777" w:rsidR="00D33F7C" w:rsidRPr="001210D0" w:rsidRDefault="00D33F7C" w:rsidP="00E213CE">
            <w:pPr>
              <w:rPr>
                <w:rFonts w:ascii="Garamond" w:eastAsia="Times New Roman" w:hAnsi="Garamond"/>
                <w:color w:val="000000"/>
                <w:sz w:val="18"/>
                <w:szCs w:val="18"/>
                <w:lang w:val="en-IN" w:eastAsia="en-IN" w:bidi="hi-IN"/>
              </w:rPr>
            </w:pPr>
            <w:r w:rsidRPr="001210D0">
              <w:rPr>
                <w:rFonts w:ascii="Garamond" w:eastAsia="Times New Roman" w:hAnsi="Garamond"/>
                <w:color w:val="000000"/>
                <w:sz w:val="18"/>
                <w:szCs w:val="18"/>
                <w:lang w:val="en-IN" w:eastAsia="en-IN" w:bidi="hi-IN"/>
              </w:rPr>
              <w:t xml:space="preserve">S&amp;P BSE SENSEX </w:t>
            </w:r>
          </w:p>
        </w:tc>
        <w:tc>
          <w:tcPr>
            <w:tcW w:w="790" w:type="pct"/>
            <w:tcBorders>
              <w:top w:val="nil"/>
              <w:left w:val="nil"/>
              <w:bottom w:val="nil"/>
              <w:right w:val="single" w:sz="8" w:space="0" w:color="auto"/>
            </w:tcBorders>
            <w:shd w:val="clear" w:color="auto" w:fill="auto"/>
            <w:noWrap/>
            <w:hideMark/>
          </w:tcPr>
          <w:p w14:paraId="5F43CE64"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52482.7</w:t>
            </w:r>
          </w:p>
        </w:tc>
        <w:tc>
          <w:tcPr>
            <w:tcW w:w="428" w:type="pct"/>
            <w:tcBorders>
              <w:top w:val="nil"/>
              <w:left w:val="nil"/>
              <w:bottom w:val="nil"/>
              <w:right w:val="single" w:sz="8" w:space="0" w:color="auto"/>
            </w:tcBorders>
            <w:shd w:val="clear" w:color="auto" w:fill="auto"/>
            <w:noWrap/>
            <w:hideMark/>
          </w:tcPr>
          <w:p w14:paraId="4751BD8D"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51937.4</w:t>
            </w:r>
          </w:p>
        </w:tc>
        <w:tc>
          <w:tcPr>
            <w:tcW w:w="428" w:type="pct"/>
            <w:tcBorders>
              <w:top w:val="nil"/>
              <w:left w:val="nil"/>
              <w:bottom w:val="nil"/>
              <w:right w:val="single" w:sz="8" w:space="0" w:color="auto"/>
            </w:tcBorders>
            <w:shd w:val="clear" w:color="auto" w:fill="auto"/>
            <w:noWrap/>
            <w:hideMark/>
          </w:tcPr>
          <w:p w14:paraId="25E1A14B"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49509.2</w:t>
            </w:r>
          </w:p>
        </w:tc>
        <w:tc>
          <w:tcPr>
            <w:tcW w:w="428" w:type="pct"/>
            <w:tcBorders>
              <w:top w:val="nil"/>
              <w:left w:val="nil"/>
              <w:bottom w:val="nil"/>
              <w:right w:val="single" w:sz="8" w:space="0" w:color="auto"/>
            </w:tcBorders>
            <w:shd w:val="clear" w:color="auto" w:fill="auto"/>
            <w:noWrap/>
            <w:hideMark/>
          </w:tcPr>
          <w:p w14:paraId="5BF57045"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47751.3</w:t>
            </w:r>
          </w:p>
        </w:tc>
        <w:tc>
          <w:tcPr>
            <w:tcW w:w="390" w:type="pct"/>
            <w:tcBorders>
              <w:top w:val="nil"/>
              <w:left w:val="nil"/>
              <w:bottom w:val="nil"/>
              <w:right w:val="single" w:sz="8" w:space="0" w:color="auto"/>
            </w:tcBorders>
            <w:shd w:val="clear" w:color="auto" w:fill="auto"/>
            <w:noWrap/>
            <w:hideMark/>
          </w:tcPr>
          <w:p w14:paraId="71E0DF7B"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34915.8</w:t>
            </w:r>
          </w:p>
        </w:tc>
        <w:tc>
          <w:tcPr>
            <w:tcW w:w="642" w:type="pct"/>
            <w:tcBorders>
              <w:top w:val="nil"/>
              <w:left w:val="nil"/>
              <w:bottom w:val="nil"/>
              <w:right w:val="single" w:sz="8" w:space="0" w:color="auto"/>
            </w:tcBorders>
            <w:shd w:val="clear" w:color="auto" w:fill="auto"/>
            <w:noWrap/>
            <w:hideMark/>
          </w:tcPr>
          <w:p w14:paraId="5AEA5869"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6.6</w:t>
            </w:r>
          </w:p>
        </w:tc>
        <w:tc>
          <w:tcPr>
            <w:tcW w:w="327" w:type="pct"/>
            <w:tcBorders>
              <w:top w:val="nil"/>
              <w:left w:val="nil"/>
              <w:bottom w:val="nil"/>
              <w:right w:val="single" w:sz="8" w:space="0" w:color="auto"/>
            </w:tcBorders>
            <w:shd w:val="clear" w:color="auto" w:fill="auto"/>
            <w:noWrap/>
            <w:hideMark/>
          </w:tcPr>
          <w:p w14:paraId="6B4E8F2E"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32.0</w:t>
            </w:r>
          </w:p>
        </w:tc>
      </w:tr>
      <w:tr w:rsidR="00D33F7C" w:rsidRPr="001210D0" w14:paraId="2CA20E52" w14:textId="77777777" w:rsidTr="00E213CE">
        <w:trPr>
          <w:trHeight w:val="266"/>
        </w:trPr>
        <w:tc>
          <w:tcPr>
            <w:tcW w:w="438" w:type="pct"/>
            <w:tcBorders>
              <w:top w:val="nil"/>
              <w:left w:val="single" w:sz="8" w:space="0" w:color="auto"/>
              <w:bottom w:val="nil"/>
              <w:right w:val="single" w:sz="8" w:space="0" w:color="auto"/>
            </w:tcBorders>
            <w:shd w:val="clear" w:color="000000" w:fill="D9E1F2"/>
            <w:noWrap/>
            <w:hideMark/>
          </w:tcPr>
          <w:p w14:paraId="54BFB222" w14:textId="77777777" w:rsidR="00D33F7C" w:rsidRPr="001210D0" w:rsidRDefault="00D33F7C" w:rsidP="00E213CE">
            <w:pPr>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China</w:t>
            </w:r>
          </w:p>
        </w:tc>
        <w:tc>
          <w:tcPr>
            <w:tcW w:w="1129" w:type="pct"/>
            <w:tcBorders>
              <w:top w:val="nil"/>
              <w:left w:val="nil"/>
              <w:bottom w:val="nil"/>
              <w:right w:val="single" w:sz="8" w:space="0" w:color="auto"/>
            </w:tcBorders>
            <w:shd w:val="clear" w:color="000000" w:fill="D9E1F2"/>
            <w:noWrap/>
            <w:hideMark/>
          </w:tcPr>
          <w:p w14:paraId="5921A482" w14:textId="77777777" w:rsidR="00D33F7C" w:rsidRPr="001210D0" w:rsidRDefault="00D33F7C" w:rsidP="00E213CE">
            <w:pPr>
              <w:rPr>
                <w:rFonts w:ascii="Garamond" w:eastAsia="Times New Roman" w:hAnsi="Garamond"/>
                <w:color w:val="000000"/>
                <w:sz w:val="18"/>
                <w:szCs w:val="18"/>
                <w:lang w:val="en-IN" w:eastAsia="en-IN" w:bidi="hi-IN"/>
              </w:rPr>
            </w:pPr>
            <w:r w:rsidRPr="001210D0">
              <w:rPr>
                <w:rFonts w:ascii="Garamond" w:eastAsia="Times New Roman" w:hAnsi="Garamond"/>
                <w:color w:val="000000"/>
                <w:sz w:val="18"/>
                <w:szCs w:val="18"/>
                <w:lang w:val="en-IN" w:eastAsia="en-IN" w:bidi="hi-IN"/>
              </w:rPr>
              <w:t>SHANGHAI SE COMPOSITE</w:t>
            </w:r>
          </w:p>
        </w:tc>
        <w:tc>
          <w:tcPr>
            <w:tcW w:w="790" w:type="pct"/>
            <w:tcBorders>
              <w:top w:val="nil"/>
              <w:left w:val="nil"/>
              <w:bottom w:val="nil"/>
              <w:right w:val="single" w:sz="8" w:space="0" w:color="auto"/>
            </w:tcBorders>
            <w:shd w:val="clear" w:color="auto" w:fill="auto"/>
            <w:noWrap/>
            <w:hideMark/>
          </w:tcPr>
          <w:p w14:paraId="7AB0E71D"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3591.2</w:t>
            </w:r>
          </w:p>
        </w:tc>
        <w:tc>
          <w:tcPr>
            <w:tcW w:w="428" w:type="pct"/>
            <w:tcBorders>
              <w:top w:val="nil"/>
              <w:left w:val="nil"/>
              <w:bottom w:val="nil"/>
              <w:right w:val="single" w:sz="8" w:space="0" w:color="auto"/>
            </w:tcBorders>
            <w:shd w:val="clear" w:color="auto" w:fill="auto"/>
            <w:noWrap/>
            <w:hideMark/>
          </w:tcPr>
          <w:p w14:paraId="6F9F4635"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3615.5</w:t>
            </w:r>
          </w:p>
        </w:tc>
        <w:tc>
          <w:tcPr>
            <w:tcW w:w="428" w:type="pct"/>
            <w:tcBorders>
              <w:top w:val="nil"/>
              <w:left w:val="nil"/>
              <w:bottom w:val="nil"/>
              <w:right w:val="single" w:sz="8" w:space="0" w:color="auto"/>
            </w:tcBorders>
            <w:shd w:val="clear" w:color="auto" w:fill="auto"/>
            <w:noWrap/>
            <w:hideMark/>
          </w:tcPr>
          <w:p w14:paraId="4C555710"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3441.9</w:t>
            </w:r>
          </w:p>
        </w:tc>
        <w:tc>
          <w:tcPr>
            <w:tcW w:w="428" w:type="pct"/>
            <w:tcBorders>
              <w:top w:val="nil"/>
              <w:left w:val="nil"/>
              <w:bottom w:val="nil"/>
              <w:right w:val="single" w:sz="8" w:space="0" w:color="auto"/>
            </w:tcBorders>
            <w:shd w:val="clear" w:color="auto" w:fill="auto"/>
            <w:noWrap/>
            <w:hideMark/>
          </w:tcPr>
          <w:p w14:paraId="00F9EBBD"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3473.1</w:t>
            </w:r>
          </w:p>
        </w:tc>
        <w:tc>
          <w:tcPr>
            <w:tcW w:w="390" w:type="pct"/>
            <w:tcBorders>
              <w:top w:val="nil"/>
              <w:left w:val="nil"/>
              <w:bottom w:val="nil"/>
              <w:right w:val="single" w:sz="8" w:space="0" w:color="auto"/>
            </w:tcBorders>
            <w:shd w:val="clear" w:color="auto" w:fill="auto"/>
            <w:noWrap/>
            <w:hideMark/>
          </w:tcPr>
          <w:p w14:paraId="0ED56CDB"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2984.7</w:t>
            </w:r>
          </w:p>
        </w:tc>
        <w:tc>
          <w:tcPr>
            <w:tcW w:w="642" w:type="pct"/>
            <w:tcBorders>
              <w:top w:val="nil"/>
              <w:left w:val="nil"/>
              <w:bottom w:val="nil"/>
              <w:right w:val="single" w:sz="8" w:space="0" w:color="auto"/>
            </w:tcBorders>
            <w:shd w:val="clear" w:color="auto" w:fill="auto"/>
            <w:noWrap/>
            <w:hideMark/>
          </w:tcPr>
          <w:p w14:paraId="2CBDD412"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9.0</w:t>
            </w:r>
          </w:p>
        </w:tc>
        <w:tc>
          <w:tcPr>
            <w:tcW w:w="327" w:type="pct"/>
            <w:tcBorders>
              <w:top w:val="nil"/>
              <w:left w:val="nil"/>
              <w:bottom w:val="nil"/>
              <w:right w:val="single" w:sz="8" w:space="0" w:color="auto"/>
            </w:tcBorders>
            <w:shd w:val="clear" w:color="auto" w:fill="auto"/>
            <w:noWrap/>
            <w:hideMark/>
          </w:tcPr>
          <w:p w14:paraId="097D7299"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12.8</w:t>
            </w:r>
          </w:p>
        </w:tc>
      </w:tr>
      <w:tr w:rsidR="00D33F7C" w:rsidRPr="001210D0" w14:paraId="1CA8CA20" w14:textId="77777777" w:rsidTr="00E213CE">
        <w:trPr>
          <w:trHeight w:val="279"/>
        </w:trPr>
        <w:tc>
          <w:tcPr>
            <w:tcW w:w="438" w:type="pct"/>
            <w:tcBorders>
              <w:top w:val="nil"/>
              <w:left w:val="single" w:sz="8" w:space="0" w:color="auto"/>
              <w:bottom w:val="single" w:sz="8" w:space="0" w:color="auto"/>
              <w:right w:val="single" w:sz="8" w:space="0" w:color="auto"/>
            </w:tcBorders>
            <w:shd w:val="clear" w:color="000000" w:fill="D9E1F2"/>
            <w:noWrap/>
            <w:hideMark/>
          </w:tcPr>
          <w:p w14:paraId="600C1A7E" w14:textId="77777777" w:rsidR="00D33F7C" w:rsidRPr="001210D0" w:rsidRDefault="00D33F7C" w:rsidP="00E213CE">
            <w:pPr>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South Africa</w:t>
            </w:r>
          </w:p>
        </w:tc>
        <w:tc>
          <w:tcPr>
            <w:tcW w:w="1129" w:type="pct"/>
            <w:tcBorders>
              <w:top w:val="nil"/>
              <w:left w:val="nil"/>
              <w:bottom w:val="single" w:sz="8" w:space="0" w:color="auto"/>
              <w:right w:val="single" w:sz="8" w:space="0" w:color="auto"/>
            </w:tcBorders>
            <w:shd w:val="clear" w:color="000000" w:fill="D9E1F2"/>
            <w:noWrap/>
            <w:hideMark/>
          </w:tcPr>
          <w:p w14:paraId="4B614CE5" w14:textId="77777777" w:rsidR="00D33F7C" w:rsidRPr="001210D0" w:rsidRDefault="00D33F7C" w:rsidP="00E213CE">
            <w:pPr>
              <w:rPr>
                <w:rFonts w:ascii="Garamond" w:eastAsia="Times New Roman" w:hAnsi="Garamond"/>
                <w:color w:val="000000"/>
                <w:sz w:val="18"/>
                <w:szCs w:val="18"/>
                <w:lang w:val="en-IN" w:eastAsia="en-IN" w:bidi="hi-IN"/>
              </w:rPr>
            </w:pPr>
            <w:r w:rsidRPr="001210D0">
              <w:rPr>
                <w:rFonts w:ascii="Garamond" w:eastAsia="Times New Roman" w:hAnsi="Garamond"/>
                <w:color w:val="000000"/>
                <w:sz w:val="18"/>
                <w:szCs w:val="18"/>
                <w:lang w:val="en-IN" w:eastAsia="en-IN" w:bidi="hi-IN"/>
              </w:rPr>
              <w:t>FTSE/JSE AFRICA ALL SHR</w:t>
            </w:r>
          </w:p>
        </w:tc>
        <w:tc>
          <w:tcPr>
            <w:tcW w:w="790" w:type="pct"/>
            <w:tcBorders>
              <w:top w:val="nil"/>
              <w:left w:val="nil"/>
              <w:bottom w:val="single" w:sz="8" w:space="0" w:color="auto"/>
              <w:right w:val="single" w:sz="8" w:space="0" w:color="auto"/>
            </w:tcBorders>
            <w:shd w:val="clear" w:color="auto" w:fill="auto"/>
            <w:noWrap/>
            <w:hideMark/>
          </w:tcPr>
          <w:p w14:paraId="6ECFCBC0"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66248.7</w:t>
            </w:r>
          </w:p>
        </w:tc>
        <w:tc>
          <w:tcPr>
            <w:tcW w:w="428" w:type="pct"/>
            <w:tcBorders>
              <w:top w:val="nil"/>
              <w:left w:val="nil"/>
              <w:bottom w:val="single" w:sz="8" w:space="0" w:color="auto"/>
              <w:right w:val="single" w:sz="8" w:space="0" w:color="auto"/>
            </w:tcBorders>
            <w:shd w:val="clear" w:color="auto" w:fill="auto"/>
            <w:noWrap/>
            <w:hideMark/>
          </w:tcPr>
          <w:p w14:paraId="34C8676E"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67964.0</w:t>
            </w:r>
          </w:p>
        </w:tc>
        <w:tc>
          <w:tcPr>
            <w:tcW w:w="428" w:type="pct"/>
            <w:tcBorders>
              <w:top w:val="nil"/>
              <w:left w:val="nil"/>
              <w:bottom w:val="single" w:sz="8" w:space="0" w:color="auto"/>
              <w:right w:val="single" w:sz="8" w:space="0" w:color="auto"/>
            </w:tcBorders>
            <w:shd w:val="clear" w:color="auto" w:fill="auto"/>
            <w:noWrap/>
            <w:hideMark/>
          </w:tcPr>
          <w:p w14:paraId="0734C958"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66485.3</w:t>
            </w:r>
          </w:p>
        </w:tc>
        <w:tc>
          <w:tcPr>
            <w:tcW w:w="428" w:type="pct"/>
            <w:tcBorders>
              <w:top w:val="nil"/>
              <w:left w:val="nil"/>
              <w:bottom w:val="single" w:sz="8" w:space="0" w:color="auto"/>
              <w:right w:val="single" w:sz="8" w:space="0" w:color="auto"/>
            </w:tcBorders>
            <w:shd w:val="clear" w:color="auto" w:fill="auto"/>
            <w:noWrap/>
            <w:hideMark/>
          </w:tcPr>
          <w:p w14:paraId="0F1CFB68"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59408.7</w:t>
            </w:r>
          </w:p>
        </w:tc>
        <w:tc>
          <w:tcPr>
            <w:tcW w:w="390" w:type="pct"/>
            <w:tcBorders>
              <w:top w:val="nil"/>
              <w:left w:val="nil"/>
              <w:bottom w:val="single" w:sz="8" w:space="0" w:color="auto"/>
              <w:right w:val="single" w:sz="8" w:space="0" w:color="auto"/>
            </w:tcBorders>
            <w:shd w:val="clear" w:color="auto" w:fill="auto"/>
            <w:noWrap/>
            <w:hideMark/>
          </w:tcPr>
          <w:p w14:paraId="65E56E5D"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54362.4</w:t>
            </w:r>
          </w:p>
        </w:tc>
        <w:tc>
          <w:tcPr>
            <w:tcW w:w="642" w:type="pct"/>
            <w:tcBorders>
              <w:top w:val="nil"/>
              <w:left w:val="nil"/>
              <w:bottom w:val="nil"/>
              <w:right w:val="single" w:sz="8" w:space="0" w:color="auto"/>
            </w:tcBorders>
            <w:shd w:val="clear" w:color="auto" w:fill="auto"/>
            <w:noWrap/>
            <w:hideMark/>
          </w:tcPr>
          <w:p w14:paraId="2DC7DEB9"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11.7</w:t>
            </w:r>
          </w:p>
        </w:tc>
        <w:tc>
          <w:tcPr>
            <w:tcW w:w="327" w:type="pct"/>
            <w:tcBorders>
              <w:top w:val="nil"/>
              <w:left w:val="nil"/>
              <w:bottom w:val="nil"/>
              <w:right w:val="single" w:sz="8" w:space="0" w:color="auto"/>
            </w:tcBorders>
            <w:shd w:val="clear" w:color="auto" w:fill="auto"/>
            <w:noWrap/>
            <w:hideMark/>
          </w:tcPr>
          <w:p w14:paraId="67B81920"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14.9</w:t>
            </w:r>
          </w:p>
        </w:tc>
      </w:tr>
      <w:tr w:rsidR="00D33F7C" w:rsidRPr="001210D0" w14:paraId="613E4274" w14:textId="77777777" w:rsidTr="00E213CE">
        <w:trPr>
          <w:trHeight w:val="279"/>
        </w:trPr>
        <w:tc>
          <w:tcPr>
            <w:tcW w:w="5000" w:type="pct"/>
            <w:gridSpan w:val="9"/>
            <w:tcBorders>
              <w:top w:val="single" w:sz="8" w:space="0" w:color="auto"/>
              <w:left w:val="single" w:sz="8" w:space="0" w:color="auto"/>
              <w:bottom w:val="single" w:sz="8" w:space="0" w:color="auto"/>
              <w:right w:val="single" w:sz="8" w:space="0" w:color="000000"/>
            </w:tcBorders>
            <w:shd w:val="clear" w:color="000000" w:fill="D9E1F2"/>
            <w:hideMark/>
          </w:tcPr>
          <w:p w14:paraId="125EFDE0" w14:textId="77777777" w:rsidR="00D33F7C" w:rsidRPr="001210D0" w:rsidRDefault="00D33F7C" w:rsidP="00E213CE">
            <w:pPr>
              <w:jc w:val="center"/>
              <w:rPr>
                <w:rFonts w:ascii="Garamond" w:eastAsia="Times New Roman" w:hAnsi="Garamond"/>
                <w:b/>
                <w:bCs/>
                <w:color w:val="000000"/>
                <w:sz w:val="20"/>
                <w:szCs w:val="20"/>
                <w:lang w:val="en-IN" w:eastAsia="en-IN" w:bidi="hi-IN"/>
              </w:rPr>
            </w:pPr>
            <w:r w:rsidRPr="001210D0">
              <w:rPr>
                <w:rFonts w:ascii="Garamond" w:eastAsia="Times New Roman" w:hAnsi="Garamond"/>
                <w:b/>
                <w:bCs/>
                <w:color w:val="000000"/>
                <w:sz w:val="20"/>
                <w:szCs w:val="20"/>
                <w:lang w:val="en-IN" w:eastAsia="en-IN" w:bidi="hi-IN"/>
              </w:rPr>
              <w:t>Developed Markets</w:t>
            </w:r>
          </w:p>
        </w:tc>
      </w:tr>
      <w:tr w:rsidR="00D33F7C" w:rsidRPr="001210D0" w14:paraId="5E8BEDB3" w14:textId="77777777" w:rsidTr="00E213CE">
        <w:trPr>
          <w:trHeight w:val="266"/>
        </w:trPr>
        <w:tc>
          <w:tcPr>
            <w:tcW w:w="438" w:type="pct"/>
            <w:tcBorders>
              <w:top w:val="nil"/>
              <w:left w:val="single" w:sz="8" w:space="0" w:color="auto"/>
              <w:bottom w:val="nil"/>
              <w:right w:val="single" w:sz="8" w:space="0" w:color="auto"/>
            </w:tcBorders>
            <w:shd w:val="clear" w:color="000000" w:fill="D9E1F2"/>
            <w:noWrap/>
            <w:hideMark/>
          </w:tcPr>
          <w:p w14:paraId="2C88524E" w14:textId="77777777" w:rsidR="00D33F7C" w:rsidRPr="001210D0" w:rsidRDefault="00D33F7C" w:rsidP="00E213CE">
            <w:pPr>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USA</w:t>
            </w:r>
          </w:p>
        </w:tc>
        <w:tc>
          <w:tcPr>
            <w:tcW w:w="1129" w:type="pct"/>
            <w:tcBorders>
              <w:top w:val="nil"/>
              <w:left w:val="nil"/>
              <w:bottom w:val="nil"/>
              <w:right w:val="single" w:sz="8" w:space="0" w:color="auto"/>
            </w:tcBorders>
            <w:shd w:val="clear" w:color="000000" w:fill="D9E1F2"/>
            <w:noWrap/>
            <w:hideMark/>
          </w:tcPr>
          <w:p w14:paraId="04CA3EF9" w14:textId="77777777" w:rsidR="00D33F7C" w:rsidRPr="001210D0" w:rsidRDefault="00D33F7C" w:rsidP="00E213CE">
            <w:pPr>
              <w:rPr>
                <w:rFonts w:ascii="Garamond" w:eastAsia="Times New Roman" w:hAnsi="Garamond"/>
                <w:color w:val="000000"/>
                <w:sz w:val="18"/>
                <w:szCs w:val="18"/>
                <w:lang w:val="en-IN" w:eastAsia="en-IN" w:bidi="hi-IN"/>
              </w:rPr>
            </w:pPr>
            <w:r w:rsidRPr="001210D0">
              <w:rPr>
                <w:rFonts w:ascii="Garamond" w:eastAsia="Times New Roman" w:hAnsi="Garamond"/>
                <w:color w:val="000000"/>
                <w:sz w:val="18"/>
                <w:szCs w:val="18"/>
                <w:lang w:val="en-IN" w:eastAsia="en-IN" w:bidi="hi-IN"/>
              </w:rPr>
              <w:t xml:space="preserve">NASDAQ COMPOSITE </w:t>
            </w:r>
          </w:p>
        </w:tc>
        <w:tc>
          <w:tcPr>
            <w:tcW w:w="790" w:type="pct"/>
            <w:tcBorders>
              <w:top w:val="nil"/>
              <w:left w:val="nil"/>
              <w:bottom w:val="nil"/>
              <w:right w:val="single" w:sz="8" w:space="0" w:color="auto"/>
            </w:tcBorders>
            <w:shd w:val="clear" w:color="auto" w:fill="auto"/>
            <w:noWrap/>
            <w:hideMark/>
          </w:tcPr>
          <w:p w14:paraId="5DDE989E"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14504.0</w:t>
            </w:r>
          </w:p>
        </w:tc>
        <w:tc>
          <w:tcPr>
            <w:tcW w:w="428" w:type="pct"/>
            <w:tcBorders>
              <w:top w:val="nil"/>
              <w:left w:val="nil"/>
              <w:bottom w:val="nil"/>
              <w:right w:val="single" w:sz="8" w:space="0" w:color="auto"/>
            </w:tcBorders>
            <w:shd w:val="clear" w:color="auto" w:fill="auto"/>
            <w:noWrap/>
            <w:hideMark/>
          </w:tcPr>
          <w:p w14:paraId="3F91CE26"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13748.7</w:t>
            </w:r>
          </w:p>
        </w:tc>
        <w:tc>
          <w:tcPr>
            <w:tcW w:w="428" w:type="pct"/>
            <w:tcBorders>
              <w:top w:val="nil"/>
              <w:left w:val="nil"/>
              <w:bottom w:val="nil"/>
              <w:right w:val="single" w:sz="8" w:space="0" w:color="auto"/>
            </w:tcBorders>
            <w:shd w:val="clear" w:color="auto" w:fill="auto"/>
            <w:noWrap/>
            <w:hideMark/>
          </w:tcPr>
          <w:p w14:paraId="579E5F18"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13246.9</w:t>
            </w:r>
          </w:p>
        </w:tc>
        <w:tc>
          <w:tcPr>
            <w:tcW w:w="428" w:type="pct"/>
            <w:tcBorders>
              <w:top w:val="nil"/>
              <w:left w:val="nil"/>
              <w:bottom w:val="nil"/>
              <w:right w:val="single" w:sz="8" w:space="0" w:color="auto"/>
            </w:tcBorders>
            <w:shd w:val="clear" w:color="auto" w:fill="auto"/>
            <w:noWrap/>
            <w:hideMark/>
          </w:tcPr>
          <w:p w14:paraId="71B30D02"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12888.3</w:t>
            </w:r>
          </w:p>
        </w:tc>
        <w:tc>
          <w:tcPr>
            <w:tcW w:w="390" w:type="pct"/>
            <w:tcBorders>
              <w:top w:val="nil"/>
              <w:left w:val="nil"/>
              <w:bottom w:val="nil"/>
              <w:right w:val="single" w:sz="8" w:space="0" w:color="auto"/>
            </w:tcBorders>
            <w:shd w:val="clear" w:color="auto" w:fill="auto"/>
            <w:noWrap/>
            <w:hideMark/>
          </w:tcPr>
          <w:p w14:paraId="7D06F823"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10058.8</w:t>
            </w:r>
          </w:p>
        </w:tc>
        <w:tc>
          <w:tcPr>
            <w:tcW w:w="642" w:type="pct"/>
            <w:tcBorders>
              <w:top w:val="nil"/>
              <w:left w:val="nil"/>
              <w:bottom w:val="nil"/>
              <w:right w:val="single" w:sz="8" w:space="0" w:color="auto"/>
            </w:tcBorders>
            <w:shd w:val="clear" w:color="auto" w:fill="auto"/>
            <w:noWrap/>
            <w:hideMark/>
          </w:tcPr>
          <w:p w14:paraId="0F6A6502"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9.8</w:t>
            </w:r>
          </w:p>
        </w:tc>
        <w:tc>
          <w:tcPr>
            <w:tcW w:w="327" w:type="pct"/>
            <w:tcBorders>
              <w:top w:val="nil"/>
              <w:left w:val="nil"/>
              <w:bottom w:val="nil"/>
              <w:right w:val="single" w:sz="8" w:space="0" w:color="auto"/>
            </w:tcBorders>
            <w:shd w:val="clear" w:color="auto" w:fill="auto"/>
            <w:noWrap/>
            <w:hideMark/>
          </w:tcPr>
          <w:p w14:paraId="7FB1AECD"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NA</w:t>
            </w:r>
          </w:p>
        </w:tc>
      </w:tr>
      <w:tr w:rsidR="00D33F7C" w:rsidRPr="001210D0" w14:paraId="236A7AAB" w14:textId="77777777" w:rsidTr="00E213CE">
        <w:trPr>
          <w:trHeight w:val="266"/>
        </w:trPr>
        <w:tc>
          <w:tcPr>
            <w:tcW w:w="438" w:type="pct"/>
            <w:tcBorders>
              <w:top w:val="nil"/>
              <w:left w:val="single" w:sz="8" w:space="0" w:color="auto"/>
              <w:bottom w:val="nil"/>
              <w:right w:val="single" w:sz="8" w:space="0" w:color="auto"/>
            </w:tcBorders>
            <w:shd w:val="clear" w:color="000000" w:fill="D9E1F2"/>
            <w:noWrap/>
            <w:hideMark/>
          </w:tcPr>
          <w:p w14:paraId="392AD65A" w14:textId="77777777" w:rsidR="00D33F7C" w:rsidRPr="001210D0" w:rsidRDefault="00D33F7C" w:rsidP="00E213CE">
            <w:pPr>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USA</w:t>
            </w:r>
          </w:p>
        </w:tc>
        <w:tc>
          <w:tcPr>
            <w:tcW w:w="1129" w:type="pct"/>
            <w:tcBorders>
              <w:top w:val="nil"/>
              <w:left w:val="nil"/>
              <w:bottom w:val="nil"/>
              <w:right w:val="single" w:sz="8" w:space="0" w:color="auto"/>
            </w:tcBorders>
            <w:shd w:val="clear" w:color="000000" w:fill="D9E1F2"/>
            <w:noWrap/>
            <w:hideMark/>
          </w:tcPr>
          <w:p w14:paraId="3B6E0ADF" w14:textId="77777777" w:rsidR="00D33F7C" w:rsidRPr="001210D0" w:rsidRDefault="00D33F7C" w:rsidP="00E213CE">
            <w:pPr>
              <w:rPr>
                <w:rFonts w:ascii="Garamond" w:eastAsia="Times New Roman" w:hAnsi="Garamond"/>
                <w:color w:val="000000"/>
                <w:sz w:val="18"/>
                <w:szCs w:val="18"/>
                <w:lang w:val="en-IN" w:eastAsia="en-IN" w:bidi="hi-IN"/>
              </w:rPr>
            </w:pPr>
            <w:r w:rsidRPr="001210D0">
              <w:rPr>
                <w:rFonts w:ascii="Garamond" w:eastAsia="Times New Roman" w:hAnsi="Garamond"/>
                <w:color w:val="000000"/>
                <w:sz w:val="18"/>
                <w:szCs w:val="18"/>
                <w:lang w:val="en-IN" w:eastAsia="en-IN" w:bidi="hi-IN"/>
              </w:rPr>
              <w:t>DOW JONES INDUS. AVG</w:t>
            </w:r>
          </w:p>
        </w:tc>
        <w:tc>
          <w:tcPr>
            <w:tcW w:w="790" w:type="pct"/>
            <w:tcBorders>
              <w:top w:val="nil"/>
              <w:left w:val="nil"/>
              <w:bottom w:val="nil"/>
              <w:right w:val="single" w:sz="8" w:space="0" w:color="auto"/>
            </w:tcBorders>
            <w:shd w:val="clear" w:color="auto" w:fill="auto"/>
            <w:noWrap/>
            <w:hideMark/>
          </w:tcPr>
          <w:p w14:paraId="07A3CE21"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34502.5</w:t>
            </w:r>
          </w:p>
        </w:tc>
        <w:tc>
          <w:tcPr>
            <w:tcW w:w="428" w:type="pct"/>
            <w:tcBorders>
              <w:top w:val="nil"/>
              <w:left w:val="nil"/>
              <w:bottom w:val="nil"/>
              <w:right w:val="single" w:sz="8" w:space="0" w:color="auto"/>
            </w:tcBorders>
            <w:shd w:val="clear" w:color="auto" w:fill="auto"/>
            <w:noWrap/>
            <w:hideMark/>
          </w:tcPr>
          <w:p w14:paraId="3227758C"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34529.5</w:t>
            </w:r>
          </w:p>
        </w:tc>
        <w:tc>
          <w:tcPr>
            <w:tcW w:w="428" w:type="pct"/>
            <w:tcBorders>
              <w:top w:val="nil"/>
              <w:left w:val="nil"/>
              <w:bottom w:val="nil"/>
              <w:right w:val="single" w:sz="8" w:space="0" w:color="auto"/>
            </w:tcBorders>
            <w:shd w:val="clear" w:color="auto" w:fill="auto"/>
            <w:noWrap/>
            <w:hideMark/>
          </w:tcPr>
          <w:p w14:paraId="2ED5401F"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32981.6</w:t>
            </w:r>
          </w:p>
        </w:tc>
        <w:tc>
          <w:tcPr>
            <w:tcW w:w="428" w:type="pct"/>
            <w:tcBorders>
              <w:top w:val="nil"/>
              <w:left w:val="nil"/>
              <w:bottom w:val="nil"/>
              <w:right w:val="single" w:sz="8" w:space="0" w:color="auto"/>
            </w:tcBorders>
            <w:shd w:val="clear" w:color="auto" w:fill="auto"/>
            <w:noWrap/>
            <w:hideMark/>
          </w:tcPr>
          <w:p w14:paraId="4609AAF2"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30606.5</w:t>
            </w:r>
          </w:p>
        </w:tc>
        <w:tc>
          <w:tcPr>
            <w:tcW w:w="390" w:type="pct"/>
            <w:tcBorders>
              <w:top w:val="nil"/>
              <w:left w:val="nil"/>
              <w:bottom w:val="nil"/>
              <w:right w:val="single" w:sz="8" w:space="0" w:color="auto"/>
            </w:tcBorders>
            <w:shd w:val="clear" w:color="auto" w:fill="auto"/>
            <w:noWrap/>
            <w:hideMark/>
          </w:tcPr>
          <w:p w14:paraId="7BEFDCE7"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25812.9</w:t>
            </w:r>
          </w:p>
        </w:tc>
        <w:tc>
          <w:tcPr>
            <w:tcW w:w="642" w:type="pct"/>
            <w:tcBorders>
              <w:top w:val="nil"/>
              <w:left w:val="nil"/>
              <w:bottom w:val="nil"/>
              <w:right w:val="single" w:sz="8" w:space="0" w:color="auto"/>
            </w:tcBorders>
            <w:shd w:val="clear" w:color="auto" w:fill="auto"/>
            <w:noWrap/>
            <w:hideMark/>
          </w:tcPr>
          <w:p w14:paraId="3BFA85B3"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10.4</w:t>
            </w:r>
          </w:p>
        </w:tc>
        <w:tc>
          <w:tcPr>
            <w:tcW w:w="327" w:type="pct"/>
            <w:tcBorders>
              <w:top w:val="nil"/>
              <w:left w:val="nil"/>
              <w:bottom w:val="nil"/>
              <w:right w:val="single" w:sz="8" w:space="0" w:color="auto"/>
            </w:tcBorders>
            <w:shd w:val="clear" w:color="auto" w:fill="auto"/>
            <w:noWrap/>
            <w:hideMark/>
          </w:tcPr>
          <w:p w14:paraId="14E80091"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22.6</w:t>
            </w:r>
          </w:p>
        </w:tc>
      </w:tr>
      <w:tr w:rsidR="00D33F7C" w:rsidRPr="001210D0" w14:paraId="554D13BF" w14:textId="77777777" w:rsidTr="00E213CE">
        <w:trPr>
          <w:trHeight w:val="266"/>
        </w:trPr>
        <w:tc>
          <w:tcPr>
            <w:tcW w:w="438" w:type="pct"/>
            <w:tcBorders>
              <w:top w:val="nil"/>
              <w:left w:val="single" w:sz="8" w:space="0" w:color="auto"/>
              <w:bottom w:val="nil"/>
              <w:right w:val="single" w:sz="8" w:space="0" w:color="auto"/>
            </w:tcBorders>
            <w:shd w:val="clear" w:color="000000" w:fill="D9E1F2"/>
            <w:noWrap/>
            <w:hideMark/>
          </w:tcPr>
          <w:p w14:paraId="46F0AA3E" w14:textId="77777777" w:rsidR="00D33F7C" w:rsidRPr="001210D0" w:rsidRDefault="00D33F7C" w:rsidP="00E213CE">
            <w:pPr>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France</w:t>
            </w:r>
          </w:p>
        </w:tc>
        <w:tc>
          <w:tcPr>
            <w:tcW w:w="1129" w:type="pct"/>
            <w:tcBorders>
              <w:top w:val="nil"/>
              <w:left w:val="nil"/>
              <w:bottom w:val="nil"/>
              <w:right w:val="single" w:sz="8" w:space="0" w:color="auto"/>
            </w:tcBorders>
            <w:shd w:val="clear" w:color="000000" w:fill="D9E1F2"/>
            <w:noWrap/>
            <w:hideMark/>
          </w:tcPr>
          <w:p w14:paraId="19BFE83D" w14:textId="77777777" w:rsidR="00D33F7C" w:rsidRPr="001210D0" w:rsidRDefault="00D33F7C" w:rsidP="00E213CE">
            <w:pPr>
              <w:rPr>
                <w:rFonts w:ascii="Garamond" w:eastAsia="Times New Roman" w:hAnsi="Garamond"/>
                <w:color w:val="000000"/>
                <w:sz w:val="18"/>
                <w:szCs w:val="18"/>
                <w:lang w:val="en-IN" w:eastAsia="en-IN" w:bidi="hi-IN"/>
              </w:rPr>
            </w:pPr>
            <w:r w:rsidRPr="001210D0">
              <w:rPr>
                <w:rFonts w:ascii="Garamond" w:eastAsia="Times New Roman" w:hAnsi="Garamond"/>
                <w:color w:val="000000"/>
                <w:sz w:val="18"/>
                <w:szCs w:val="18"/>
                <w:lang w:val="en-IN" w:eastAsia="en-IN" w:bidi="hi-IN"/>
              </w:rPr>
              <w:t xml:space="preserve">CAC 40 </w:t>
            </w:r>
          </w:p>
        </w:tc>
        <w:tc>
          <w:tcPr>
            <w:tcW w:w="790" w:type="pct"/>
            <w:tcBorders>
              <w:top w:val="nil"/>
              <w:left w:val="nil"/>
              <w:bottom w:val="nil"/>
              <w:right w:val="single" w:sz="8" w:space="0" w:color="auto"/>
            </w:tcBorders>
            <w:shd w:val="clear" w:color="auto" w:fill="auto"/>
            <w:noWrap/>
            <w:hideMark/>
          </w:tcPr>
          <w:p w14:paraId="723D2C39"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6507.8</w:t>
            </w:r>
          </w:p>
        </w:tc>
        <w:tc>
          <w:tcPr>
            <w:tcW w:w="428" w:type="pct"/>
            <w:tcBorders>
              <w:top w:val="nil"/>
              <w:left w:val="nil"/>
              <w:bottom w:val="nil"/>
              <w:right w:val="single" w:sz="8" w:space="0" w:color="auto"/>
            </w:tcBorders>
            <w:shd w:val="clear" w:color="auto" w:fill="auto"/>
            <w:noWrap/>
            <w:hideMark/>
          </w:tcPr>
          <w:p w14:paraId="2FD66C29"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6447.2</w:t>
            </w:r>
          </w:p>
        </w:tc>
        <w:tc>
          <w:tcPr>
            <w:tcW w:w="428" w:type="pct"/>
            <w:tcBorders>
              <w:top w:val="nil"/>
              <w:left w:val="nil"/>
              <w:bottom w:val="nil"/>
              <w:right w:val="single" w:sz="8" w:space="0" w:color="auto"/>
            </w:tcBorders>
            <w:shd w:val="clear" w:color="auto" w:fill="auto"/>
            <w:noWrap/>
            <w:hideMark/>
          </w:tcPr>
          <w:p w14:paraId="500038A3"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6067.2</w:t>
            </w:r>
          </w:p>
        </w:tc>
        <w:tc>
          <w:tcPr>
            <w:tcW w:w="428" w:type="pct"/>
            <w:tcBorders>
              <w:top w:val="nil"/>
              <w:left w:val="nil"/>
              <w:bottom w:val="nil"/>
              <w:right w:val="single" w:sz="8" w:space="0" w:color="auto"/>
            </w:tcBorders>
            <w:shd w:val="clear" w:color="auto" w:fill="auto"/>
            <w:noWrap/>
            <w:hideMark/>
          </w:tcPr>
          <w:p w14:paraId="33899397"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5551.4</w:t>
            </w:r>
          </w:p>
        </w:tc>
        <w:tc>
          <w:tcPr>
            <w:tcW w:w="390" w:type="pct"/>
            <w:tcBorders>
              <w:top w:val="nil"/>
              <w:left w:val="nil"/>
              <w:bottom w:val="nil"/>
              <w:right w:val="single" w:sz="8" w:space="0" w:color="auto"/>
            </w:tcBorders>
            <w:shd w:val="clear" w:color="auto" w:fill="auto"/>
            <w:noWrap/>
            <w:hideMark/>
          </w:tcPr>
          <w:p w14:paraId="3FEFE18C"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4936.0</w:t>
            </w:r>
          </w:p>
        </w:tc>
        <w:tc>
          <w:tcPr>
            <w:tcW w:w="642" w:type="pct"/>
            <w:tcBorders>
              <w:top w:val="nil"/>
              <w:left w:val="nil"/>
              <w:bottom w:val="nil"/>
              <w:right w:val="single" w:sz="8" w:space="0" w:color="auto"/>
            </w:tcBorders>
            <w:shd w:val="clear" w:color="auto" w:fill="auto"/>
            <w:noWrap/>
            <w:hideMark/>
          </w:tcPr>
          <w:p w14:paraId="70AC7B98"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9.9</w:t>
            </w:r>
          </w:p>
        </w:tc>
        <w:tc>
          <w:tcPr>
            <w:tcW w:w="327" w:type="pct"/>
            <w:tcBorders>
              <w:top w:val="nil"/>
              <w:left w:val="nil"/>
              <w:bottom w:val="nil"/>
              <w:right w:val="single" w:sz="8" w:space="0" w:color="auto"/>
            </w:tcBorders>
            <w:shd w:val="clear" w:color="auto" w:fill="auto"/>
            <w:noWrap/>
            <w:hideMark/>
          </w:tcPr>
          <w:p w14:paraId="240E57DA"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27.5</w:t>
            </w:r>
          </w:p>
        </w:tc>
      </w:tr>
      <w:tr w:rsidR="00D33F7C" w:rsidRPr="001210D0" w14:paraId="352AEEAB" w14:textId="77777777" w:rsidTr="00E213CE">
        <w:trPr>
          <w:trHeight w:val="266"/>
        </w:trPr>
        <w:tc>
          <w:tcPr>
            <w:tcW w:w="438" w:type="pct"/>
            <w:tcBorders>
              <w:top w:val="nil"/>
              <w:left w:val="single" w:sz="8" w:space="0" w:color="auto"/>
              <w:bottom w:val="nil"/>
              <w:right w:val="single" w:sz="8" w:space="0" w:color="auto"/>
            </w:tcBorders>
            <w:shd w:val="clear" w:color="000000" w:fill="D9E1F2"/>
            <w:noWrap/>
            <w:hideMark/>
          </w:tcPr>
          <w:p w14:paraId="08FB6028" w14:textId="77777777" w:rsidR="00D33F7C" w:rsidRPr="001210D0" w:rsidRDefault="00D33F7C" w:rsidP="00E213CE">
            <w:pPr>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Germany</w:t>
            </w:r>
          </w:p>
        </w:tc>
        <w:tc>
          <w:tcPr>
            <w:tcW w:w="1129" w:type="pct"/>
            <w:tcBorders>
              <w:top w:val="nil"/>
              <w:left w:val="nil"/>
              <w:bottom w:val="nil"/>
              <w:right w:val="single" w:sz="8" w:space="0" w:color="auto"/>
            </w:tcBorders>
            <w:shd w:val="clear" w:color="000000" w:fill="D9E1F2"/>
            <w:noWrap/>
            <w:hideMark/>
          </w:tcPr>
          <w:p w14:paraId="2EA482DF" w14:textId="77777777" w:rsidR="00D33F7C" w:rsidRPr="001210D0" w:rsidRDefault="00D33F7C" w:rsidP="00E213CE">
            <w:pPr>
              <w:rPr>
                <w:rFonts w:ascii="Garamond" w:eastAsia="Times New Roman" w:hAnsi="Garamond"/>
                <w:color w:val="000000"/>
                <w:sz w:val="18"/>
                <w:szCs w:val="18"/>
                <w:lang w:val="en-IN" w:eastAsia="en-IN" w:bidi="hi-IN"/>
              </w:rPr>
            </w:pPr>
            <w:r w:rsidRPr="001210D0">
              <w:rPr>
                <w:rFonts w:ascii="Garamond" w:eastAsia="Times New Roman" w:hAnsi="Garamond"/>
                <w:color w:val="000000"/>
                <w:sz w:val="18"/>
                <w:szCs w:val="18"/>
                <w:lang w:val="en-IN" w:eastAsia="en-IN" w:bidi="hi-IN"/>
              </w:rPr>
              <w:t xml:space="preserve">DAX </w:t>
            </w:r>
          </w:p>
        </w:tc>
        <w:tc>
          <w:tcPr>
            <w:tcW w:w="790" w:type="pct"/>
            <w:tcBorders>
              <w:top w:val="nil"/>
              <w:left w:val="nil"/>
              <w:bottom w:val="nil"/>
              <w:right w:val="single" w:sz="8" w:space="0" w:color="auto"/>
            </w:tcBorders>
            <w:shd w:val="clear" w:color="auto" w:fill="auto"/>
            <w:noWrap/>
            <w:hideMark/>
          </w:tcPr>
          <w:p w14:paraId="783D8285"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15531.0</w:t>
            </w:r>
          </w:p>
        </w:tc>
        <w:tc>
          <w:tcPr>
            <w:tcW w:w="428" w:type="pct"/>
            <w:tcBorders>
              <w:top w:val="nil"/>
              <w:left w:val="nil"/>
              <w:bottom w:val="nil"/>
              <w:right w:val="single" w:sz="8" w:space="0" w:color="auto"/>
            </w:tcBorders>
            <w:shd w:val="clear" w:color="auto" w:fill="auto"/>
            <w:noWrap/>
            <w:hideMark/>
          </w:tcPr>
          <w:p w14:paraId="6AC51C87"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15421.1</w:t>
            </w:r>
          </w:p>
        </w:tc>
        <w:tc>
          <w:tcPr>
            <w:tcW w:w="428" w:type="pct"/>
            <w:tcBorders>
              <w:top w:val="nil"/>
              <w:left w:val="nil"/>
              <w:bottom w:val="nil"/>
              <w:right w:val="single" w:sz="8" w:space="0" w:color="auto"/>
            </w:tcBorders>
            <w:shd w:val="clear" w:color="auto" w:fill="auto"/>
            <w:noWrap/>
            <w:hideMark/>
          </w:tcPr>
          <w:p w14:paraId="26E45CC2"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15008.3</w:t>
            </w:r>
          </w:p>
        </w:tc>
        <w:tc>
          <w:tcPr>
            <w:tcW w:w="428" w:type="pct"/>
            <w:tcBorders>
              <w:top w:val="nil"/>
              <w:left w:val="nil"/>
              <w:bottom w:val="nil"/>
              <w:right w:val="single" w:sz="8" w:space="0" w:color="auto"/>
            </w:tcBorders>
            <w:shd w:val="clear" w:color="auto" w:fill="auto"/>
            <w:noWrap/>
            <w:hideMark/>
          </w:tcPr>
          <w:p w14:paraId="21C73FBE"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13718.8</w:t>
            </w:r>
          </w:p>
        </w:tc>
        <w:tc>
          <w:tcPr>
            <w:tcW w:w="390" w:type="pct"/>
            <w:tcBorders>
              <w:top w:val="nil"/>
              <w:left w:val="nil"/>
              <w:bottom w:val="nil"/>
              <w:right w:val="single" w:sz="8" w:space="0" w:color="auto"/>
            </w:tcBorders>
            <w:shd w:val="clear" w:color="auto" w:fill="auto"/>
            <w:noWrap/>
            <w:hideMark/>
          </w:tcPr>
          <w:p w14:paraId="73E51783"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12310.9</w:t>
            </w:r>
          </w:p>
        </w:tc>
        <w:tc>
          <w:tcPr>
            <w:tcW w:w="642" w:type="pct"/>
            <w:tcBorders>
              <w:top w:val="nil"/>
              <w:left w:val="nil"/>
              <w:bottom w:val="nil"/>
              <w:right w:val="single" w:sz="8" w:space="0" w:color="auto"/>
            </w:tcBorders>
            <w:shd w:val="clear" w:color="auto" w:fill="auto"/>
            <w:noWrap/>
            <w:hideMark/>
          </w:tcPr>
          <w:p w14:paraId="36C40556"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10.9</w:t>
            </w:r>
          </w:p>
        </w:tc>
        <w:tc>
          <w:tcPr>
            <w:tcW w:w="327" w:type="pct"/>
            <w:tcBorders>
              <w:top w:val="nil"/>
              <w:left w:val="nil"/>
              <w:bottom w:val="nil"/>
              <w:right w:val="single" w:sz="8" w:space="0" w:color="auto"/>
            </w:tcBorders>
            <w:shd w:val="clear" w:color="auto" w:fill="auto"/>
            <w:noWrap/>
            <w:hideMark/>
          </w:tcPr>
          <w:p w14:paraId="190D7AC1"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18.9</w:t>
            </w:r>
          </w:p>
        </w:tc>
      </w:tr>
      <w:tr w:rsidR="00D33F7C" w:rsidRPr="001210D0" w14:paraId="5F0915E7" w14:textId="77777777" w:rsidTr="00E213CE">
        <w:trPr>
          <w:trHeight w:val="266"/>
        </w:trPr>
        <w:tc>
          <w:tcPr>
            <w:tcW w:w="438" w:type="pct"/>
            <w:tcBorders>
              <w:top w:val="nil"/>
              <w:left w:val="single" w:sz="8" w:space="0" w:color="auto"/>
              <w:bottom w:val="nil"/>
              <w:right w:val="single" w:sz="8" w:space="0" w:color="auto"/>
            </w:tcBorders>
            <w:shd w:val="clear" w:color="000000" w:fill="D9E1F2"/>
            <w:noWrap/>
            <w:hideMark/>
          </w:tcPr>
          <w:p w14:paraId="4B12E492" w14:textId="77777777" w:rsidR="00D33F7C" w:rsidRPr="001210D0" w:rsidRDefault="00D33F7C" w:rsidP="00E213CE">
            <w:pPr>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UK</w:t>
            </w:r>
          </w:p>
        </w:tc>
        <w:tc>
          <w:tcPr>
            <w:tcW w:w="1129" w:type="pct"/>
            <w:tcBorders>
              <w:top w:val="nil"/>
              <w:left w:val="nil"/>
              <w:bottom w:val="nil"/>
              <w:right w:val="single" w:sz="8" w:space="0" w:color="auto"/>
            </w:tcBorders>
            <w:shd w:val="clear" w:color="000000" w:fill="D9E1F2"/>
            <w:noWrap/>
            <w:hideMark/>
          </w:tcPr>
          <w:p w14:paraId="2ED795B3" w14:textId="77777777" w:rsidR="00D33F7C" w:rsidRPr="001210D0" w:rsidRDefault="00D33F7C" w:rsidP="00E213CE">
            <w:pPr>
              <w:rPr>
                <w:rFonts w:ascii="Garamond" w:eastAsia="Times New Roman" w:hAnsi="Garamond"/>
                <w:color w:val="000000"/>
                <w:sz w:val="18"/>
                <w:szCs w:val="18"/>
                <w:lang w:val="en-IN" w:eastAsia="en-IN" w:bidi="hi-IN"/>
              </w:rPr>
            </w:pPr>
            <w:r w:rsidRPr="001210D0">
              <w:rPr>
                <w:rFonts w:ascii="Garamond" w:eastAsia="Times New Roman" w:hAnsi="Garamond"/>
                <w:color w:val="000000"/>
                <w:sz w:val="18"/>
                <w:szCs w:val="18"/>
                <w:lang w:val="en-IN" w:eastAsia="en-IN" w:bidi="hi-IN"/>
              </w:rPr>
              <w:t xml:space="preserve">FTSE 100 </w:t>
            </w:r>
          </w:p>
        </w:tc>
        <w:tc>
          <w:tcPr>
            <w:tcW w:w="790" w:type="pct"/>
            <w:tcBorders>
              <w:top w:val="nil"/>
              <w:left w:val="nil"/>
              <w:bottom w:val="nil"/>
              <w:right w:val="single" w:sz="8" w:space="0" w:color="auto"/>
            </w:tcBorders>
            <w:shd w:val="clear" w:color="auto" w:fill="auto"/>
            <w:noWrap/>
            <w:hideMark/>
          </w:tcPr>
          <w:p w14:paraId="1F96B3A5"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7037.5</w:t>
            </w:r>
          </w:p>
        </w:tc>
        <w:tc>
          <w:tcPr>
            <w:tcW w:w="428" w:type="pct"/>
            <w:tcBorders>
              <w:top w:val="nil"/>
              <w:left w:val="nil"/>
              <w:bottom w:val="nil"/>
              <w:right w:val="single" w:sz="8" w:space="0" w:color="auto"/>
            </w:tcBorders>
            <w:shd w:val="clear" w:color="auto" w:fill="auto"/>
            <w:noWrap/>
            <w:hideMark/>
          </w:tcPr>
          <w:p w14:paraId="73767C95"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7022.6</w:t>
            </w:r>
          </w:p>
        </w:tc>
        <w:tc>
          <w:tcPr>
            <w:tcW w:w="428" w:type="pct"/>
            <w:tcBorders>
              <w:top w:val="nil"/>
              <w:left w:val="nil"/>
              <w:bottom w:val="nil"/>
              <w:right w:val="single" w:sz="8" w:space="0" w:color="auto"/>
            </w:tcBorders>
            <w:shd w:val="clear" w:color="auto" w:fill="auto"/>
            <w:noWrap/>
            <w:hideMark/>
          </w:tcPr>
          <w:p w14:paraId="23965073"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6713.6</w:t>
            </w:r>
          </w:p>
        </w:tc>
        <w:tc>
          <w:tcPr>
            <w:tcW w:w="428" w:type="pct"/>
            <w:tcBorders>
              <w:top w:val="nil"/>
              <w:left w:val="nil"/>
              <w:bottom w:val="nil"/>
              <w:right w:val="single" w:sz="8" w:space="0" w:color="auto"/>
            </w:tcBorders>
            <w:shd w:val="clear" w:color="auto" w:fill="auto"/>
            <w:noWrap/>
            <w:hideMark/>
          </w:tcPr>
          <w:p w14:paraId="58990A0B"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6460.5</w:t>
            </w:r>
          </w:p>
        </w:tc>
        <w:tc>
          <w:tcPr>
            <w:tcW w:w="390" w:type="pct"/>
            <w:tcBorders>
              <w:top w:val="nil"/>
              <w:left w:val="nil"/>
              <w:bottom w:val="nil"/>
              <w:right w:val="single" w:sz="8" w:space="0" w:color="auto"/>
            </w:tcBorders>
            <w:shd w:val="clear" w:color="auto" w:fill="auto"/>
            <w:noWrap/>
            <w:hideMark/>
          </w:tcPr>
          <w:p w14:paraId="02231FAB"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6169.7</w:t>
            </w:r>
          </w:p>
        </w:tc>
        <w:tc>
          <w:tcPr>
            <w:tcW w:w="642" w:type="pct"/>
            <w:tcBorders>
              <w:top w:val="nil"/>
              <w:left w:val="nil"/>
              <w:bottom w:val="nil"/>
              <w:right w:val="single" w:sz="8" w:space="0" w:color="auto"/>
            </w:tcBorders>
            <w:shd w:val="clear" w:color="auto" w:fill="auto"/>
            <w:noWrap/>
            <w:hideMark/>
          </w:tcPr>
          <w:p w14:paraId="1882842B"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9.7</w:t>
            </w:r>
          </w:p>
        </w:tc>
        <w:tc>
          <w:tcPr>
            <w:tcW w:w="327" w:type="pct"/>
            <w:tcBorders>
              <w:top w:val="nil"/>
              <w:left w:val="nil"/>
              <w:bottom w:val="nil"/>
              <w:right w:val="single" w:sz="8" w:space="0" w:color="auto"/>
            </w:tcBorders>
            <w:shd w:val="clear" w:color="auto" w:fill="auto"/>
            <w:noWrap/>
            <w:hideMark/>
          </w:tcPr>
          <w:p w14:paraId="62151D12"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17.6</w:t>
            </w:r>
          </w:p>
        </w:tc>
      </w:tr>
      <w:tr w:rsidR="00D33F7C" w:rsidRPr="001210D0" w14:paraId="4BE838DB" w14:textId="77777777" w:rsidTr="00E213CE">
        <w:trPr>
          <w:trHeight w:val="266"/>
        </w:trPr>
        <w:tc>
          <w:tcPr>
            <w:tcW w:w="438" w:type="pct"/>
            <w:tcBorders>
              <w:top w:val="nil"/>
              <w:left w:val="single" w:sz="8" w:space="0" w:color="auto"/>
              <w:bottom w:val="nil"/>
              <w:right w:val="single" w:sz="8" w:space="0" w:color="auto"/>
            </w:tcBorders>
            <w:shd w:val="clear" w:color="000000" w:fill="D9E1F2"/>
            <w:noWrap/>
            <w:hideMark/>
          </w:tcPr>
          <w:p w14:paraId="7A9A1B00" w14:textId="77777777" w:rsidR="00D33F7C" w:rsidRPr="001210D0" w:rsidRDefault="00D33F7C" w:rsidP="00E213CE">
            <w:pPr>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Hong Kong</w:t>
            </w:r>
          </w:p>
        </w:tc>
        <w:tc>
          <w:tcPr>
            <w:tcW w:w="1129" w:type="pct"/>
            <w:tcBorders>
              <w:top w:val="nil"/>
              <w:left w:val="nil"/>
              <w:bottom w:val="nil"/>
              <w:right w:val="single" w:sz="8" w:space="0" w:color="auto"/>
            </w:tcBorders>
            <w:shd w:val="clear" w:color="000000" w:fill="D9E1F2"/>
            <w:noWrap/>
            <w:hideMark/>
          </w:tcPr>
          <w:p w14:paraId="050AD846" w14:textId="77777777" w:rsidR="00D33F7C" w:rsidRPr="001210D0" w:rsidRDefault="00D33F7C" w:rsidP="00E213CE">
            <w:pPr>
              <w:rPr>
                <w:rFonts w:ascii="Garamond" w:eastAsia="Times New Roman" w:hAnsi="Garamond"/>
                <w:color w:val="000000"/>
                <w:sz w:val="18"/>
                <w:szCs w:val="18"/>
                <w:lang w:val="en-IN" w:eastAsia="en-IN" w:bidi="hi-IN"/>
              </w:rPr>
            </w:pPr>
            <w:r w:rsidRPr="001210D0">
              <w:rPr>
                <w:rFonts w:ascii="Garamond" w:eastAsia="Times New Roman" w:hAnsi="Garamond"/>
                <w:color w:val="000000"/>
                <w:sz w:val="18"/>
                <w:szCs w:val="18"/>
                <w:lang w:val="en-IN" w:eastAsia="en-IN" w:bidi="hi-IN"/>
              </w:rPr>
              <w:t xml:space="preserve">HANG SENG </w:t>
            </w:r>
          </w:p>
        </w:tc>
        <w:tc>
          <w:tcPr>
            <w:tcW w:w="790" w:type="pct"/>
            <w:tcBorders>
              <w:top w:val="nil"/>
              <w:left w:val="nil"/>
              <w:bottom w:val="nil"/>
              <w:right w:val="single" w:sz="8" w:space="0" w:color="auto"/>
            </w:tcBorders>
            <w:shd w:val="clear" w:color="auto" w:fill="auto"/>
            <w:noWrap/>
            <w:hideMark/>
          </w:tcPr>
          <w:p w14:paraId="0C179FEB"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28828.0</w:t>
            </w:r>
          </w:p>
        </w:tc>
        <w:tc>
          <w:tcPr>
            <w:tcW w:w="428" w:type="pct"/>
            <w:tcBorders>
              <w:top w:val="nil"/>
              <w:left w:val="nil"/>
              <w:bottom w:val="nil"/>
              <w:right w:val="single" w:sz="8" w:space="0" w:color="auto"/>
            </w:tcBorders>
            <w:shd w:val="clear" w:color="auto" w:fill="auto"/>
            <w:noWrap/>
            <w:hideMark/>
          </w:tcPr>
          <w:p w14:paraId="015EAD7A"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29151.8</w:t>
            </w:r>
          </w:p>
        </w:tc>
        <w:tc>
          <w:tcPr>
            <w:tcW w:w="428" w:type="pct"/>
            <w:tcBorders>
              <w:top w:val="nil"/>
              <w:left w:val="nil"/>
              <w:bottom w:val="nil"/>
              <w:right w:val="single" w:sz="8" w:space="0" w:color="auto"/>
            </w:tcBorders>
            <w:shd w:val="clear" w:color="auto" w:fill="auto"/>
            <w:noWrap/>
            <w:hideMark/>
          </w:tcPr>
          <w:p w14:paraId="2831D027"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28378.4</w:t>
            </w:r>
          </w:p>
        </w:tc>
        <w:tc>
          <w:tcPr>
            <w:tcW w:w="428" w:type="pct"/>
            <w:tcBorders>
              <w:top w:val="nil"/>
              <w:left w:val="nil"/>
              <w:bottom w:val="nil"/>
              <w:right w:val="single" w:sz="8" w:space="0" w:color="auto"/>
            </w:tcBorders>
            <w:shd w:val="clear" w:color="auto" w:fill="auto"/>
            <w:noWrap/>
            <w:hideMark/>
          </w:tcPr>
          <w:p w14:paraId="1A0B2FCE"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27231.1</w:t>
            </w:r>
          </w:p>
        </w:tc>
        <w:tc>
          <w:tcPr>
            <w:tcW w:w="390" w:type="pct"/>
            <w:tcBorders>
              <w:top w:val="nil"/>
              <w:left w:val="nil"/>
              <w:bottom w:val="nil"/>
              <w:right w:val="single" w:sz="8" w:space="0" w:color="auto"/>
            </w:tcBorders>
            <w:shd w:val="clear" w:color="auto" w:fill="auto"/>
            <w:noWrap/>
            <w:hideMark/>
          </w:tcPr>
          <w:p w14:paraId="3A35A354"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24427.2</w:t>
            </w:r>
          </w:p>
        </w:tc>
        <w:tc>
          <w:tcPr>
            <w:tcW w:w="642" w:type="pct"/>
            <w:tcBorders>
              <w:top w:val="nil"/>
              <w:left w:val="nil"/>
              <w:bottom w:val="nil"/>
              <w:right w:val="single" w:sz="8" w:space="0" w:color="auto"/>
            </w:tcBorders>
            <w:shd w:val="clear" w:color="auto" w:fill="auto"/>
            <w:noWrap/>
            <w:hideMark/>
          </w:tcPr>
          <w:p w14:paraId="36C7932A"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12.2</w:t>
            </w:r>
          </w:p>
        </w:tc>
        <w:tc>
          <w:tcPr>
            <w:tcW w:w="327" w:type="pct"/>
            <w:tcBorders>
              <w:top w:val="nil"/>
              <w:left w:val="nil"/>
              <w:bottom w:val="nil"/>
              <w:right w:val="single" w:sz="8" w:space="0" w:color="auto"/>
            </w:tcBorders>
            <w:shd w:val="clear" w:color="auto" w:fill="auto"/>
            <w:noWrap/>
            <w:hideMark/>
          </w:tcPr>
          <w:p w14:paraId="2165728C"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15.2</w:t>
            </w:r>
          </w:p>
        </w:tc>
      </w:tr>
      <w:tr w:rsidR="00D33F7C" w:rsidRPr="001210D0" w14:paraId="0C98A08F" w14:textId="77777777" w:rsidTr="00E213CE">
        <w:trPr>
          <w:trHeight w:val="266"/>
        </w:trPr>
        <w:tc>
          <w:tcPr>
            <w:tcW w:w="438" w:type="pct"/>
            <w:tcBorders>
              <w:top w:val="nil"/>
              <w:left w:val="single" w:sz="8" w:space="0" w:color="auto"/>
              <w:bottom w:val="nil"/>
              <w:right w:val="single" w:sz="8" w:space="0" w:color="auto"/>
            </w:tcBorders>
            <w:shd w:val="clear" w:color="000000" w:fill="D9E1F2"/>
            <w:noWrap/>
            <w:hideMark/>
          </w:tcPr>
          <w:p w14:paraId="26D9F4CA" w14:textId="77777777" w:rsidR="00D33F7C" w:rsidRPr="001210D0" w:rsidRDefault="00D33F7C" w:rsidP="00E213CE">
            <w:pPr>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South Korea</w:t>
            </w:r>
          </w:p>
        </w:tc>
        <w:tc>
          <w:tcPr>
            <w:tcW w:w="1129" w:type="pct"/>
            <w:tcBorders>
              <w:top w:val="nil"/>
              <w:left w:val="nil"/>
              <w:bottom w:val="nil"/>
              <w:right w:val="single" w:sz="8" w:space="0" w:color="auto"/>
            </w:tcBorders>
            <w:shd w:val="clear" w:color="000000" w:fill="D9E1F2"/>
            <w:noWrap/>
            <w:hideMark/>
          </w:tcPr>
          <w:p w14:paraId="1290AAF3" w14:textId="77777777" w:rsidR="00D33F7C" w:rsidRPr="001210D0" w:rsidRDefault="00D33F7C" w:rsidP="00E213CE">
            <w:pPr>
              <w:rPr>
                <w:rFonts w:ascii="Garamond" w:eastAsia="Times New Roman" w:hAnsi="Garamond"/>
                <w:color w:val="000000"/>
                <w:sz w:val="18"/>
                <w:szCs w:val="18"/>
                <w:lang w:val="en-IN" w:eastAsia="en-IN" w:bidi="hi-IN"/>
              </w:rPr>
            </w:pPr>
            <w:r w:rsidRPr="001210D0">
              <w:rPr>
                <w:rFonts w:ascii="Garamond" w:eastAsia="Times New Roman" w:hAnsi="Garamond"/>
                <w:color w:val="000000"/>
                <w:sz w:val="18"/>
                <w:szCs w:val="18"/>
                <w:lang w:val="en-IN" w:eastAsia="en-IN" w:bidi="hi-IN"/>
              </w:rPr>
              <w:t xml:space="preserve">KOSPI </w:t>
            </w:r>
          </w:p>
        </w:tc>
        <w:tc>
          <w:tcPr>
            <w:tcW w:w="790" w:type="pct"/>
            <w:tcBorders>
              <w:top w:val="nil"/>
              <w:left w:val="nil"/>
              <w:bottom w:val="nil"/>
              <w:right w:val="single" w:sz="8" w:space="0" w:color="auto"/>
            </w:tcBorders>
            <w:shd w:val="clear" w:color="auto" w:fill="auto"/>
            <w:noWrap/>
            <w:hideMark/>
          </w:tcPr>
          <w:p w14:paraId="52FADD48"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3296.7</w:t>
            </w:r>
          </w:p>
        </w:tc>
        <w:tc>
          <w:tcPr>
            <w:tcW w:w="428" w:type="pct"/>
            <w:tcBorders>
              <w:top w:val="nil"/>
              <w:left w:val="nil"/>
              <w:bottom w:val="nil"/>
              <w:right w:val="single" w:sz="8" w:space="0" w:color="auto"/>
            </w:tcBorders>
            <w:shd w:val="clear" w:color="auto" w:fill="auto"/>
            <w:noWrap/>
            <w:hideMark/>
          </w:tcPr>
          <w:p w14:paraId="7D07E50D"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3203.9</w:t>
            </w:r>
          </w:p>
        </w:tc>
        <w:tc>
          <w:tcPr>
            <w:tcW w:w="428" w:type="pct"/>
            <w:tcBorders>
              <w:top w:val="nil"/>
              <w:left w:val="nil"/>
              <w:bottom w:val="nil"/>
              <w:right w:val="single" w:sz="8" w:space="0" w:color="auto"/>
            </w:tcBorders>
            <w:shd w:val="clear" w:color="auto" w:fill="auto"/>
            <w:noWrap/>
            <w:hideMark/>
          </w:tcPr>
          <w:p w14:paraId="32EB1205"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3061.4</w:t>
            </w:r>
          </w:p>
        </w:tc>
        <w:tc>
          <w:tcPr>
            <w:tcW w:w="428" w:type="pct"/>
            <w:tcBorders>
              <w:top w:val="nil"/>
              <w:left w:val="nil"/>
              <w:bottom w:val="nil"/>
              <w:right w:val="single" w:sz="8" w:space="0" w:color="auto"/>
            </w:tcBorders>
            <w:shd w:val="clear" w:color="auto" w:fill="auto"/>
            <w:noWrap/>
            <w:hideMark/>
          </w:tcPr>
          <w:p w14:paraId="7F1F0BAD"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2873.5</w:t>
            </w:r>
          </w:p>
        </w:tc>
        <w:tc>
          <w:tcPr>
            <w:tcW w:w="390" w:type="pct"/>
            <w:tcBorders>
              <w:top w:val="nil"/>
              <w:left w:val="nil"/>
              <w:bottom w:val="nil"/>
              <w:right w:val="single" w:sz="8" w:space="0" w:color="auto"/>
            </w:tcBorders>
            <w:shd w:val="clear" w:color="auto" w:fill="auto"/>
            <w:noWrap/>
            <w:hideMark/>
          </w:tcPr>
          <w:p w14:paraId="650FDF16"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2108.3</w:t>
            </w:r>
          </w:p>
        </w:tc>
        <w:tc>
          <w:tcPr>
            <w:tcW w:w="642" w:type="pct"/>
            <w:tcBorders>
              <w:top w:val="nil"/>
              <w:left w:val="nil"/>
              <w:bottom w:val="nil"/>
              <w:right w:val="single" w:sz="8" w:space="0" w:color="auto"/>
            </w:tcBorders>
            <w:shd w:val="clear" w:color="auto" w:fill="auto"/>
            <w:noWrap/>
            <w:hideMark/>
          </w:tcPr>
          <w:p w14:paraId="2CEE36EB"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7.5</w:t>
            </w:r>
          </w:p>
        </w:tc>
        <w:tc>
          <w:tcPr>
            <w:tcW w:w="327" w:type="pct"/>
            <w:tcBorders>
              <w:top w:val="nil"/>
              <w:left w:val="nil"/>
              <w:bottom w:val="nil"/>
              <w:right w:val="single" w:sz="8" w:space="0" w:color="auto"/>
            </w:tcBorders>
            <w:shd w:val="clear" w:color="auto" w:fill="auto"/>
            <w:noWrap/>
            <w:hideMark/>
          </w:tcPr>
          <w:p w14:paraId="49BDACBD"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NA</w:t>
            </w:r>
          </w:p>
        </w:tc>
      </w:tr>
      <w:tr w:rsidR="00D33F7C" w:rsidRPr="001210D0" w14:paraId="36188CFF" w14:textId="77777777" w:rsidTr="00E213CE">
        <w:trPr>
          <w:trHeight w:val="266"/>
        </w:trPr>
        <w:tc>
          <w:tcPr>
            <w:tcW w:w="438" w:type="pct"/>
            <w:tcBorders>
              <w:top w:val="nil"/>
              <w:left w:val="single" w:sz="8" w:space="0" w:color="auto"/>
              <w:bottom w:val="nil"/>
              <w:right w:val="single" w:sz="8" w:space="0" w:color="auto"/>
            </w:tcBorders>
            <w:shd w:val="clear" w:color="000000" w:fill="D9E1F2"/>
            <w:noWrap/>
            <w:hideMark/>
          </w:tcPr>
          <w:p w14:paraId="565455E1" w14:textId="77777777" w:rsidR="00D33F7C" w:rsidRPr="001210D0" w:rsidRDefault="00D33F7C" w:rsidP="00E213CE">
            <w:pPr>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Japan</w:t>
            </w:r>
          </w:p>
        </w:tc>
        <w:tc>
          <w:tcPr>
            <w:tcW w:w="1129" w:type="pct"/>
            <w:tcBorders>
              <w:top w:val="nil"/>
              <w:left w:val="nil"/>
              <w:bottom w:val="nil"/>
              <w:right w:val="single" w:sz="8" w:space="0" w:color="auto"/>
            </w:tcBorders>
            <w:shd w:val="clear" w:color="000000" w:fill="D9E1F2"/>
            <w:noWrap/>
            <w:hideMark/>
          </w:tcPr>
          <w:p w14:paraId="7C6F80F6" w14:textId="77777777" w:rsidR="00D33F7C" w:rsidRPr="001210D0" w:rsidRDefault="00D33F7C" w:rsidP="00E213CE">
            <w:pPr>
              <w:rPr>
                <w:rFonts w:ascii="Garamond" w:eastAsia="Times New Roman" w:hAnsi="Garamond"/>
                <w:color w:val="000000"/>
                <w:sz w:val="18"/>
                <w:szCs w:val="18"/>
                <w:lang w:val="en-IN" w:eastAsia="en-IN" w:bidi="hi-IN"/>
              </w:rPr>
            </w:pPr>
            <w:r w:rsidRPr="001210D0">
              <w:rPr>
                <w:rFonts w:ascii="Garamond" w:eastAsia="Times New Roman" w:hAnsi="Garamond"/>
                <w:color w:val="000000"/>
                <w:sz w:val="18"/>
                <w:szCs w:val="18"/>
                <w:lang w:val="en-IN" w:eastAsia="en-IN" w:bidi="hi-IN"/>
              </w:rPr>
              <w:t>NIKKEI 225</w:t>
            </w:r>
          </w:p>
        </w:tc>
        <w:tc>
          <w:tcPr>
            <w:tcW w:w="790" w:type="pct"/>
            <w:tcBorders>
              <w:top w:val="nil"/>
              <w:left w:val="nil"/>
              <w:bottom w:val="nil"/>
              <w:right w:val="single" w:sz="8" w:space="0" w:color="auto"/>
            </w:tcBorders>
            <w:shd w:val="clear" w:color="auto" w:fill="auto"/>
            <w:noWrap/>
            <w:hideMark/>
          </w:tcPr>
          <w:p w14:paraId="5CB3509B"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28791.5</w:t>
            </w:r>
          </w:p>
        </w:tc>
        <w:tc>
          <w:tcPr>
            <w:tcW w:w="428" w:type="pct"/>
            <w:tcBorders>
              <w:top w:val="nil"/>
              <w:left w:val="nil"/>
              <w:bottom w:val="nil"/>
              <w:right w:val="single" w:sz="8" w:space="0" w:color="auto"/>
            </w:tcBorders>
            <w:shd w:val="clear" w:color="auto" w:fill="auto"/>
            <w:noWrap/>
            <w:hideMark/>
          </w:tcPr>
          <w:p w14:paraId="6628323B"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28860.1</w:t>
            </w:r>
          </w:p>
        </w:tc>
        <w:tc>
          <w:tcPr>
            <w:tcW w:w="428" w:type="pct"/>
            <w:tcBorders>
              <w:top w:val="nil"/>
              <w:left w:val="nil"/>
              <w:bottom w:val="nil"/>
              <w:right w:val="single" w:sz="8" w:space="0" w:color="auto"/>
            </w:tcBorders>
            <w:shd w:val="clear" w:color="auto" w:fill="auto"/>
            <w:noWrap/>
            <w:hideMark/>
          </w:tcPr>
          <w:p w14:paraId="2F1BFF2A"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29178.8</w:t>
            </w:r>
          </w:p>
        </w:tc>
        <w:tc>
          <w:tcPr>
            <w:tcW w:w="428" w:type="pct"/>
            <w:tcBorders>
              <w:top w:val="nil"/>
              <w:left w:val="nil"/>
              <w:bottom w:val="nil"/>
              <w:right w:val="single" w:sz="8" w:space="0" w:color="auto"/>
            </w:tcBorders>
            <w:shd w:val="clear" w:color="auto" w:fill="auto"/>
            <w:noWrap/>
            <w:hideMark/>
          </w:tcPr>
          <w:p w14:paraId="6018C027"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27444.2</w:t>
            </w:r>
          </w:p>
        </w:tc>
        <w:tc>
          <w:tcPr>
            <w:tcW w:w="390" w:type="pct"/>
            <w:tcBorders>
              <w:top w:val="nil"/>
              <w:left w:val="nil"/>
              <w:bottom w:val="nil"/>
              <w:right w:val="single" w:sz="8" w:space="0" w:color="auto"/>
            </w:tcBorders>
            <w:shd w:val="clear" w:color="auto" w:fill="auto"/>
            <w:noWrap/>
            <w:hideMark/>
          </w:tcPr>
          <w:p w14:paraId="30908677"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22288.1</w:t>
            </w:r>
          </w:p>
        </w:tc>
        <w:tc>
          <w:tcPr>
            <w:tcW w:w="642" w:type="pct"/>
            <w:tcBorders>
              <w:top w:val="nil"/>
              <w:left w:val="nil"/>
              <w:bottom w:val="nil"/>
              <w:right w:val="single" w:sz="8" w:space="0" w:color="auto"/>
            </w:tcBorders>
            <w:shd w:val="clear" w:color="auto" w:fill="auto"/>
            <w:noWrap/>
            <w:hideMark/>
          </w:tcPr>
          <w:p w14:paraId="33834518"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17.0</w:t>
            </w:r>
          </w:p>
        </w:tc>
        <w:tc>
          <w:tcPr>
            <w:tcW w:w="327" w:type="pct"/>
            <w:tcBorders>
              <w:top w:val="nil"/>
              <w:left w:val="nil"/>
              <w:bottom w:val="nil"/>
              <w:right w:val="single" w:sz="8" w:space="0" w:color="auto"/>
            </w:tcBorders>
            <w:shd w:val="clear" w:color="auto" w:fill="auto"/>
            <w:noWrap/>
            <w:hideMark/>
          </w:tcPr>
          <w:p w14:paraId="4DFE7698"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17.0</w:t>
            </w:r>
          </w:p>
        </w:tc>
      </w:tr>
      <w:tr w:rsidR="00D33F7C" w:rsidRPr="001210D0" w14:paraId="72815021" w14:textId="77777777" w:rsidTr="00E213CE">
        <w:trPr>
          <w:trHeight w:val="266"/>
        </w:trPr>
        <w:tc>
          <w:tcPr>
            <w:tcW w:w="438" w:type="pct"/>
            <w:tcBorders>
              <w:top w:val="nil"/>
              <w:left w:val="single" w:sz="8" w:space="0" w:color="auto"/>
              <w:bottom w:val="nil"/>
              <w:right w:val="single" w:sz="8" w:space="0" w:color="auto"/>
            </w:tcBorders>
            <w:shd w:val="clear" w:color="000000" w:fill="D9E1F2"/>
            <w:noWrap/>
            <w:hideMark/>
          </w:tcPr>
          <w:p w14:paraId="66E5DC10" w14:textId="77777777" w:rsidR="00D33F7C" w:rsidRPr="001210D0" w:rsidRDefault="00D33F7C" w:rsidP="00E213CE">
            <w:pPr>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Singapore</w:t>
            </w:r>
          </w:p>
        </w:tc>
        <w:tc>
          <w:tcPr>
            <w:tcW w:w="1129" w:type="pct"/>
            <w:tcBorders>
              <w:top w:val="nil"/>
              <w:left w:val="nil"/>
              <w:bottom w:val="nil"/>
              <w:right w:val="single" w:sz="8" w:space="0" w:color="auto"/>
            </w:tcBorders>
            <w:shd w:val="clear" w:color="000000" w:fill="D9E1F2"/>
            <w:noWrap/>
            <w:hideMark/>
          </w:tcPr>
          <w:p w14:paraId="1B385251" w14:textId="77777777" w:rsidR="00D33F7C" w:rsidRPr="001210D0" w:rsidRDefault="00D33F7C" w:rsidP="00E213CE">
            <w:pPr>
              <w:rPr>
                <w:rFonts w:ascii="Garamond" w:eastAsia="Times New Roman" w:hAnsi="Garamond"/>
                <w:color w:val="000000"/>
                <w:sz w:val="18"/>
                <w:szCs w:val="18"/>
                <w:lang w:val="en-IN" w:eastAsia="en-IN" w:bidi="hi-IN"/>
              </w:rPr>
            </w:pPr>
            <w:r w:rsidRPr="001210D0">
              <w:rPr>
                <w:rFonts w:ascii="Garamond" w:eastAsia="Times New Roman" w:hAnsi="Garamond"/>
                <w:color w:val="000000"/>
                <w:sz w:val="18"/>
                <w:szCs w:val="18"/>
                <w:lang w:val="en-IN" w:eastAsia="en-IN" w:bidi="hi-IN"/>
              </w:rPr>
              <w:t>STRAITS TIMES  STI</w:t>
            </w:r>
          </w:p>
        </w:tc>
        <w:tc>
          <w:tcPr>
            <w:tcW w:w="790" w:type="pct"/>
            <w:tcBorders>
              <w:top w:val="nil"/>
              <w:left w:val="nil"/>
              <w:bottom w:val="nil"/>
              <w:right w:val="single" w:sz="8" w:space="0" w:color="auto"/>
            </w:tcBorders>
            <w:shd w:val="clear" w:color="auto" w:fill="auto"/>
            <w:noWrap/>
            <w:hideMark/>
          </w:tcPr>
          <w:p w14:paraId="5ABAB49B"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3130.5</w:t>
            </w:r>
          </w:p>
        </w:tc>
        <w:tc>
          <w:tcPr>
            <w:tcW w:w="428" w:type="pct"/>
            <w:tcBorders>
              <w:top w:val="nil"/>
              <w:left w:val="nil"/>
              <w:bottom w:val="nil"/>
              <w:right w:val="single" w:sz="8" w:space="0" w:color="auto"/>
            </w:tcBorders>
            <w:shd w:val="clear" w:color="auto" w:fill="auto"/>
            <w:noWrap/>
            <w:hideMark/>
          </w:tcPr>
          <w:p w14:paraId="47AF8D94"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3164.3</w:t>
            </w:r>
          </w:p>
        </w:tc>
        <w:tc>
          <w:tcPr>
            <w:tcW w:w="428" w:type="pct"/>
            <w:tcBorders>
              <w:top w:val="nil"/>
              <w:left w:val="nil"/>
              <w:bottom w:val="nil"/>
              <w:right w:val="single" w:sz="8" w:space="0" w:color="auto"/>
            </w:tcBorders>
            <w:shd w:val="clear" w:color="auto" w:fill="auto"/>
            <w:noWrap/>
            <w:hideMark/>
          </w:tcPr>
          <w:p w14:paraId="34D7367E"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3165.3</w:t>
            </w:r>
          </w:p>
        </w:tc>
        <w:tc>
          <w:tcPr>
            <w:tcW w:w="428" w:type="pct"/>
            <w:tcBorders>
              <w:top w:val="nil"/>
              <w:left w:val="nil"/>
              <w:bottom w:val="nil"/>
              <w:right w:val="single" w:sz="8" w:space="0" w:color="auto"/>
            </w:tcBorders>
            <w:shd w:val="clear" w:color="auto" w:fill="auto"/>
            <w:noWrap/>
            <w:hideMark/>
          </w:tcPr>
          <w:p w14:paraId="3F523D71"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2843.8</w:t>
            </w:r>
          </w:p>
        </w:tc>
        <w:tc>
          <w:tcPr>
            <w:tcW w:w="390" w:type="pct"/>
            <w:tcBorders>
              <w:top w:val="nil"/>
              <w:left w:val="nil"/>
              <w:bottom w:val="nil"/>
              <w:right w:val="single" w:sz="8" w:space="0" w:color="auto"/>
            </w:tcBorders>
            <w:shd w:val="clear" w:color="auto" w:fill="auto"/>
            <w:noWrap/>
            <w:hideMark/>
          </w:tcPr>
          <w:p w14:paraId="510BDE55"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2589.9</w:t>
            </w:r>
          </w:p>
        </w:tc>
        <w:tc>
          <w:tcPr>
            <w:tcW w:w="642" w:type="pct"/>
            <w:tcBorders>
              <w:top w:val="nil"/>
              <w:left w:val="nil"/>
              <w:bottom w:val="nil"/>
              <w:right w:val="single" w:sz="8" w:space="0" w:color="auto"/>
            </w:tcBorders>
            <w:shd w:val="clear" w:color="auto" w:fill="auto"/>
            <w:noWrap/>
            <w:hideMark/>
          </w:tcPr>
          <w:p w14:paraId="4F5D4B41"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9.7</w:t>
            </w:r>
          </w:p>
        </w:tc>
        <w:tc>
          <w:tcPr>
            <w:tcW w:w="327" w:type="pct"/>
            <w:tcBorders>
              <w:top w:val="nil"/>
              <w:left w:val="nil"/>
              <w:bottom w:val="nil"/>
              <w:right w:val="single" w:sz="8" w:space="0" w:color="auto"/>
            </w:tcBorders>
            <w:shd w:val="clear" w:color="auto" w:fill="auto"/>
            <w:noWrap/>
            <w:hideMark/>
          </w:tcPr>
          <w:p w14:paraId="491CD76D"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13.6</w:t>
            </w:r>
          </w:p>
        </w:tc>
      </w:tr>
      <w:tr w:rsidR="00D33F7C" w:rsidRPr="001210D0" w14:paraId="23CB5AD7" w14:textId="77777777" w:rsidTr="00E213CE">
        <w:trPr>
          <w:trHeight w:val="279"/>
        </w:trPr>
        <w:tc>
          <w:tcPr>
            <w:tcW w:w="438" w:type="pct"/>
            <w:tcBorders>
              <w:top w:val="nil"/>
              <w:left w:val="single" w:sz="8" w:space="0" w:color="auto"/>
              <w:bottom w:val="single" w:sz="8" w:space="0" w:color="auto"/>
              <w:right w:val="single" w:sz="8" w:space="0" w:color="auto"/>
            </w:tcBorders>
            <w:shd w:val="clear" w:color="000000" w:fill="D9E1F2"/>
            <w:noWrap/>
            <w:hideMark/>
          </w:tcPr>
          <w:p w14:paraId="65EBF287" w14:textId="77777777" w:rsidR="00D33F7C" w:rsidRPr="001210D0" w:rsidRDefault="00D33F7C" w:rsidP="00E213CE">
            <w:pPr>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Taiwan</w:t>
            </w:r>
          </w:p>
        </w:tc>
        <w:tc>
          <w:tcPr>
            <w:tcW w:w="1129" w:type="pct"/>
            <w:tcBorders>
              <w:top w:val="nil"/>
              <w:left w:val="nil"/>
              <w:bottom w:val="single" w:sz="8" w:space="0" w:color="auto"/>
              <w:right w:val="single" w:sz="8" w:space="0" w:color="auto"/>
            </w:tcBorders>
            <w:shd w:val="clear" w:color="000000" w:fill="D9E1F2"/>
            <w:noWrap/>
            <w:hideMark/>
          </w:tcPr>
          <w:p w14:paraId="27C41EA7" w14:textId="77777777" w:rsidR="00D33F7C" w:rsidRPr="001210D0" w:rsidRDefault="00D33F7C" w:rsidP="00E213CE">
            <w:pPr>
              <w:rPr>
                <w:rFonts w:ascii="Garamond" w:eastAsia="Times New Roman" w:hAnsi="Garamond"/>
                <w:color w:val="000000"/>
                <w:sz w:val="18"/>
                <w:szCs w:val="18"/>
                <w:lang w:val="en-IN" w:eastAsia="en-IN" w:bidi="hi-IN"/>
              </w:rPr>
            </w:pPr>
            <w:r w:rsidRPr="001210D0">
              <w:rPr>
                <w:rFonts w:ascii="Garamond" w:eastAsia="Times New Roman" w:hAnsi="Garamond"/>
                <w:color w:val="000000"/>
                <w:sz w:val="18"/>
                <w:szCs w:val="18"/>
                <w:lang w:val="en-IN" w:eastAsia="en-IN" w:bidi="hi-IN"/>
              </w:rPr>
              <w:t xml:space="preserve">TAIWAN TAIEX </w:t>
            </w:r>
          </w:p>
        </w:tc>
        <w:tc>
          <w:tcPr>
            <w:tcW w:w="790" w:type="pct"/>
            <w:tcBorders>
              <w:top w:val="nil"/>
              <w:left w:val="nil"/>
              <w:bottom w:val="single" w:sz="8" w:space="0" w:color="auto"/>
              <w:right w:val="single" w:sz="8" w:space="0" w:color="auto"/>
            </w:tcBorders>
            <w:shd w:val="clear" w:color="auto" w:fill="auto"/>
            <w:noWrap/>
            <w:hideMark/>
          </w:tcPr>
          <w:p w14:paraId="29D8BEF1"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17755.5</w:t>
            </w:r>
          </w:p>
        </w:tc>
        <w:tc>
          <w:tcPr>
            <w:tcW w:w="428" w:type="pct"/>
            <w:tcBorders>
              <w:top w:val="nil"/>
              <w:left w:val="nil"/>
              <w:bottom w:val="single" w:sz="8" w:space="0" w:color="auto"/>
              <w:right w:val="single" w:sz="8" w:space="0" w:color="auto"/>
            </w:tcBorders>
            <w:shd w:val="clear" w:color="auto" w:fill="auto"/>
            <w:noWrap/>
            <w:hideMark/>
          </w:tcPr>
          <w:p w14:paraId="7B21E7F5"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17068.4</w:t>
            </w:r>
          </w:p>
        </w:tc>
        <w:tc>
          <w:tcPr>
            <w:tcW w:w="428" w:type="pct"/>
            <w:tcBorders>
              <w:top w:val="nil"/>
              <w:left w:val="nil"/>
              <w:bottom w:val="single" w:sz="8" w:space="0" w:color="auto"/>
              <w:right w:val="single" w:sz="8" w:space="0" w:color="auto"/>
            </w:tcBorders>
            <w:shd w:val="clear" w:color="auto" w:fill="auto"/>
            <w:noWrap/>
            <w:hideMark/>
          </w:tcPr>
          <w:p w14:paraId="5ECC9BFC"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16431.1</w:t>
            </w:r>
          </w:p>
        </w:tc>
        <w:tc>
          <w:tcPr>
            <w:tcW w:w="428" w:type="pct"/>
            <w:tcBorders>
              <w:top w:val="nil"/>
              <w:left w:val="nil"/>
              <w:bottom w:val="single" w:sz="8" w:space="0" w:color="auto"/>
              <w:right w:val="single" w:sz="8" w:space="0" w:color="auto"/>
            </w:tcBorders>
            <w:shd w:val="clear" w:color="auto" w:fill="auto"/>
            <w:noWrap/>
            <w:hideMark/>
          </w:tcPr>
          <w:p w14:paraId="6A8907A8"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14732.5</w:t>
            </w:r>
          </w:p>
        </w:tc>
        <w:tc>
          <w:tcPr>
            <w:tcW w:w="390" w:type="pct"/>
            <w:tcBorders>
              <w:top w:val="nil"/>
              <w:left w:val="nil"/>
              <w:bottom w:val="single" w:sz="8" w:space="0" w:color="auto"/>
              <w:right w:val="single" w:sz="8" w:space="0" w:color="auto"/>
            </w:tcBorders>
            <w:shd w:val="clear" w:color="auto" w:fill="auto"/>
            <w:noWrap/>
            <w:hideMark/>
          </w:tcPr>
          <w:p w14:paraId="25F7B490"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11621.2</w:t>
            </w:r>
          </w:p>
        </w:tc>
        <w:tc>
          <w:tcPr>
            <w:tcW w:w="642" w:type="pct"/>
            <w:tcBorders>
              <w:top w:val="nil"/>
              <w:left w:val="nil"/>
              <w:bottom w:val="single" w:sz="8" w:space="0" w:color="auto"/>
              <w:right w:val="single" w:sz="8" w:space="0" w:color="auto"/>
            </w:tcBorders>
            <w:shd w:val="clear" w:color="auto" w:fill="auto"/>
            <w:noWrap/>
            <w:hideMark/>
          </w:tcPr>
          <w:p w14:paraId="2AD6CDCF"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10.4</w:t>
            </w:r>
          </w:p>
        </w:tc>
        <w:tc>
          <w:tcPr>
            <w:tcW w:w="327" w:type="pct"/>
            <w:tcBorders>
              <w:top w:val="nil"/>
              <w:left w:val="nil"/>
              <w:bottom w:val="single" w:sz="8" w:space="0" w:color="auto"/>
              <w:right w:val="single" w:sz="8" w:space="0" w:color="auto"/>
            </w:tcBorders>
            <w:shd w:val="clear" w:color="auto" w:fill="auto"/>
            <w:noWrap/>
            <w:hideMark/>
          </w:tcPr>
          <w:p w14:paraId="0DA23B58" w14:textId="77777777" w:rsidR="00D33F7C" w:rsidRPr="001210D0" w:rsidRDefault="00D33F7C" w:rsidP="00E213CE">
            <w:pPr>
              <w:ind w:firstLineChars="100" w:firstLine="200"/>
              <w:jc w:val="right"/>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18.0</w:t>
            </w:r>
          </w:p>
        </w:tc>
      </w:tr>
    </w:tbl>
    <w:p w14:paraId="4B68A29A" w14:textId="77777777" w:rsidR="00D33F7C" w:rsidRDefault="00D33F7C" w:rsidP="00D33F7C">
      <w:pPr>
        <w:spacing w:line="23" w:lineRule="atLeast"/>
        <w:jc w:val="both"/>
        <w:rPr>
          <w:rFonts w:ascii="Garamond" w:hAnsi="Garamond"/>
          <w:bCs/>
          <w:sz w:val="18"/>
          <w:szCs w:val="18"/>
        </w:rPr>
      </w:pPr>
    </w:p>
    <w:p w14:paraId="0832C624" w14:textId="77777777" w:rsidR="00D33F7C" w:rsidRPr="001972CA" w:rsidRDefault="00D33F7C" w:rsidP="00D33F7C">
      <w:pPr>
        <w:spacing w:line="23" w:lineRule="atLeast"/>
        <w:jc w:val="both"/>
        <w:rPr>
          <w:rFonts w:ascii="Garamond" w:hAnsi="Garamond"/>
          <w:bCs/>
          <w:sz w:val="18"/>
          <w:szCs w:val="18"/>
        </w:rPr>
      </w:pPr>
      <w:r w:rsidRPr="001972CA">
        <w:rPr>
          <w:rFonts w:ascii="Garamond" w:hAnsi="Garamond"/>
          <w:bCs/>
          <w:sz w:val="18"/>
          <w:szCs w:val="18"/>
        </w:rPr>
        <w:t xml:space="preserve"> Note: </w:t>
      </w:r>
      <w:r>
        <w:rPr>
          <w:rFonts w:ascii="Garamond" w:hAnsi="Garamond"/>
          <w:bCs/>
          <w:sz w:val="18"/>
          <w:szCs w:val="18"/>
        </w:rPr>
        <w:t xml:space="preserve">* </w:t>
      </w:r>
      <w:r w:rsidRPr="001972CA">
        <w:rPr>
          <w:rFonts w:ascii="Garamond" w:hAnsi="Garamond"/>
          <w:bCs/>
          <w:sz w:val="18"/>
          <w:szCs w:val="18"/>
        </w:rPr>
        <w:t xml:space="preserve">P/E Ratios as on the last trading day of month. Trailing PE ratio has been used from Refinitiv for all Indices apart from Sensex, Nifty 50, Kospi, Nikkei and Taiwan Taiex. Data for Sensex and Nifty was taken from respective exchange website. </w:t>
      </w:r>
      <w:r w:rsidRPr="005D4199">
        <w:rPr>
          <w:rFonts w:ascii="Garamond" w:hAnsi="Garamond"/>
          <w:bCs/>
          <w:sz w:val="18"/>
          <w:szCs w:val="18"/>
        </w:rPr>
        <w:t xml:space="preserve">Refinitiv </w:t>
      </w:r>
      <w:r w:rsidRPr="001972CA">
        <w:rPr>
          <w:rFonts w:ascii="Garamond" w:hAnsi="Garamond"/>
          <w:bCs/>
          <w:sz w:val="18"/>
          <w:szCs w:val="18"/>
        </w:rPr>
        <w:t xml:space="preserve">data is as on </w:t>
      </w:r>
      <w:r>
        <w:rPr>
          <w:rFonts w:ascii="Garamond" w:hAnsi="Garamond"/>
          <w:bCs/>
          <w:sz w:val="18"/>
          <w:szCs w:val="18"/>
          <w:lang w:val="en-US"/>
        </w:rPr>
        <w:t xml:space="preserve">05 July </w:t>
      </w:r>
      <w:r w:rsidRPr="001972CA">
        <w:rPr>
          <w:rFonts w:ascii="Garamond" w:hAnsi="Garamond"/>
          <w:bCs/>
          <w:sz w:val="18"/>
          <w:szCs w:val="18"/>
          <w:lang w:val="en-US"/>
        </w:rPr>
        <w:t>2021</w:t>
      </w:r>
      <w:r>
        <w:rPr>
          <w:rFonts w:ascii="Garamond" w:hAnsi="Garamond"/>
          <w:bCs/>
          <w:sz w:val="18"/>
          <w:szCs w:val="18"/>
          <w:lang w:val="en-US"/>
        </w:rPr>
        <w:t>.</w:t>
      </w:r>
    </w:p>
    <w:p w14:paraId="1EE7FE8A" w14:textId="77777777" w:rsidR="00D33F7C" w:rsidRDefault="00D33F7C" w:rsidP="00D33F7C">
      <w:pPr>
        <w:spacing w:line="23" w:lineRule="atLeast"/>
        <w:jc w:val="both"/>
        <w:rPr>
          <w:rFonts w:ascii="Garamond" w:hAnsi="Garamond"/>
          <w:bCs/>
          <w:sz w:val="18"/>
          <w:szCs w:val="18"/>
        </w:rPr>
      </w:pPr>
      <w:r w:rsidRPr="001972CA">
        <w:rPr>
          <w:rFonts w:ascii="Garamond" w:hAnsi="Garamond"/>
          <w:bCs/>
          <w:sz w:val="18"/>
          <w:szCs w:val="18"/>
        </w:rPr>
        <w:t xml:space="preserve">Source: Refinitiv, BSE and National Stock Exchange </w:t>
      </w:r>
    </w:p>
    <w:p w14:paraId="451CB518" w14:textId="77777777" w:rsidR="00D33F7C" w:rsidRPr="00073FE2" w:rsidRDefault="00D33F7C" w:rsidP="00D33F7C">
      <w:pPr>
        <w:spacing w:line="23" w:lineRule="atLeast"/>
        <w:rPr>
          <w:rFonts w:ascii="Garamond" w:hAnsi="Garamond"/>
          <w:b/>
          <w:bCs/>
          <w:strike/>
          <w:szCs w:val="22"/>
        </w:rPr>
        <w:sectPr w:rsidR="00D33F7C" w:rsidRPr="00073FE2" w:rsidSect="00E213CE">
          <w:pgSz w:w="16838" w:h="11906" w:orient="landscape" w:code="9"/>
          <w:pgMar w:top="1009" w:right="578" w:bottom="1009" w:left="578" w:header="431" w:footer="431" w:gutter="0"/>
          <w:cols w:space="720"/>
          <w:docGrid w:linePitch="360"/>
        </w:sectPr>
      </w:pPr>
    </w:p>
    <w:p w14:paraId="795C4610" w14:textId="77777777" w:rsidR="00D33F7C" w:rsidRPr="00E25198" w:rsidRDefault="00D33F7C" w:rsidP="00D33F7C">
      <w:pPr>
        <w:spacing w:line="23" w:lineRule="atLeast"/>
        <w:jc w:val="both"/>
        <w:rPr>
          <w:rFonts w:ascii="Garamond" w:hAnsi="Garamond"/>
          <w:b/>
          <w:bCs/>
          <w:szCs w:val="22"/>
        </w:rPr>
      </w:pPr>
    </w:p>
    <w:p w14:paraId="63F8C6AD" w14:textId="77777777" w:rsidR="00D33F7C" w:rsidRPr="00E25198" w:rsidRDefault="00D33F7C" w:rsidP="00D33F7C">
      <w:pPr>
        <w:spacing w:line="23" w:lineRule="atLeast"/>
        <w:jc w:val="both"/>
        <w:rPr>
          <w:rFonts w:ascii="Garamond" w:hAnsi="Garamond"/>
          <w:b/>
          <w:bCs/>
          <w:szCs w:val="22"/>
        </w:rPr>
      </w:pPr>
      <w:r w:rsidRPr="00E25198">
        <w:rPr>
          <w:rFonts w:ascii="Garamond" w:hAnsi="Garamond"/>
          <w:b/>
          <w:bCs/>
          <w:szCs w:val="22"/>
        </w:rPr>
        <w:t>Table A2: Fund Mobilisation by Issuance of Equity and Bond in Major Exchanges (USD million)</w:t>
      </w:r>
    </w:p>
    <w:tbl>
      <w:tblPr>
        <w:tblW w:w="5000" w:type="pct"/>
        <w:tblLook w:val="04A0" w:firstRow="1" w:lastRow="0" w:firstColumn="1" w:lastColumn="0" w:noHBand="0" w:noVBand="1"/>
      </w:tblPr>
      <w:tblGrid>
        <w:gridCol w:w="3457"/>
        <w:gridCol w:w="1067"/>
        <w:gridCol w:w="1068"/>
        <w:gridCol w:w="1070"/>
        <w:gridCol w:w="1068"/>
        <w:gridCol w:w="1068"/>
        <w:gridCol w:w="1070"/>
      </w:tblGrid>
      <w:tr w:rsidR="00D33F7C" w:rsidRPr="001210D0" w14:paraId="25BD927D" w14:textId="77777777" w:rsidTr="00E213CE">
        <w:trPr>
          <w:trHeight w:val="315"/>
        </w:trPr>
        <w:tc>
          <w:tcPr>
            <w:tcW w:w="1752" w:type="pct"/>
            <w:tcBorders>
              <w:top w:val="single" w:sz="8" w:space="0" w:color="auto"/>
              <w:left w:val="single" w:sz="8" w:space="0" w:color="auto"/>
              <w:bottom w:val="nil"/>
              <w:right w:val="single" w:sz="8" w:space="0" w:color="auto"/>
            </w:tcBorders>
            <w:shd w:val="clear" w:color="000000" w:fill="2F5496"/>
            <w:vAlign w:val="center"/>
            <w:hideMark/>
          </w:tcPr>
          <w:p w14:paraId="59EAC638" w14:textId="77777777" w:rsidR="00D33F7C" w:rsidRPr="001210D0" w:rsidRDefault="00D33F7C" w:rsidP="00E213CE">
            <w:pPr>
              <w:jc w:val="center"/>
              <w:rPr>
                <w:rFonts w:ascii="Garamond" w:eastAsia="Times New Roman" w:hAnsi="Garamond"/>
                <w:b/>
                <w:bCs/>
                <w:color w:val="FFFFFF"/>
                <w:sz w:val="20"/>
                <w:szCs w:val="20"/>
                <w:lang w:val="en-IN" w:eastAsia="en-IN" w:bidi="hi-IN"/>
              </w:rPr>
            </w:pPr>
            <w:r w:rsidRPr="001210D0">
              <w:rPr>
                <w:rFonts w:ascii="Garamond" w:eastAsia="Times New Roman" w:hAnsi="Garamond"/>
                <w:b/>
                <w:bCs/>
                <w:color w:val="FFFFFF"/>
                <w:sz w:val="20"/>
                <w:szCs w:val="20"/>
                <w:lang w:val="en-IN" w:eastAsia="en-IN" w:bidi="hi-IN"/>
              </w:rPr>
              <w:t>Month</w:t>
            </w:r>
          </w:p>
        </w:tc>
        <w:tc>
          <w:tcPr>
            <w:tcW w:w="1624" w:type="pct"/>
            <w:gridSpan w:val="3"/>
            <w:tcBorders>
              <w:top w:val="single" w:sz="8" w:space="0" w:color="auto"/>
              <w:left w:val="nil"/>
              <w:bottom w:val="nil"/>
              <w:right w:val="single" w:sz="8" w:space="0" w:color="000000"/>
            </w:tcBorders>
            <w:shd w:val="clear" w:color="000000" w:fill="2F5496"/>
            <w:vAlign w:val="center"/>
            <w:hideMark/>
          </w:tcPr>
          <w:p w14:paraId="1EC33759" w14:textId="77777777" w:rsidR="00D33F7C" w:rsidRPr="001210D0" w:rsidRDefault="00D33F7C" w:rsidP="00E213CE">
            <w:pPr>
              <w:jc w:val="center"/>
              <w:rPr>
                <w:rFonts w:ascii="Garamond" w:eastAsia="Times New Roman" w:hAnsi="Garamond"/>
                <w:b/>
                <w:bCs/>
                <w:color w:val="FFFFFF"/>
                <w:sz w:val="20"/>
                <w:szCs w:val="20"/>
                <w:lang w:val="en-IN" w:eastAsia="en-IN" w:bidi="hi-IN"/>
              </w:rPr>
            </w:pPr>
            <w:r w:rsidRPr="001210D0">
              <w:rPr>
                <w:rFonts w:ascii="Garamond" w:eastAsia="Times New Roman" w:hAnsi="Garamond"/>
                <w:b/>
                <w:bCs/>
                <w:color w:val="FFFFFF"/>
                <w:sz w:val="20"/>
                <w:szCs w:val="20"/>
                <w:lang w:val="en-IN" w:eastAsia="en-IN" w:bidi="hi-IN"/>
              </w:rPr>
              <w:t>Apr-21</w:t>
            </w:r>
          </w:p>
        </w:tc>
        <w:tc>
          <w:tcPr>
            <w:tcW w:w="1624" w:type="pct"/>
            <w:gridSpan w:val="3"/>
            <w:tcBorders>
              <w:top w:val="single" w:sz="8" w:space="0" w:color="auto"/>
              <w:left w:val="nil"/>
              <w:bottom w:val="nil"/>
              <w:right w:val="single" w:sz="8" w:space="0" w:color="000000"/>
            </w:tcBorders>
            <w:shd w:val="clear" w:color="000000" w:fill="2F5496"/>
            <w:vAlign w:val="center"/>
            <w:hideMark/>
          </w:tcPr>
          <w:p w14:paraId="422F257A" w14:textId="77777777" w:rsidR="00D33F7C" w:rsidRPr="001210D0" w:rsidRDefault="00D33F7C" w:rsidP="00E213CE">
            <w:pPr>
              <w:jc w:val="center"/>
              <w:rPr>
                <w:rFonts w:ascii="Garamond" w:eastAsia="Times New Roman" w:hAnsi="Garamond"/>
                <w:b/>
                <w:bCs/>
                <w:color w:val="FFFFFF"/>
                <w:sz w:val="20"/>
                <w:szCs w:val="20"/>
                <w:lang w:val="en-IN" w:eastAsia="en-IN" w:bidi="hi-IN"/>
              </w:rPr>
            </w:pPr>
            <w:r w:rsidRPr="001210D0">
              <w:rPr>
                <w:rFonts w:ascii="Garamond" w:eastAsia="Times New Roman" w:hAnsi="Garamond"/>
                <w:b/>
                <w:bCs/>
                <w:color w:val="FFFFFF"/>
                <w:sz w:val="20"/>
                <w:szCs w:val="20"/>
                <w:lang w:val="en-IN" w:eastAsia="en-IN" w:bidi="hi-IN"/>
              </w:rPr>
              <w:t>May-21</w:t>
            </w:r>
          </w:p>
        </w:tc>
      </w:tr>
      <w:tr w:rsidR="00D33F7C" w:rsidRPr="001210D0" w14:paraId="636BD507" w14:textId="77777777" w:rsidTr="00E213CE">
        <w:trPr>
          <w:trHeight w:val="300"/>
        </w:trPr>
        <w:tc>
          <w:tcPr>
            <w:tcW w:w="1752" w:type="pct"/>
            <w:tcBorders>
              <w:top w:val="single" w:sz="4" w:space="0" w:color="auto"/>
              <w:left w:val="single" w:sz="4" w:space="0" w:color="auto"/>
              <w:bottom w:val="single" w:sz="4" w:space="0" w:color="auto"/>
              <w:right w:val="single" w:sz="4" w:space="0" w:color="auto"/>
            </w:tcBorders>
            <w:shd w:val="clear" w:color="000000" w:fill="2F5496"/>
            <w:vAlign w:val="center"/>
            <w:hideMark/>
          </w:tcPr>
          <w:p w14:paraId="74A97EBA" w14:textId="77777777" w:rsidR="00D33F7C" w:rsidRPr="001210D0" w:rsidRDefault="00D33F7C" w:rsidP="00E213CE">
            <w:pPr>
              <w:jc w:val="center"/>
              <w:rPr>
                <w:rFonts w:ascii="Garamond" w:eastAsia="Times New Roman" w:hAnsi="Garamond"/>
                <w:b/>
                <w:bCs/>
                <w:color w:val="FFFFFF"/>
                <w:sz w:val="20"/>
                <w:szCs w:val="20"/>
                <w:lang w:val="en-IN" w:eastAsia="en-IN" w:bidi="hi-IN"/>
              </w:rPr>
            </w:pPr>
            <w:r w:rsidRPr="001210D0">
              <w:rPr>
                <w:rFonts w:ascii="Garamond" w:eastAsia="Times New Roman" w:hAnsi="Garamond"/>
                <w:b/>
                <w:bCs/>
                <w:color w:val="FFFFFF"/>
                <w:sz w:val="20"/>
                <w:szCs w:val="20"/>
                <w:lang w:val="en-IN" w:eastAsia="en-IN" w:bidi="hi-IN"/>
              </w:rPr>
              <w:t>Exchange Name</w:t>
            </w:r>
          </w:p>
        </w:tc>
        <w:tc>
          <w:tcPr>
            <w:tcW w:w="541" w:type="pct"/>
            <w:tcBorders>
              <w:top w:val="single" w:sz="4" w:space="0" w:color="auto"/>
              <w:left w:val="nil"/>
              <w:bottom w:val="single" w:sz="4" w:space="0" w:color="auto"/>
              <w:right w:val="single" w:sz="4" w:space="0" w:color="auto"/>
            </w:tcBorders>
            <w:shd w:val="clear" w:color="000000" w:fill="2F5496"/>
            <w:vAlign w:val="center"/>
            <w:hideMark/>
          </w:tcPr>
          <w:p w14:paraId="256FA40D" w14:textId="77777777" w:rsidR="00D33F7C" w:rsidRPr="001210D0" w:rsidRDefault="00D33F7C" w:rsidP="00E213CE">
            <w:pPr>
              <w:jc w:val="center"/>
              <w:rPr>
                <w:rFonts w:ascii="Garamond" w:eastAsia="Times New Roman" w:hAnsi="Garamond"/>
                <w:b/>
                <w:bCs/>
                <w:color w:val="FFFFFF"/>
                <w:sz w:val="20"/>
                <w:szCs w:val="20"/>
                <w:lang w:val="en-IN" w:eastAsia="en-IN" w:bidi="hi-IN"/>
              </w:rPr>
            </w:pPr>
            <w:r w:rsidRPr="001210D0">
              <w:rPr>
                <w:rFonts w:ascii="Garamond" w:eastAsia="Times New Roman" w:hAnsi="Garamond"/>
                <w:b/>
                <w:bCs/>
                <w:color w:val="FFFFFF"/>
                <w:sz w:val="20"/>
                <w:szCs w:val="20"/>
                <w:lang w:val="en-IN" w:eastAsia="en-IN" w:bidi="hi-IN"/>
              </w:rPr>
              <w:t>Bond</w:t>
            </w:r>
          </w:p>
        </w:tc>
        <w:tc>
          <w:tcPr>
            <w:tcW w:w="541" w:type="pct"/>
            <w:tcBorders>
              <w:top w:val="single" w:sz="4" w:space="0" w:color="auto"/>
              <w:left w:val="nil"/>
              <w:bottom w:val="single" w:sz="4" w:space="0" w:color="auto"/>
              <w:right w:val="single" w:sz="4" w:space="0" w:color="auto"/>
            </w:tcBorders>
            <w:shd w:val="clear" w:color="000000" w:fill="2F5496"/>
            <w:vAlign w:val="center"/>
            <w:hideMark/>
          </w:tcPr>
          <w:p w14:paraId="46F55193" w14:textId="77777777" w:rsidR="00D33F7C" w:rsidRPr="001210D0" w:rsidRDefault="00D33F7C" w:rsidP="00E213CE">
            <w:pPr>
              <w:jc w:val="center"/>
              <w:rPr>
                <w:rFonts w:ascii="Garamond" w:eastAsia="Times New Roman" w:hAnsi="Garamond"/>
                <w:b/>
                <w:bCs/>
                <w:color w:val="FFFFFF"/>
                <w:sz w:val="20"/>
                <w:szCs w:val="20"/>
                <w:lang w:val="en-IN" w:eastAsia="en-IN" w:bidi="hi-IN"/>
              </w:rPr>
            </w:pPr>
            <w:r w:rsidRPr="001210D0">
              <w:rPr>
                <w:rFonts w:ascii="Garamond" w:eastAsia="Times New Roman" w:hAnsi="Garamond"/>
                <w:b/>
                <w:bCs/>
                <w:color w:val="FFFFFF"/>
                <w:sz w:val="20"/>
                <w:szCs w:val="20"/>
                <w:lang w:val="en-IN" w:eastAsia="en-IN" w:bidi="hi-IN"/>
              </w:rPr>
              <w:t>Equity</w:t>
            </w:r>
          </w:p>
        </w:tc>
        <w:tc>
          <w:tcPr>
            <w:tcW w:w="542" w:type="pct"/>
            <w:tcBorders>
              <w:top w:val="single" w:sz="4" w:space="0" w:color="auto"/>
              <w:left w:val="nil"/>
              <w:bottom w:val="single" w:sz="4" w:space="0" w:color="auto"/>
              <w:right w:val="single" w:sz="4" w:space="0" w:color="auto"/>
            </w:tcBorders>
            <w:shd w:val="clear" w:color="000000" w:fill="2F5496"/>
            <w:vAlign w:val="center"/>
            <w:hideMark/>
          </w:tcPr>
          <w:p w14:paraId="4C475FD9" w14:textId="77777777" w:rsidR="00D33F7C" w:rsidRPr="001210D0" w:rsidRDefault="00D33F7C" w:rsidP="00E213CE">
            <w:pPr>
              <w:jc w:val="center"/>
              <w:rPr>
                <w:rFonts w:ascii="Garamond" w:eastAsia="Times New Roman" w:hAnsi="Garamond"/>
                <w:b/>
                <w:bCs/>
                <w:color w:val="FFFFFF"/>
                <w:sz w:val="20"/>
                <w:szCs w:val="20"/>
                <w:lang w:val="en-IN" w:eastAsia="en-IN" w:bidi="hi-IN"/>
              </w:rPr>
            </w:pPr>
            <w:r w:rsidRPr="001210D0">
              <w:rPr>
                <w:rFonts w:ascii="Garamond" w:eastAsia="Times New Roman" w:hAnsi="Garamond"/>
                <w:b/>
                <w:bCs/>
                <w:color w:val="FFFFFF"/>
                <w:sz w:val="20"/>
                <w:szCs w:val="20"/>
                <w:lang w:val="en-IN" w:eastAsia="en-IN" w:bidi="hi-IN"/>
              </w:rPr>
              <w:t>Total</w:t>
            </w:r>
          </w:p>
        </w:tc>
        <w:tc>
          <w:tcPr>
            <w:tcW w:w="541" w:type="pct"/>
            <w:tcBorders>
              <w:top w:val="single" w:sz="4" w:space="0" w:color="auto"/>
              <w:left w:val="nil"/>
              <w:bottom w:val="single" w:sz="4" w:space="0" w:color="auto"/>
              <w:right w:val="single" w:sz="4" w:space="0" w:color="auto"/>
            </w:tcBorders>
            <w:shd w:val="clear" w:color="000000" w:fill="2F5496"/>
            <w:vAlign w:val="center"/>
            <w:hideMark/>
          </w:tcPr>
          <w:p w14:paraId="6934F3CD" w14:textId="77777777" w:rsidR="00D33F7C" w:rsidRPr="001210D0" w:rsidRDefault="00D33F7C" w:rsidP="00E213CE">
            <w:pPr>
              <w:jc w:val="center"/>
              <w:rPr>
                <w:rFonts w:ascii="Garamond" w:eastAsia="Times New Roman" w:hAnsi="Garamond"/>
                <w:b/>
                <w:bCs/>
                <w:color w:val="FFFFFF"/>
                <w:sz w:val="20"/>
                <w:szCs w:val="20"/>
                <w:lang w:val="en-IN" w:eastAsia="en-IN" w:bidi="hi-IN"/>
              </w:rPr>
            </w:pPr>
            <w:r w:rsidRPr="001210D0">
              <w:rPr>
                <w:rFonts w:ascii="Garamond" w:eastAsia="Times New Roman" w:hAnsi="Garamond"/>
                <w:b/>
                <w:bCs/>
                <w:color w:val="FFFFFF"/>
                <w:sz w:val="20"/>
                <w:szCs w:val="20"/>
                <w:lang w:val="en-IN" w:eastAsia="en-IN" w:bidi="hi-IN"/>
              </w:rPr>
              <w:t>Bond</w:t>
            </w:r>
          </w:p>
        </w:tc>
        <w:tc>
          <w:tcPr>
            <w:tcW w:w="541" w:type="pct"/>
            <w:tcBorders>
              <w:top w:val="single" w:sz="4" w:space="0" w:color="auto"/>
              <w:left w:val="nil"/>
              <w:bottom w:val="single" w:sz="4" w:space="0" w:color="auto"/>
              <w:right w:val="single" w:sz="4" w:space="0" w:color="auto"/>
            </w:tcBorders>
            <w:shd w:val="clear" w:color="000000" w:fill="2F5496"/>
            <w:vAlign w:val="center"/>
            <w:hideMark/>
          </w:tcPr>
          <w:p w14:paraId="2F79F5DC" w14:textId="77777777" w:rsidR="00D33F7C" w:rsidRPr="001210D0" w:rsidRDefault="00D33F7C" w:rsidP="00E213CE">
            <w:pPr>
              <w:jc w:val="center"/>
              <w:rPr>
                <w:rFonts w:ascii="Garamond" w:eastAsia="Times New Roman" w:hAnsi="Garamond"/>
                <w:b/>
                <w:bCs/>
                <w:color w:val="FFFFFF"/>
                <w:sz w:val="20"/>
                <w:szCs w:val="20"/>
                <w:lang w:val="en-IN" w:eastAsia="en-IN" w:bidi="hi-IN"/>
              </w:rPr>
            </w:pPr>
            <w:r w:rsidRPr="001210D0">
              <w:rPr>
                <w:rFonts w:ascii="Garamond" w:eastAsia="Times New Roman" w:hAnsi="Garamond"/>
                <w:b/>
                <w:bCs/>
                <w:color w:val="FFFFFF"/>
                <w:sz w:val="20"/>
                <w:szCs w:val="20"/>
                <w:lang w:val="en-IN" w:eastAsia="en-IN" w:bidi="hi-IN"/>
              </w:rPr>
              <w:t>Equity</w:t>
            </w:r>
          </w:p>
        </w:tc>
        <w:tc>
          <w:tcPr>
            <w:tcW w:w="542" w:type="pct"/>
            <w:tcBorders>
              <w:top w:val="single" w:sz="4" w:space="0" w:color="auto"/>
              <w:left w:val="nil"/>
              <w:bottom w:val="single" w:sz="4" w:space="0" w:color="auto"/>
              <w:right w:val="single" w:sz="4" w:space="0" w:color="auto"/>
            </w:tcBorders>
            <w:shd w:val="clear" w:color="000000" w:fill="2F5496"/>
            <w:vAlign w:val="center"/>
            <w:hideMark/>
          </w:tcPr>
          <w:p w14:paraId="74D9D275" w14:textId="77777777" w:rsidR="00D33F7C" w:rsidRPr="001210D0" w:rsidRDefault="00D33F7C" w:rsidP="00E213CE">
            <w:pPr>
              <w:jc w:val="center"/>
              <w:rPr>
                <w:rFonts w:ascii="Garamond" w:eastAsia="Times New Roman" w:hAnsi="Garamond"/>
                <w:b/>
                <w:bCs/>
                <w:color w:val="FFFFFF"/>
                <w:sz w:val="20"/>
                <w:szCs w:val="20"/>
                <w:lang w:val="en-IN" w:eastAsia="en-IN" w:bidi="hi-IN"/>
              </w:rPr>
            </w:pPr>
            <w:r w:rsidRPr="001210D0">
              <w:rPr>
                <w:rFonts w:ascii="Garamond" w:eastAsia="Times New Roman" w:hAnsi="Garamond"/>
                <w:b/>
                <w:bCs/>
                <w:color w:val="FFFFFF"/>
                <w:sz w:val="20"/>
                <w:szCs w:val="20"/>
                <w:lang w:val="en-IN" w:eastAsia="en-IN" w:bidi="hi-IN"/>
              </w:rPr>
              <w:t>Total</w:t>
            </w:r>
          </w:p>
        </w:tc>
      </w:tr>
      <w:tr w:rsidR="00D33F7C" w:rsidRPr="001210D0" w14:paraId="23EF2DD6" w14:textId="77777777" w:rsidTr="00E213CE">
        <w:trPr>
          <w:trHeight w:val="300"/>
        </w:trPr>
        <w:tc>
          <w:tcPr>
            <w:tcW w:w="1752" w:type="pct"/>
            <w:tcBorders>
              <w:top w:val="nil"/>
              <w:left w:val="single" w:sz="4" w:space="0" w:color="auto"/>
              <w:bottom w:val="single" w:sz="4" w:space="0" w:color="auto"/>
              <w:right w:val="single" w:sz="4" w:space="0" w:color="auto"/>
            </w:tcBorders>
            <w:shd w:val="clear" w:color="auto" w:fill="auto"/>
            <w:vAlign w:val="center"/>
            <w:hideMark/>
          </w:tcPr>
          <w:p w14:paraId="3AD85791" w14:textId="77777777" w:rsidR="00D33F7C" w:rsidRPr="001210D0" w:rsidRDefault="00D33F7C" w:rsidP="00E213CE">
            <w:pPr>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NYSE</w:t>
            </w:r>
          </w:p>
        </w:tc>
        <w:tc>
          <w:tcPr>
            <w:tcW w:w="541" w:type="pct"/>
            <w:tcBorders>
              <w:top w:val="nil"/>
              <w:left w:val="nil"/>
              <w:bottom w:val="single" w:sz="4" w:space="0" w:color="auto"/>
              <w:right w:val="single" w:sz="4" w:space="0" w:color="auto"/>
            </w:tcBorders>
            <w:shd w:val="clear" w:color="auto" w:fill="auto"/>
            <w:vAlign w:val="center"/>
            <w:hideMark/>
          </w:tcPr>
          <w:p w14:paraId="18A43057"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NA</w:t>
            </w:r>
          </w:p>
        </w:tc>
        <w:tc>
          <w:tcPr>
            <w:tcW w:w="541" w:type="pct"/>
            <w:tcBorders>
              <w:top w:val="nil"/>
              <w:left w:val="nil"/>
              <w:bottom w:val="single" w:sz="4" w:space="0" w:color="auto"/>
              <w:right w:val="single" w:sz="4" w:space="0" w:color="auto"/>
            </w:tcBorders>
            <w:shd w:val="clear" w:color="auto" w:fill="auto"/>
            <w:vAlign w:val="center"/>
            <w:hideMark/>
          </w:tcPr>
          <w:p w14:paraId="6DDF4B33"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3,840</w:t>
            </w:r>
          </w:p>
        </w:tc>
        <w:tc>
          <w:tcPr>
            <w:tcW w:w="542" w:type="pct"/>
            <w:tcBorders>
              <w:top w:val="nil"/>
              <w:left w:val="nil"/>
              <w:bottom w:val="single" w:sz="4" w:space="0" w:color="auto"/>
              <w:right w:val="single" w:sz="4" w:space="0" w:color="auto"/>
            </w:tcBorders>
            <w:shd w:val="clear" w:color="auto" w:fill="auto"/>
            <w:vAlign w:val="center"/>
            <w:hideMark/>
          </w:tcPr>
          <w:p w14:paraId="2A54DC50"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3,840</w:t>
            </w:r>
          </w:p>
        </w:tc>
        <w:tc>
          <w:tcPr>
            <w:tcW w:w="541" w:type="pct"/>
            <w:tcBorders>
              <w:top w:val="nil"/>
              <w:left w:val="nil"/>
              <w:bottom w:val="single" w:sz="4" w:space="0" w:color="auto"/>
              <w:right w:val="single" w:sz="4" w:space="0" w:color="auto"/>
            </w:tcBorders>
            <w:shd w:val="clear" w:color="auto" w:fill="auto"/>
            <w:vAlign w:val="center"/>
            <w:hideMark/>
          </w:tcPr>
          <w:p w14:paraId="1494BB69"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NA</w:t>
            </w:r>
          </w:p>
        </w:tc>
        <w:tc>
          <w:tcPr>
            <w:tcW w:w="541" w:type="pct"/>
            <w:tcBorders>
              <w:top w:val="nil"/>
              <w:left w:val="nil"/>
              <w:bottom w:val="single" w:sz="4" w:space="0" w:color="auto"/>
              <w:right w:val="single" w:sz="4" w:space="0" w:color="auto"/>
            </w:tcBorders>
            <w:shd w:val="clear" w:color="auto" w:fill="auto"/>
            <w:vAlign w:val="center"/>
            <w:hideMark/>
          </w:tcPr>
          <w:p w14:paraId="28E67686"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0</w:t>
            </w:r>
          </w:p>
        </w:tc>
        <w:tc>
          <w:tcPr>
            <w:tcW w:w="542" w:type="pct"/>
            <w:tcBorders>
              <w:top w:val="nil"/>
              <w:left w:val="nil"/>
              <w:bottom w:val="single" w:sz="4" w:space="0" w:color="auto"/>
              <w:right w:val="single" w:sz="4" w:space="0" w:color="auto"/>
            </w:tcBorders>
            <w:shd w:val="clear" w:color="auto" w:fill="auto"/>
            <w:vAlign w:val="center"/>
            <w:hideMark/>
          </w:tcPr>
          <w:p w14:paraId="2C5DC22E"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0</w:t>
            </w:r>
          </w:p>
        </w:tc>
      </w:tr>
      <w:tr w:rsidR="00D33F7C" w:rsidRPr="001210D0" w14:paraId="73D91E42" w14:textId="77777777" w:rsidTr="00E213CE">
        <w:trPr>
          <w:trHeight w:val="300"/>
        </w:trPr>
        <w:tc>
          <w:tcPr>
            <w:tcW w:w="1752" w:type="pct"/>
            <w:tcBorders>
              <w:top w:val="nil"/>
              <w:left w:val="single" w:sz="4" w:space="0" w:color="auto"/>
              <w:bottom w:val="single" w:sz="4" w:space="0" w:color="auto"/>
              <w:right w:val="single" w:sz="4" w:space="0" w:color="auto"/>
            </w:tcBorders>
            <w:shd w:val="clear" w:color="auto" w:fill="auto"/>
            <w:vAlign w:val="center"/>
            <w:hideMark/>
          </w:tcPr>
          <w:p w14:paraId="29BE3D64" w14:textId="77777777" w:rsidR="00D33F7C" w:rsidRPr="001210D0" w:rsidRDefault="00D33F7C" w:rsidP="00E213CE">
            <w:pPr>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ASX Australian Securities Exchange</w:t>
            </w:r>
          </w:p>
        </w:tc>
        <w:tc>
          <w:tcPr>
            <w:tcW w:w="541" w:type="pct"/>
            <w:tcBorders>
              <w:top w:val="nil"/>
              <w:left w:val="nil"/>
              <w:bottom w:val="single" w:sz="4" w:space="0" w:color="auto"/>
              <w:right w:val="single" w:sz="4" w:space="0" w:color="auto"/>
            </w:tcBorders>
            <w:shd w:val="clear" w:color="auto" w:fill="auto"/>
            <w:vAlign w:val="center"/>
            <w:hideMark/>
          </w:tcPr>
          <w:p w14:paraId="0245E638"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NA</w:t>
            </w:r>
          </w:p>
        </w:tc>
        <w:tc>
          <w:tcPr>
            <w:tcW w:w="541" w:type="pct"/>
            <w:tcBorders>
              <w:top w:val="nil"/>
              <w:left w:val="nil"/>
              <w:bottom w:val="single" w:sz="4" w:space="0" w:color="auto"/>
              <w:right w:val="single" w:sz="4" w:space="0" w:color="auto"/>
            </w:tcBorders>
            <w:shd w:val="clear" w:color="auto" w:fill="auto"/>
            <w:vAlign w:val="center"/>
            <w:hideMark/>
          </w:tcPr>
          <w:p w14:paraId="4E9DB15C"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4,681</w:t>
            </w:r>
          </w:p>
        </w:tc>
        <w:tc>
          <w:tcPr>
            <w:tcW w:w="542" w:type="pct"/>
            <w:tcBorders>
              <w:top w:val="nil"/>
              <w:left w:val="nil"/>
              <w:bottom w:val="single" w:sz="4" w:space="0" w:color="auto"/>
              <w:right w:val="single" w:sz="4" w:space="0" w:color="auto"/>
            </w:tcBorders>
            <w:shd w:val="clear" w:color="auto" w:fill="auto"/>
            <w:vAlign w:val="center"/>
            <w:hideMark/>
          </w:tcPr>
          <w:p w14:paraId="12A9E70D"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4,681</w:t>
            </w:r>
          </w:p>
        </w:tc>
        <w:tc>
          <w:tcPr>
            <w:tcW w:w="541" w:type="pct"/>
            <w:tcBorders>
              <w:top w:val="nil"/>
              <w:left w:val="nil"/>
              <w:bottom w:val="single" w:sz="4" w:space="0" w:color="auto"/>
              <w:right w:val="single" w:sz="4" w:space="0" w:color="auto"/>
            </w:tcBorders>
            <w:shd w:val="clear" w:color="auto" w:fill="auto"/>
            <w:vAlign w:val="center"/>
            <w:hideMark/>
          </w:tcPr>
          <w:p w14:paraId="1B1192ED"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NA</w:t>
            </w:r>
          </w:p>
        </w:tc>
        <w:tc>
          <w:tcPr>
            <w:tcW w:w="541" w:type="pct"/>
            <w:tcBorders>
              <w:top w:val="nil"/>
              <w:left w:val="nil"/>
              <w:bottom w:val="single" w:sz="4" w:space="0" w:color="auto"/>
              <w:right w:val="single" w:sz="4" w:space="0" w:color="auto"/>
            </w:tcBorders>
            <w:shd w:val="clear" w:color="auto" w:fill="auto"/>
            <w:vAlign w:val="center"/>
            <w:hideMark/>
          </w:tcPr>
          <w:p w14:paraId="0C3E403A"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3,715</w:t>
            </w:r>
          </w:p>
        </w:tc>
        <w:tc>
          <w:tcPr>
            <w:tcW w:w="542" w:type="pct"/>
            <w:tcBorders>
              <w:top w:val="nil"/>
              <w:left w:val="nil"/>
              <w:bottom w:val="single" w:sz="4" w:space="0" w:color="auto"/>
              <w:right w:val="single" w:sz="4" w:space="0" w:color="auto"/>
            </w:tcBorders>
            <w:shd w:val="clear" w:color="auto" w:fill="auto"/>
            <w:vAlign w:val="center"/>
            <w:hideMark/>
          </w:tcPr>
          <w:p w14:paraId="4B32B867"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3,715</w:t>
            </w:r>
          </w:p>
        </w:tc>
      </w:tr>
      <w:tr w:rsidR="00D33F7C" w:rsidRPr="001210D0" w14:paraId="0247119B" w14:textId="77777777" w:rsidTr="00E213CE">
        <w:trPr>
          <w:trHeight w:val="300"/>
        </w:trPr>
        <w:tc>
          <w:tcPr>
            <w:tcW w:w="1752" w:type="pct"/>
            <w:tcBorders>
              <w:top w:val="nil"/>
              <w:left w:val="single" w:sz="4" w:space="0" w:color="auto"/>
              <w:bottom w:val="single" w:sz="4" w:space="0" w:color="auto"/>
              <w:right w:val="single" w:sz="4" w:space="0" w:color="auto"/>
            </w:tcBorders>
            <w:shd w:val="clear" w:color="auto" w:fill="auto"/>
            <w:vAlign w:val="center"/>
            <w:hideMark/>
          </w:tcPr>
          <w:p w14:paraId="6B6AB7D2" w14:textId="77777777" w:rsidR="00D33F7C" w:rsidRPr="001210D0" w:rsidRDefault="00D33F7C" w:rsidP="00E213CE">
            <w:pPr>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Hong Kong Exchanges and Clearing</w:t>
            </w:r>
          </w:p>
        </w:tc>
        <w:tc>
          <w:tcPr>
            <w:tcW w:w="541" w:type="pct"/>
            <w:tcBorders>
              <w:top w:val="nil"/>
              <w:left w:val="nil"/>
              <w:bottom w:val="single" w:sz="4" w:space="0" w:color="auto"/>
              <w:right w:val="single" w:sz="4" w:space="0" w:color="auto"/>
            </w:tcBorders>
            <w:shd w:val="clear" w:color="auto" w:fill="auto"/>
            <w:vAlign w:val="center"/>
            <w:hideMark/>
          </w:tcPr>
          <w:p w14:paraId="781AD837"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24,892</w:t>
            </w:r>
          </w:p>
        </w:tc>
        <w:tc>
          <w:tcPr>
            <w:tcW w:w="541" w:type="pct"/>
            <w:tcBorders>
              <w:top w:val="nil"/>
              <w:left w:val="nil"/>
              <w:bottom w:val="single" w:sz="4" w:space="0" w:color="auto"/>
              <w:right w:val="single" w:sz="4" w:space="0" w:color="auto"/>
            </w:tcBorders>
            <w:shd w:val="clear" w:color="auto" w:fill="auto"/>
            <w:vAlign w:val="center"/>
            <w:hideMark/>
          </w:tcPr>
          <w:p w14:paraId="38E5A998"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12,614</w:t>
            </w:r>
          </w:p>
        </w:tc>
        <w:tc>
          <w:tcPr>
            <w:tcW w:w="542" w:type="pct"/>
            <w:tcBorders>
              <w:top w:val="nil"/>
              <w:left w:val="nil"/>
              <w:bottom w:val="single" w:sz="4" w:space="0" w:color="auto"/>
              <w:right w:val="single" w:sz="4" w:space="0" w:color="auto"/>
            </w:tcBorders>
            <w:shd w:val="clear" w:color="auto" w:fill="auto"/>
            <w:vAlign w:val="center"/>
            <w:hideMark/>
          </w:tcPr>
          <w:p w14:paraId="5DA8108C"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37,506</w:t>
            </w:r>
          </w:p>
        </w:tc>
        <w:tc>
          <w:tcPr>
            <w:tcW w:w="541" w:type="pct"/>
            <w:tcBorders>
              <w:top w:val="nil"/>
              <w:left w:val="nil"/>
              <w:bottom w:val="single" w:sz="4" w:space="0" w:color="auto"/>
              <w:right w:val="single" w:sz="4" w:space="0" w:color="auto"/>
            </w:tcBorders>
            <w:shd w:val="clear" w:color="auto" w:fill="auto"/>
            <w:vAlign w:val="center"/>
            <w:hideMark/>
          </w:tcPr>
          <w:p w14:paraId="138FAD05"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7,370</w:t>
            </w:r>
          </w:p>
        </w:tc>
        <w:tc>
          <w:tcPr>
            <w:tcW w:w="541" w:type="pct"/>
            <w:tcBorders>
              <w:top w:val="nil"/>
              <w:left w:val="nil"/>
              <w:bottom w:val="single" w:sz="4" w:space="0" w:color="auto"/>
              <w:right w:val="single" w:sz="4" w:space="0" w:color="auto"/>
            </w:tcBorders>
            <w:shd w:val="clear" w:color="auto" w:fill="auto"/>
            <w:vAlign w:val="center"/>
            <w:hideMark/>
          </w:tcPr>
          <w:p w14:paraId="09ED4A59"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7,555</w:t>
            </w:r>
          </w:p>
        </w:tc>
        <w:tc>
          <w:tcPr>
            <w:tcW w:w="542" w:type="pct"/>
            <w:tcBorders>
              <w:top w:val="nil"/>
              <w:left w:val="nil"/>
              <w:bottom w:val="single" w:sz="4" w:space="0" w:color="auto"/>
              <w:right w:val="single" w:sz="4" w:space="0" w:color="auto"/>
            </w:tcBorders>
            <w:shd w:val="clear" w:color="auto" w:fill="auto"/>
            <w:vAlign w:val="center"/>
            <w:hideMark/>
          </w:tcPr>
          <w:p w14:paraId="6F49EE47"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14,925</w:t>
            </w:r>
          </w:p>
        </w:tc>
      </w:tr>
      <w:tr w:rsidR="00D33F7C" w:rsidRPr="001210D0" w14:paraId="02CBE88D" w14:textId="77777777" w:rsidTr="00E213CE">
        <w:trPr>
          <w:trHeight w:val="300"/>
        </w:trPr>
        <w:tc>
          <w:tcPr>
            <w:tcW w:w="1752" w:type="pct"/>
            <w:tcBorders>
              <w:top w:val="nil"/>
              <w:left w:val="single" w:sz="4" w:space="0" w:color="auto"/>
              <w:bottom w:val="single" w:sz="4" w:space="0" w:color="auto"/>
              <w:right w:val="single" w:sz="4" w:space="0" w:color="auto"/>
            </w:tcBorders>
            <w:shd w:val="clear" w:color="auto" w:fill="auto"/>
            <w:vAlign w:val="center"/>
            <w:hideMark/>
          </w:tcPr>
          <w:p w14:paraId="7B7B2BDD" w14:textId="77777777" w:rsidR="00D33F7C" w:rsidRPr="001210D0" w:rsidRDefault="00D33F7C" w:rsidP="00E213CE">
            <w:pPr>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Japan Exchange Group</w:t>
            </w:r>
          </w:p>
        </w:tc>
        <w:tc>
          <w:tcPr>
            <w:tcW w:w="541" w:type="pct"/>
            <w:tcBorders>
              <w:top w:val="nil"/>
              <w:left w:val="nil"/>
              <w:bottom w:val="single" w:sz="4" w:space="0" w:color="auto"/>
              <w:right w:val="single" w:sz="4" w:space="0" w:color="auto"/>
            </w:tcBorders>
            <w:shd w:val="clear" w:color="auto" w:fill="auto"/>
            <w:vAlign w:val="center"/>
            <w:hideMark/>
          </w:tcPr>
          <w:p w14:paraId="3F4EC535"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8,428</w:t>
            </w:r>
          </w:p>
        </w:tc>
        <w:tc>
          <w:tcPr>
            <w:tcW w:w="541" w:type="pct"/>
            <w:tcBorders>
              <w:top w:val="nil"/>
              <w:left w:val="nil"/>
              <w:bottom w:val="single" w:sz="4" w:space="0" w:color="auto"/>
              <w:right w:val="single" w:sz="4" w:space="0" w:color="auto"/>
            </w:tcBorders>
            <w:shd w:val="clear" w:color="auto" w:fill="auto"/>
            <w:vAlign w:val="center"/>
            <w:hideMark/>
          </w:tcPr>
          <w:p w14:paraId="4BF05FD7"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1,303</w:t>
            </w:r>
          </w:p>
        </w:tc>
        <w:tc>
          <w:tcPr>
            <w:tcW w:w="542" w:type="pct"/>
            <w:tcBorders>
              <w:top w:val="nil"/>
              <w:left w:val="nil"/>
              <w:bottom w:val="single" w:sz="4" w:space="0" w:color="auto"/>
              <w:right w:val="single" w:sz="4" w:space="0" w:color="auto"/>
            </w:tcBorders>
            <w:shd w:val="clear" w:color="auto" w:fill="auto"/>
            <w:vAlign w:val="center"/>
            <w:hideMark/>
          </w:tcPr>
          <w:p w14:paraId="5F998FEC"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9,731</w:t>
            </w:r>
          </w:p>
        </w:tc>
        <w:tc>
          <w:tcPr>
            <w:tcW w:w="541" w:type="pct"/>
            <w:tcBorders>
              <w:top w:val="nil"/>
              <w:left w:val="nil"/>
              <w:bottom w:val="single" w:sz="4" w:space="0" w:color="auto"/>
              <w:right w:val="single" w:sz="4" w:space="0" w:color="auto"/>
            </w:tcBorders>
            <w:shd w:val="clear" w:color="auto" w:fill="auto"/>
            <w:vAlign w:val="center"/>
            <w:hideMark/>
          </w:tcPr>
          <w:p w14:paraId="21334241"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2,201</w:t>
            </w:r>
          </w:p>
        </w:tc>
        <w:tc>
          <w:tcPr>
            <w:tcW w:w="541" w:type="pct"/>
            <w:tcBorders>
              <w:top w:val="nil"/>
              <w:left w:val="nil"/>
              <w:bottom w:val="single" w:sz="4" w:space="0" w:color="auto"/>
              <w:right w:val="single" w:sz="4" w:space="0" w:color="auto"/>
            </w:tcBorders>
            <w:shd w:val="clear" w:color="auto" w:fill="auto"/>
            <w:vAlign w:val="center"/>
            <w:hideMark/>
          </w:tcPr>
          <w:p w14:paraId="46817235"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806</w:t>
            </w:r>
          </w:p>
        </w:tc>
        <w:tc>
          <w:tcPr>
            <w:tcW w:w="542" w:type="pct"/>
            <w:tcBorders>
              <w:top w:val="nil"/>
              <w:left w:val="nil"/>
              <w:bottom w:val="single" w:sz="4" w:space="0" w:color="auto"/>
              <w:right w:val="single" w:sz="4" w:space="0" w:color="auto"/>
            </w:tcBorders>
            <w:shd w:val="clear" w:color="auto" w:fill="auto"/>
            <w:vAlign w:val="center"/>
            <w:hideMark/>
          </w:tcPr>
          <w:p w14:paraId="6F0736BD"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3,007</w:t>
            </w:r>
          </w:p>
        </w:tc>
      </w:tr>
      <w:tr w:rsidR="00D33F7C" w:rsidRPr="001210D0" w14:paraId="05B75023" w14:textId="77777777" w:rsidTr="00E213CE">
        <w:trPr>
          <w:trHeight w:val="300"/>
        </w:trPr>
        <w:tc>
          <w:tcPr>
            <w:tcW w:w="17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A50E4F" w14:textId="77777777" w:rsidR="00D33F7C" w:rsidRPr="001210D0" w:rsidRDefault="00D33F7C" w:rsidP="00E213CE">
            <w:pPr>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Korea Exchange</w:t>
            </w:r>
          </w:p>
        </w:tc>
        <w:tc>
          <w:tcPr>
            <w:tcW w:w="541" w:type="pct"/>
            <w:tcBorders>
              <w:top w:val="nil"/>
              <w:left w:val="nil"/>
              <w:bottom w:val="single" w:sz="4" w:space="0" w:color="auto"/>
              <w:right w:val="single" w:sz="4" w:space="0" w:color="auto"/>
            </w:tcBorders>
            <w:shd w:val="clear" w:color="auto" w:fill="auto"/>
            <w:vAlign w:val="center"/>
            <w:hideMark/>
          </w:tcPr>
          <w:p w14:paraId="4E22E988"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68,913</w:t>
            </w:r>
          </w:p>
        </w:tc>
        <w:tc>
          <w:tcPr>
            <w:tcW w:w="541" w:type="pct"/>
            <w:tcBorders>
              <w:top w:val="nil"/>
              <w:left w:val="nil"/>
              <w:bottom w:val="single" w:sz="4" w:space="0" w:color="auto"/>
              <w:right w:val="single" w:sz="4" w:space="0" w:color="auto"/>
            </w:tcBorders>
            <w:shd w:val="clear" w:color="auto" w:fill="auto"/>
            <w:vAlign w:val="center"/>
            <w:hideMark/>
          </w:tcPr>
          <w:p w14:paraId="2C65E86A"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113</w:t>
            </w:r>
          </w:p>
        </w:tc>
        <w:tc>
          <w:tcPr>
            <w:tcW w:w="542" w:type="pct"/>
            <w:tcBorders>
              <w:top w:val="nil"/>
              <w:left w:val="nil"/>
              <w:bottom w:val="single" w:sz="4" w:space="0" w:color="auto"/>
              <w:right w:val="single" w:sz="4" w:space="0" w:color="auto"/>
            </w:tcBorders>
            <w:shd w:val="clear" w:color="auto" w:fill="auto"/>
            <w:vAlign w:val="center"/>
            <w:hideMark/>
          </w:tcPr>
          <w:p w14:paraId="5C91F476"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69,026</w:t>
            </w:r>
          </w:p>
        </w:tc>
        <w:tc>
          <w:tcPr>
            <w:tcW w:w="541" w:type="pct"/>
            <w:tcBorders>
              <w:top w:val="nil"/>
              <w:left w:val="nil"/>
              <w:bottom w:val="single" w:sz="4" w:space="0" w:color="auto"/>
              <w:right w:val="single" w:sz="4" w:space="0" w:color="auto"/>
            </w:tcBorders>
            <w:shd w:val="clear" w:color="auto" w:fill="auto"/>
            <w:vAlign w:val="center"/>
            <w:hideMark/>
          </w:tcPr>
          <w:p w14:paraId="665C376B"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58,461</w:t>
            </w:r>
          </w:p>
        </w:tc>
        <w:tc>
          <w:tcPr>
            <w:tcW w:w="541" w:type="pct"/>
            <w:tcBorders>
              <w:top w:val="nil"/>
              <w:left w:val="nil"/>
              <w:bottom w:val="single" w:sz="4" w:space="0" w:color="auto"/>
              <w:right w:val="single" w:sz="4" w:space="0" w:color="auto"/>
            </w:tcBorders>
            <w:shd w:val="clear" w:color="auto" w:fill="auto"/>
            <w:vAlign w:val="center"/>
            <w:hideMark/>
          </w:tcPr>
          <w:p w14:paraId="7AC6FAEE"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1,028</w:t>
            </w:r>
          </w:p>
        </w:tc>
        <w:tc>
          <w:tcPr>
            <w:tcW w:w="542" w:type="pct"/>
            <w:tcBorders>
              <w:top w:val="nil"/>
              <w:left w:val="nil"/>
              <w:bottom w:val="single" w:sz="4" w:space="0" w:color="auto"/>
              <w:right w:val="single" w:sz="4" w:space="0" w:color="auto"/>
            </w:tcBorders>
            <w:shd w:val="clear" w:color="auto" w:fill="auto"/>
            <w:vAlign w:val="center"/>
            <w:hideMark/>
          </w:tcPr>
          <w:p w14:paraId="3E956E5A"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59,489</w:t>
            </w:r>
          </w:p>
        </w:tc>
      </w:tr>
      <w:tr w:rsidR="00D33F7C" w:rsidRPr="001210D0" w14:paraId="4F7E68A9" w14:textId="77777777" w:rsidTr="00E213CE">
        <w:trPr>
          <w:trHeight w:val="300"/>
        </w:trPr>
        <w:tc>
          <w:tcPr>
            <w:tcW w:w="1752" w:type="pct"/>
            <w:tcBorders>
              <w:top w:val="nil"/>
              <w:left w:val="single" w:sz="4" w:space="0" w:color="auto"/>
              <w:bottom w:val="single" w:sz="4" w:space="0" w:color="auto"/>
              <w:right w:val="single" w:sz="4" w:space="0" w:color="auto"/>
            </w:tcBorders>
            <w:shd w:val="clear" w:color="auto" w:fill="auto"/>
            <w:vAlign w:val="center"/>
            <w:hideMark/>
          </w:tcPr>
          <w:p w14:paraId="6489EF3B" w14:textId="77777777" w:rsidR="00D33F7C" w:rsidRPr="001210D0" w:rsidRDefault="00D33F7C" w:rsidP="00E213CE">
            <w:pPr>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National Stock Exchange of India</w:t>
            </w:r>
          </w:p>
        </w:tc>
        <w:tc>
          <w:tcPr>
            <w:tcW w:w="541" w:type="pct"/>
            <w:tcBorders>
              <w:top w:val="nil"/>
              <w:left w:val="nil"/>
              <w:bottom w:val="single" w:sz="4" w:space="0" w:color="auto"/>
              <w:right w:val="single" w:sz="4" w:space="0" w:color="auto"/>
            </w:tcBorders>
            <w:shd w:val="clear" w:color="auto" w:fill="auto"/>
            <w:vAlign w:val="center"/>
            <w:hideMark/>
          </w:tcPr>
          <w:p w14:paraId="1AABA432"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35,374</w:t>
            </w:r>
          </w:p>
        </w:tc>
        <w:tc>
          <w:tcPr>
            <w:tcW w:w="541" w:type="pct"/>
            <w:tcBorders>
              <w:top w:val="nil"/>
              <w:left w:val="nil"/>
              <w:bottom w:val="single" w:sz="4" w:space="0" w:color="auto"/>
              <w:right w:val="single" w:sz="4" w:space="0" w:color="auto"/>
            </w:tcBorders>
            <w:shd w:val="clear" w:color="auto" w:fill="auto"/>
            <w:vAlign w:val="center"/>
            <w:hideMark/>
          </w:tcPr>
          <w:p w14:paraId="45C6CC02"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1,472</w:t>
            </w:r>
          </w:p>
        </w:tc>
        <w:tc>
          <w:tcPr>
            <w:tcW w:w="542" w:type="pct"/>
            <w:tcBorders>
              <w:top w:val="nil"/>
              <w:left w:val="nil"/>
              <w:bottom w:val="single" w:sz="4" w:space="0" w:color="auto"/>
              <w:right w:val="single" w:sz="4" w:space="0" w:color="auto"/>
            </w:tcBorders>
            <w:shd w:val="clear" w:color="auto" w:fill="auto"/>
            <w:vAlign w:val="center"/>
            <w:hideMark/>
          </w:tcPr>
          <w:p w14:paraId="768D4B41"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36,846</w:t>
            </w:r>
          </w:p>
        </w:tc>
        <w:tc>
          <w:tcPr>
            <w:tcW w:w="541" w:type="pct"/>
            <w:tcBorders>
              <w:top w:val="nil"/>
              <w:left w:val="nil"/>
              <w:bottom w:val="single" w:sz="4" w:space="0" w:color="auto"/>
              <w:right w:val="single" w:sz="4" w:space="0" w:color="auto"/>
            </w:tcBorders>
            <w:shd w:val="clear" w:color="auto" w:fill="auto"/>
            <w:vAlign w:val="center"/>
            <w:hideMark/>
          </w:tcPr>
          <w:p w14:paraId="258CF759"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NA</w:t>
            </w:r>
          </w:p>
        </w:tc>
        <w:tc>
          <w:tcPr>
            <w:tcW w:w="541" w:type="pct"/>
            <w:tcBorders>
              <w:top w:val="nil"/>
              <w:left w:val="nil"/>
              <w:bottom w:val="single" w:sz="4" w:space="0" w:color="auto"/>
              <w:right w:val="single" w:sz="4" w:space="0" w:color="auto"/>
            </w:tcBorders>
            <w:shd w:val="clear" w:color="auto" w:fill="auto"/>
            <w:vAlign w:val="center"/>
            <w:hideMark/>
          </w:tcPr>
          <w:p w14:paraId="2BF9D931"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1,210</w:t>
            </w:r>
          </w:p>
        </w:tc>
        <w:tc>
          <w:tcPr>
            <w:tcW w:w="542" w:type="pct"/>
            <w:tcBorders>
              <w:top w:val="nil"/>
              <w:left w:val="nil"/>
              <w:bottom w:val="single" w:sz="4" w:space="0" w:color="auto"/>
              <w:right w:val="single" w:sz="4" w:space="0" w:color="auto"/>
            </w:tcBorders>
            <w:shd w:val="clear" w:color="auto" w:fill="auto"/>
            <w:vAlign w:val="center"/>
            <w:hideMark/>
          </w:tcPr>
          <w:p w14:paraId="2B0DE7B2"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1,210</w:t>
            </w:r>
          </w:p>
        </w:tc>
      </w:tr>
      <w:tr w:rsidR="00D33F7C" w:rsidRPr="001210D0" w14:paraId="039DC127" w14:textId="77777777" w:rsidTr="00E213CE">
        <w:trPr>
          <w:trHeight w:val="300"/>
        </w:trPr>
        <w:tc>
          <w:tcPr>
            <w:tcW w:w="17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8202CC" w14:textId="77777777" w:rsidR="00D33F7C" w:rsidRPr="001210D0" w:rsidRDefault="00D33F7C" w:rsidP="00E213CE">
            <w:pPr>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Shanghai Stock Exchange</w:t>
            </w:r>
          </w:p>
        </w:tc>
        <w:tc>
          <w:tcPr>
            <w:tcW w:w="541" w:type="pct"/>
            <w:tcBorders>
              <w:top w:val="nil"/>
              <w:left w:val="nil"/>
              <w:bottom w:val="single" w:sz="4" w:space="0" w:color="auto"/>
              <w:right w:val="single" w:sz="4" w:space="0" w:color="auto"/>
            </w:tcBorders>
            <w:shd w:val="clear" w:color="auto" w:fill="auto"/>
            <w:vAlign w:val="center"/>
            <w:hideMark/>
          </w:tcPr>
          <w:p w14:paraId="79B2190F"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67,908</w:t>
            </w:r>
          </w:p>
        </w:tc>
        <w:tc>
          <w:tcPr>
            <w:tcW w:w="541" w:type="pct"/>
            <w:tcBorders>
              <w:top w:val="nil"/>
              <w:left w:val="nil"/>
              <w:bottom w:val="single" w:sz="4" w:space="0" w:color="auto"/>
              <w:right w:val="single" w:sz="4" w:space="0" w:color="auto"/>
            </w:tcBorders>
            <w:shd w:val="clear" w:color="auto" w:fill="auto"/>
            <w:vAlign w:val="center"/>
            <w:hideMark/>
          </w:tcPr>
          <w:p w14:paraId="40784332"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7,217</w:t>
            </w:r>
          </w:p>
        </w:tc>
        <w:tc>
          <w:tcPr>
            <w:tcW w:w="542" w:type="pct"/>
            <w:tcBorders>
              <w:top w:val="nil"/>
              <w:left w:val="nil"/>
              <w:bottom w:val="single" w:sz="4" w:space="0" w:color="auto"/>
              <w:right w:val="single" w:sz="4" w:space="0" w:color="auto"/>
            </w:tcBorders>
            <w:shd w:val="clear" w:color="auto" w:fill="auto"/>
            <w:vAlign w:val="center"/>
            <w:hideMark/>
          </w:tcPr>
          <w:p w14:paraId="60B69A9F"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75,124</w:t>
            </w:r>
          </w:p>
        </w:tc>
        <w:tc>
          <w:tcPr>
            <w:tcW w:w="541" w:type="pct"/>
            <w:tcBorders>
              <w:top w:val="nil"/>
              <w:left w:val="nil"/>
              <w:bottom w:val="single" w:sz="4" w:space="0" w:color="auto"/>
              <w:right w:val="single" w:sz="4" w:space="0" w:color="auto"/>
            </w:tcBorders>
            <w:shd w:val="clear" w:color="auto" w:fill="auto"/>
            <w:vAlign w:val="center"/>
            <w:hideMark/>
          </w:tcPr>
          <w:p w14:paraId="5856AE36"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47,423</w:t>
            </w:r>
          </w:p>
        </w:tc>
        <w:tc>
          <w:tcPr>
            <w:tcW w:w="541" w:type="pct"/>
            <w:tcBorders>
              <w:top w:val="nil"/>
              <w:left w:val="nil"/>
              <w:bottom w:val="single" w:sz="4" w:space="0" w:color="auto"/>
              <w:right w:val="single" w:sz="4" w:space="0" w:color="auto"/>
            </w:tcBorders>
            <w:shd w:val="clear" w:color="auto" w:fill="auto"/>
            <w:vAlign w:val="center"/>
            <w:hideMark/>
          </w:tcPr>
          <w:p w14:paraId="10662F67"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9,240</w:t>
            </w:r>
          </w:p>
        </w:tc>
        <w:tc>
          <w:tcPr>
            <w:tcW w:w="542" w:type="pct"/>
            <w:tcBorders>
              <w:top w:val="nil"/>
              <w:left w:val="nil"/>
              <w:bottom w:val="single" w:sz="4" w:space="0" w:color="auto"/>
              <w:right w:val="single" w:sz="4" w:space="0" w:color="auto"/>
            </w:tcBorders>
            <w:shd w:val="clear" w:color="auto" w:fill="auto"/>
            <w:vAlign w:val="center"/>
            <w:hideMark/>
          </w:tcPr>
          <w:p w14:paraId="3B353778"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56,663</w:t>
            </w:r>
          </w:p>
        </w:tc>
      </w:tr>
      <w:tr w:rsidR="00D33F7C" w:rsidRPr="001210D0" w14:paraId="36453742" w14:textId="77777777" w:rsidTr="00E213CE">
        <w:trPr>
          <w:trHeight w:val="300"/>
        </w:trPr>
        <w:tc>
          <w:tcPr>
            <w:tcW w:w="1752" w:type="pct"/>
            <w:tcBorders>
              <w:top w:val="nil"/>
              <w:left w:val="single" w:sz="4" w:space="0" w:color="auto"/>
              <w:bottom w:val="single" w:sz="4" w:space="0" w:color="auto"/>
              <w:right w:val="single" w:sz="4" w:space="0" w:color="auto"/>
            </w:tcBorders>
            <w:shd w:val="clear" w:color="auto" w:fill="auto"/>
            <w:vAlign w:val="center"/>
            <w:hideMark/>
          </w:tcPr>
          <w:p w14:paraId="56079E61" w14:textId="77777777" w:rsidR="00D33F7C" w:rsidRPr="001210D0" w:rsidRDefault="00D33F7C" w:rsidP="00E213CE">
            <w:pPr>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Shenzhen Stock Exchange</w:t>
            </w:r>
          </w:p>
        </w:tc>
        <w:tc>
          <w:tcPr>
            <w:tcW w:w="541" w:type="pct"/>
            <w:tcBorders>
              <w:top w:val="nil"/>
              <w:left w:val="nil"/>
              <w:bottom w:val="single" w:sz="4" w:space="0" w:color="auto"/>
              <w:right w:val="single" w:sz="4" w:space="0" w:color="auto"/>
            </w:tcBorders>
            <w:shd w:val="clear" w:color="auto" w:fill="auto"/>
            <w:vAlign w:val="center"/>
            <w:hideMark/>
          </w:tcPr>
          <w:p w14:paraId="7D53C554"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45,123</w:t>
            </w:r>
          </w:p>
        </w:tc>
        <w:tc>
          <w:tcPr>
            <w:tcW w:w="541" w:type="pct"/>
            <w:tcBorders>
              <w:top w:val="nil"/>
              <w:left w:val="nil"/>
              <w:bottom w:val="single" w:sz="4" w:space="0" w:color="auto"/>
              <w:right w:val="single" w:sz="4" w:space="0" w:color="auto"/>
            </w:tcBorders>
            <w:shd w:val="clear" w:color="auto" w:fill="auto"/>
            <w:vAlign w:val="center"/>
            <w:hideMark/>
          </w:tcPr>
          <w:p w14:paraId="11C61C68"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8,516</w:t>
            </w:r>
          </w:p>
        </w:tc>
        <w:tc>
          <w:tcPr>
            <w:tcW w:w="542" w:type="pct"/>
            <w:tcBorders>
              <w:top w:val="nil"/>
              <w:left w:val="nil"/>
              <w:bottom w:val="single" w:sz="4" w:space="0" w:color="auto"/>
              <w:right w:val="single" w:sz="4" w:space="0" w:color="auto"/>
            </w:tcBorders>
            <w:shd w:val="clear" w:color="auto" w:fill="auto"/>
            <w:vAlign w:val="center"/>
            <w:hideMark/>
          </w:tcPr>
          <w:p w14:paraId="783C830A"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53,639</w:t>
            </w:r>
          </w:p>
        </w:tc>
        <w:tc>
          <w:tcPr>
            <w:tcW w:w="541" w:type="pct"/>
            <w:tcBorders>
              <w:top w:val="nil"/>
              <w:left w:val="nil"/>
              <w:bottom w:val="single" w:sz="4" w:space="0" w:color="auto"/>
              <w:right w:val="single" w:sz="4" w:space="0" w:color="auto"/>
            </w:tcBorders>
            <w:shd w:val="clear" w:color="auto" w:fill="auto"/>
            <w:vAlign w:val="center"/>
            <w:hideMark/>
          </w:tcPr>
          <w:p w14:paraId="447C1EDA"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11,932</w:t>
            </w:r>
          </w:p>
        </w:tc>
        <w:tc>
          <w:tcPr>
            <w:tcW w:w="541" w:type="pct"/>
            <w:tcBorders>
              <w:top w:val="nil"/>
              <w:left w:val="nil"/>
              <w:bottom w:val="single" w:sz="4" w:space="0" w:color="auto"/>
              <w:right w:val="single" w:sz="4" w:space="0" w:color="auto"/>
            </w:tcBorders>
            <w:shd w:val="clear" w:color="auto" w:fill="auto"/>
            <w:vAlign w:val="center"/>
            <w:hideMark/>
          </w:tcPr>
          <w:p w14:paraId="68B873B9"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6,488</w:t>
            </w:r>
          </w:p>
        </w:tc>
        <w:tc>
          <w:tcPr>
            <w:tcW w:w="542" w:type="pct"/>
            <w:tcBorders>
              <w:top w:val="nil"/>
              <w:left w:val="nil"/>
              <w:bottom w:val="single" w:sz="4" w:space="0" w:color="auto"/>
              <w:right w:val="single" w:sz="4" w:space="0" w:color="auto"/>
            </w:tcBorders>
            <w:shd w:val="clear" w:color="auto" w:fill="auto"/>
            <w:vAlign w:val="center"/>
            <w:hideMark/>
          </w:tcPr>
          <w:p w14:paraId="073C7AF2"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18,420</w:t>
            </w:r>
          </w:p>
        </w:tc>
      </w:tr>
      <w:tr w:rsidR="00D33F7C" w:rsidRPr="001210D0" w14:paraId="1D7D113E" w14:textId="77777777" w:rsidTr="00E213CE">
        <w:trPr>
          <w:trHeight w:val="300"/>
        </w:trPr>
        <w:tc>
          <w:tcPr>
            <w:tcW w:w="1752" w:type="pct"/>
            <w:tcBorders>
              <w:top w:val="nil"/>
              <w:left w:val="single" w:sz="4" w:space="0" w:color="auto"/>
              <w:bottom w:val="single" w:sz="4" w:space="0" w:color="auto"/>
              <w:right w:val="single" w:sz="4" w:space="0" w:color="auto"/>
            </w:tcBorders>
            <w:shd w:val="clear" w:color="auto" w:fill="auto"/>
            <w:vAlign w:val="center"/>
            <w:hideMark/>
          </w:tcPr>
          <w:p w14:paraId="1865B24D" w14:textId="77777777" w:rsidR="00D33F7C" w:rsidRPr="001210D0" w:rsidRDefault="00D33F7C" w:rsidP="00E213CE">
            <w:pPr>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Singapore Exchange</w:t>
            </w:r>
          </w:p>
        </w:tc>
        <w:tc>
          <w:tcPr>
            <w:tcW w:w="541" w:type="pct"/>
            <w:tcBorders>
              <w:top w:val="nil"/>
              <w:left w:val="nil"/>
              <w:bottom w:val="single" w:sz="4" w:space="0" w:color="auto"/>
              <w:right w:val="single" w:sz="4" w:space="0" w:color="auto"/>
            </w:tcBorders>
            <w:shd w:val="clear" w:color="auto" w:fill="auto"/>
            <w:vAlign w:val="center"/>
            <w:hideMark/>
          </w:tcPr>
          <w:p w14:paraId="1075E6DA"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28,165</w:t>
            </w:r>
          </w:p>
        </w:tc>
        <w:tc>
          <w:tcPr>
            <w:tcW w:w="541" w:type="pct"/>
            <w:tcBorders>
              <w:top w:val="nil"/>
              <w:left w:val="nil"/>
              <w:bottom w:val="single" w:sz="4" w:space="0" w:color="auto"/>
              <w:right w:val="single" w:sz="4" w:space="0" w:color="auto"/>
            </w:tcBorders>
            <w:shd w:val="clear" w:color="auto" w:fill="auto"/>
            <w:vAlign w:val="center"/>
            <w:hideMark/>
          </w:tcPr>
          <w:p w14:paraId="1625F97D"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913</w:t>
            </w:r>
          </w:p>
        </w:tc>
        <w:tc>
          <w:tcPr>
            <w:tcW w:w="542" w:type="pct"/>
            <w:tcBorders>
              <w:top w:val="nil"/>
              <w:left w:val="nil"/>
              <w:bottom w:val="single" w:sz="4" w:space="0" w:color="auto"/>
              <w:right w:val="single" w:sz="4" w:space="0" w:color="auto"/>
            </w:tcBorders>
            <w:shd w:val="clear" w:color="auto" w:fill="auto"/>
            <w:vAlign w:val="center"/>
            <w:hideMark/>
          </w:tcPr>
          <w:p w14:paraId="49E0DE0B"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29,078</w:t>
            </w:r>
          </w:p>
        </w:tc>
        <w:tc>
          <w:tcPr>
            <w:tcW w:w="541" w:type="pct"/>
            <w:tcBorders>
              <w:top w:val="nil"/>
              <w:left w:val="nil"/>
              <w:bottom w:val="single" w:sz="4" w:space="0" w:color="auto"/>
              <w:right w:val="single" w:sz="4" w:space="0" w:color="auto"/>
            </w:tcBorders>
            <w:shd w:val="clear" w:color="auto" w:fill="auto"/>
            <w:vAlign w:val="center"/>
            <w:hideMark/>
          </w:tcPr>
          <w:p w14:paraId="52B31739"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18,247</w:t>
            </w:r>
          </w:p>
        </w:tc>
        <w:tc>
          <w:tcPr>
            <w:tcW w:w="541" w:type="pct"/>
            <w:tcBorders>
              <w:top w:val="nil"/>
              <w:left w:val="nil"/>
              <w:bottom w:val="single" w:sz="4" w:space="0" w:color="auto"/>
              <w:right w:val="single" w:sz="4" w:space="0" w:color="auto"/>
            </w:tcBorders>
            <w:shd w:val="clear" w:color="auto" w:fill="auto"/>
            <w:vAlign w:val="center"/>
            <w:hideMark/>
          </w:tcPr>
          <w:p w14:paraId="3B8ECDA2"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0</w:t>
            </w:r>
          </w:p>
        </w:tc>
        <w:tc>
          <w:tcPr>
            <w:tcW w:w="542" w:type="pct"/>
            <w:tcBorders>
              <w:top w:val="nil"/>
              <w:left w:val="nil"/>
              <w:bottom w:val="single" w:sz="4" w:space="0" w:color="auto"/>
              <w:right w:val="single" w:sz="4" w:space="0" w:color="auto"/>
            </w:tcBorders>
            <w:shd w:val="clear" w:color="auto" w:fill="auto"/>
            <w:vAlign w:val="center"/>
            <w:hideMark/>
          </w:tcPr>
          <w:p w14:paraId="70739737"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18,247</w:t>
            </w:r>
          </w:p>
        </w:tc>
      </w:tr>
      <w:tr w:rsidR="00D33F7C" w:rsidRPr="001210D0" w14:paraId="1C2D333B" w14:textId="77777777" w:rsidTr="00E213CE">
        <w:trPr>
          <w:trHeight w:val="300"/>
        </w:trPr>
        <w:tc>
          <w:tcPr>
            <w:tcW w:w="1752" w:type="pct"/>
            <w:tcBorders>
              <w:top w:val="nil"/>
              <w:left w:val="single" w:sz="4" w:space="0" w:color="auto"/>
              <w:bottom w:val="single" w:sz="4" w:space="0" w:color="auto"/>
              <w:right w:val="single" w:sz="4" w:space="0" w:color="auto"/>
            </w:tcBorders>
            <w:shd w:val="clear" w:color="auto" w:fill="auto"/>
            <w:vAlign w:val="center"/>
            <w:hideMark/>
          </w:tcPr>
          <w:p w14:paraId="620B3F87" w14:textId="77777777" w:rsidR="00D33F7C" w:rsidRPr="001210D0" w:rsidRDefault="00D33F7C" w:rsidP="00E213CE">
            <w:pPr>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BME Spanish Exchanges</w:t>
            </w:r>
          </w:p>
        </w:tc>
        <w:tc>
          <w:tcPr>
            <w:tcW w:w="541" w:type="pct"/>
            <w:tcBorders>
              <w:top w:val="nil"/>
              <w:left w:val="nil"/>
              <w:bottom w:val="single" w:sz="4" w:space="0" w:color="auto"/>
              <w:right w:val="single" w:sz="4" w:space="0" w:color="auto"/>
            </w:tcBorders>
            <w:shd w:val="clear" w:color="auto" w:fill="auto"/>
            <w:vAlign w:val="center"/>
            <w:hideMark/>
          </w:tcPr>
          <w:p w14:paraId="64910D3C"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41,974</w:t>
            </w:r>
          </w:p>
        </w:tc>
        <w:tc>
          <w:tcPr>
            <w:tcW w:w="541" w:type="pct"/>
            <w:tcBorders>
              <w:top w:val="nil"/>
              <w:left w:val="nil"/>
              <w:bottom w:val="single" w:sz="4" w:space="0" w:color="auto"/>
              <w:right w:val="single" w:sz="4" w:space="0" w:color="auto"/>
            </w:tcBorders>
            <w:shd w:val="clear" w:color="auto" w:fill="auto"/>
            <w:vAlign w:val="center"/>
            <w:hideMark/>
          </w:tcPr>
          <w:p w14:paraId="2BB5A5EB"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10,870</w:t>
            </w:r>
          </w:p>
        </w:tc>
        <w:tc>
          <w:tcPr>
            <w:tcW w:w="542" w:type="pct"/>
            <w:tcBorders>
              <w:top w:val="nil"/>
              <w:left w:val="nil"/>
              <w:bottom w:val="single" w:sz="4" w:space="0" w:color="auto"/>
              <w:right w:val="single" w:sz="4" w:space="0" w:color="auto"/>
            </w:tcBorders>
            <w:shd w:val="clear" w:color="auto" w:fill="auto"/>
            <w:vAlign w:val="center"/>
            <w:hideMark/>
          </w:tcPr>
          <w:p w14:paraId="72AAEA28"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52,843</w:t>
            </w:r>
          </w:p>
        </w:tc>
        <w:tc>
          <w:tcPr>
            <w:tcW w:w="541" w:type="pct"/>
            <w:tcBorders>
              <w:top w:val="nil"/>
              <w:left w:val="nil"/>
              <w:bottom w:val="single" w:sz="4" w:space="0" w:color="auto"/>
              <w:right w:val="single" w:sz="4" w:space="0" w:color="auto"/>
            </w:tcBorders>
            <w:shd w:val="clear" w:color="auto" w:fill="auto"/>
            <w:vAlign w:val="center"/>
            <w:hideMark/>
          </w:tcPr>
          <w:p w14:paraId="21E5ECCE"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34,303</w:t>
            </w:r>
          </w:p>
        </w:tc>
        <w:tc>
          <w:tcPr>
            <w:tcW w:w="541" w:type="pct"/>
            <w:tcBorders>
              <w:top w:val="nil"/>
              <w:left w:val="nil"/>
              <w:bottom w:val="single" w:sz="4" w:space="0" w:color="auto"/>
              <w:right w:val="single" w:sz="4" w:space="0" w:color="auto"/>
            </w:tcBorders>
            <w:shd w:val="clear" w:color="auto" w:fill="auto"/>
            <w:vAlign w:val="center"/>
            <w:hideMark/>
          </w:tcPr>
          <w:p w14:paraId="0CBA6073"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81</w:t>
            </w:r>
          </w:p>
        </w:tc>
        <w:tc>
          <w:tcPr>
            <w:tcW w:w="542" w:type="pct"/>
            <w:tcBorders>
              <w:top w:val="nil"/>
              <w:left w:val="nil"/>
              <w:bottom w:val="single" w:sz="4" w:space="0" w:color="auto"/>
              <w:right w:val="single" w:sz="4" w:space="0" w:color="auto"/>
            </w:tcBorders>
            <w:shd w:val="clear" w:color="auto" w:fill="auto"/>
            <w:vAlign w:val="center"/>
            <w:hideMark/>
          </w:tcPr>
          <w:p w14:paraId="6512C56F"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34,384</w:t>
            </w:r>
          </w:p>
        </w:tc>
      </w:tr>
      <w:tr w:rsidR="00D33F7C" w:rsidRPr="001210D0" w14:paraId="2EB9CD57" w14:textId="77777777" w:rsidTr="00E213CE">
        <w:trPr>
          <w:trHeight w:val="300"/>
        </w:trPr>
        <w:tc>
          <w:tcPr>
            <w:tcW w:w="1752" w:type="pct"/>
            <w:tcBorders>
              <w:top w:val="nil"/>
              <w:left w:val="single" w:sz="4" w:space="0" w:color="auto"/>
              <w:bottom w:val="single" w:sz="4" w:space="0" w:color="auto"/>
              <w:right w:val="single" w:sz="4" w:space="0" w:color="auto"/>
            </w:tcBorders>
            <w:shd w:val="clear" w:color="auto" w:fill="auto"/>
            <w:vAlign w:val="center"/>
            <w:hideMark/>
          </w:tcPr>
          <w:p w14:paraId="0D13143C" w14:textId="77777777" w:rsidR="00D33F7C" w:rsidRPr="001210D0" w:rsidRDefault="00D33F7C" w:rsidP="00E213CE">
            <w:pPr>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Deutsche Boerse AG</w:t>
            </w:r>
          </w:p>
        </w:tc>
        <w:tc>
          <w:tcPr>
            <w:tcW w:w="541" w:type="pct"/>
            <w:tcBorders>
              <w:top w:val="nil"/>
              <w:left w:val="nil"/>
              <w:bottom w:val="single" w:sz="4" w:space="0" w:color="auto"/>
              <w:right w:val="single" w:sz="4" w:space="0" w:color="auto"/>
            </w:tcBorders>
            <w:shd w:val="clear" w:color="auto" w:fill="auto"/>
            <w:vAlign w:val="center"/>
            <w:hideMark/>
          </w:tcPr>
          <w:p w14:paraId="2FFC054F"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0</w:t>
            </w:r>
          </w:p>
        </w:tc>
        <w:tc>
          <w:tcPr>
            <w:tcW w:w="541" w:type="pct"/>
            <w:tcBorders>
              <w:top w:val="nil"/>
              <w:left w:val="nil"/>
              <w:bottom w:val="single" w:sz="4" w:space="0" w:color="auto"/>
              <w:right w:val="single" w:sz="4" w:space="0" w:color="auto"/>
            </w:tcBorders>
            <w:shd w:val="clear" w:color="auto" w:fill="auto"/>
            <w:vAlign w:val="center"/>
            <w:hideMark/>
          </w:tcPr>
          <w:p w14:paraId="7264746C"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1,907</w:t>
            </w:r>
          </w:p>
        </w:tc>
        <w:tc>
          <w:tcPr>
            <w:tcW w:w="542" w:type="pct"/>
            <w:tcBorders>
              <w:top w:val="nil"/>
              <w:left w:val="nil"/>
              <w:bottom w:val="single" w:sz="4" w:space="0" w:color="auto"/>
              <w:right w:val="single" w:sz="4" w:space="0" w:color="auto"/>
            </w:tcBorders>
            <w:shd w:val="clear" w:color="auto" w:fill="auto"/>
            <w:vAlign w:val="center"/>
            <w:hideMark/>
          </w:tcPr>
          <w:p w14:paraId="12D35371"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1,907</w:t>
            </w:r>
          </w:p>
        </w:tc>
        <w:tc>
          <w:tcPr>
            <w:tcW w:w="541" w:type="pct"/>
            <w:tcBorders>
              <w:top w:val="nil"/>
              <w:left w:val="nil"/>
              <w:bottom w:val="single" w:sz="4" w:space="0" w:color="auto"/>
              <w:right w:val="single" w:sz="4" w:space="0" w:color="auto"/>
            </w:tcBorders>
            <w:shd w:val="clear" w:color="auto" w:fill="auto"/>
            <w:vAlign w:val="center"/>
            <w:hideMark/>
          </w:tcPr>
          <w:p w14:paraId="5034C16F"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0</w:t>
            </w:r>
          </w:p>
        </w:tc>
        <w:tc>
          <w:tcPr>
            <w:tcW w:w="541" w:type="pct"/>
            <w:tcBorders>
              <w:top w:val="nil"/>
              <w:left w:val="nil"/>
              <w:bottom w:val="single" w:sz="4" w:space="0" w:color="auto"/>
              <w:right w:val="single" w:sz="4" w:space="0" w:color="auto"/>
            </w:tcBorders>
            <w:shd w:val="clear" w:color="auto" w:fill="auto"/>
            <w:vAlign w:val="center"/>
            <w:hideMark/>
          </w:tcPr>
          <w:p w14:paraId="12ED9FAF"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1,135</w:t>
            </w:r>
          </w:p>
        </w:tc>
        <w:tc>
          <w:tcPr>
            <w:tcW w:w="542" w:type="pct"/>
            <w:tcBorders>
              <w:top w:val="nil"/>
              <w:left w:val="nil"/>
              <w:bottom w:val="single" w:sz="4" w:space="0" w:color="auto"/>
              <w:right w:val="single" w:sz="4" w:space="0" w:color="auto"/>
            </w:tcBorders>
            <w:shd w:val="clear" w:color="auto" w:fill="auto"/>
            <w:vAlign w:val="center"/>
            <w:hideMark/>
          </w:tcPr>
          <w:p w14:paraId="4113C6AE"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1,135</w:t>
            </w:r>
          </w:p>
        </w:tc>
      </w:tr>
      <w:tr w:rsidR="00D33F7C" w:rsidRPr="001210D0" w14:paraId="6023A4A3" w14:textId="77777777" w:rsidTr="00E213CE">
        <w:trPr>
          <w:trHeight w:val="300"/>
        </w:trPr>
        <w:tc>
          <w:tcPr>
            <w:tcW w:w="1752" w:type="pct"/>
            <w:tcBorders>
              <w:top w:val="nil"/>
              <w:left w:val="single" w:sz="4" w:space="0" w:color="auto"/>
              <w:bottom w:val="single" w:sz="4" w:space="0" w:color="auto"/>
              <w:right w:val="single" w:sz="4" w:space="0" w:color="auto"/>
            </w:tcBorders>
            <w:shd w:val="clear" w:color="auto" w:fill="auto"/>
            <w:vAlign w:val="center"/>
            <w:hideMark/>
          </w:tcPr>
          <w:p w14:paraId="29074B10" w14:textId="77777777" w:rsidR="00D33F7C" w:rsidRPr="001210D0" w:rsidRDefault="00D33F7C" w:rsidP="00E213CE">
            <w:pPr>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Euronext</w:t>
            </w:r>
          </w:p>
        </w:tc>
        <w:tc>
          <w:tcPr>
            <w:tcW w:w="541" w:type="pct"/>
            <w:tcBorders>
              <w:top w:val="nil"/>
              <w:left w:val="nil"/>
              <w:bottom w:val="single" w:sz="4" w:space="0" w:color="auto"/>
              <w:right w:val="single" w:sz="4" w:space="0" w:color="auto"/>
            </w:tcBorders>
            <w:shd w:val="clear" w:color="auto" w:fill="auto"/>
            <w:vAlign w:val="center"/>
            <w:hideMark/>
          </w:tcPr>
          <w:p w14:paraId="17D77118"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0</w:t>
            </w:r>
          </w:p>
        </w:tc>
        <w:tc>
          <w:tcPr>
            <w:tcW w:w="541" w:type="pct"/>
            <w:tcBorders>
              <w:top w:val="nil"/>
              <w:left w:val="nil"/>
              <w:bottom w:val="single" w:sz="4" w:space="0" w:color="auto"/>
              <w:right w:val="single" w:sz="4" w:space="0" w:color="auto"/>
            </w:tcBorders>
            <w:shd w:val="clear" w:color="auto" w:fill="auto"/>
            <w:vAlign w:val="center"/>
            <w:hideMark/>
          </w:tcPr>
          <w:p w14:paraId="3F1A55C0"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10,120</w:t>
            </w:r>
          </w:p>
        </w:tc>
        <w:tc>
          <w:tcPr>
            <w:tcW w:w="542" w:type="pct"/>
            <w:tcBorders>
              <w:top w:val="nil"/>
              <w:left w:val="nil"/>
              <w:bottom w:val="single" w:sz="4" w:space="0" w:color="auto"/>
              <w:right w:val="single" w:sz="4" w:space="0" w:color="auto"/>
            </w:tcBorders>
            <w:shd w:val="clear" w:color="auto" w:fill="auto"/>
            <w:vAlign w:val="center"/>
            <w:hideMark/>
          </w:tcPr>
          <w:p w14:paraId="70586AC8"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10,120</w:t>
            </w:r>
          </w:p>
        </w:tc>
        <w:tc>
          <w:tcPr>
            <w:tcW w:w="541" w:type="pct"/>
            <w:tcBorders>
              <w:top w:val="nil"/>
              <w:left w:val="nil"/>
              <w:bottom w:val="single" w:sz="4" w:space="0" w:color="auto"/>
              <w:right w:val="single" w:sz="4" w:space="0" w:color="auto"/>
            </w:tcBorders>
            <w:shd w:val="clear" w:color="auto" w:fill="auto"/>
            <w:vAlign w:val="center"/>
            <w:hideMark/>
          </w:tcPr>
          <w:p w14:paraId="0B05782A"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0</w:t>
            </w:r>
          </w:p>
        </w:tc>
        <w:tc>
          <w:tcPr>
            <w:tcW w:w="541" w:type="pct"/>
            <w:tcBorders>
              <w:top w:val="nil"/>
              <w:left w:val="nil"/>
              <w:bottom w:val="single" w:sz="4" w:space="0" w:color="auto"/>
              <w:right w:val="single" w:sz="4" w:space="0" w:color="auto"/>
            </w:tcBorders>
            <w:shd w:val="clear" w:color="auto" w:fill="auto"/>
            <w:vAlign w:val="center"/>
            <w:hideMark/>
          </w:tcPr>
          <w:p w14:paraId="6BDFA052"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1,016</w:t>
            </w:r>
          </w:p>
        </w:tc>
        <w:tc>
          <w:tcPr>
            <w:tcW w:w="542" w:type="pct"/>
            <w:tcBorders>
              <w:top w:val="nil"/>
              <w:left w:val="nil"/>
              <w:bottom w:val="single" w:sz="4" w:space="0" w:color="auto"/>
              <w:right w:val="single" w:sz="4" w:space="0" w:color="auto"/>
            </w:tcBorders>
            <w:shd w:val="clear" w:color="auto" w:fill="auto"/>
            <w:vAlign w:val="center"/>
            <w:hideMark/>
          </w:tcPr>
          <w:p w14:paraId="7D166B69"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1,016</w:t>
            </w:r>
          </w:p>
        </w:tc>
      </w:tr>
      <w:tr w:rsidR="00D33F7C" w:rsidRPr="001210D0" w14:paraId="50828B40" w14:textId="77777777" w:rsidTr="00E213CE">
        <w:trPr>
          <w:trHeight w:val="300"/>
        </w:trPr>
        <w:tc>
          <w:tcPr>
            <w:tcW w:w="1752" w:type="pct"/>
            <w:tcBorders>
              <w:top w:val="nil"/>
              <w:left w:val="single" w:sz="4" w:space="0" w:color="auto"/>
              <w:bottom w:val="single" w:sz="4" w:space="0" w:color="auto"/>
              <w:right w:val="single" w:sz="4" w:space="0" w:color="auto"/>
            </w:tcBorders>
            <w:shd w:val="clear" w:color="auto" w:fill="auto"/>
            <w:vAlign w:val="center"/>
            <w:hideMark/>
          </w:tcPr>
          <w:p w14:paraId="526FE70B" w14:textId="77777777" w:rsidR="00D33F7C" w:rsidRPr="001210D0" w:rsidRDefault="00D33F7C" w:rsidP="00E213CE">
            <w:pPr>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Johannesburg Stock Exchange</w:t>
            </w:r>
          </w:p>
        </w:tc>
        <w:tc>
          <w:tcPr>
            <w:tcW w:w="541" w:type="pct"/>
            <w:tcBorders>
              <w:top w:val="nil"/>
              <w:left w:val="nil"/>
              <w:bottom w:val="single" w:sz="4" w:space="0" w:color="auto"/>
              <w:right w:val="single" w:sz="4" w:space="0" w:color="auto"/>
            </w:tcBorders>
            <w:shd w:val="clear" w:color="auto" w:fill="auto"/>
            <w:vAlign w:val="center"/>
            <w:hideMark/>
          </w:tcPr>
          <w:p w14:paraId="29FF6511"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4,363</w:t>
            </w:r>
          </w:p>
        </w:tc>
        <w:tc>
          <w:tcPr>
            <w:tcW w:w="541" w:type="pct"/>
            <w:tcBorders>
              <w:top w:val="nil"/>
              <w:left w:val="nil"/>
              <w:bottom w:val="single" w:sz="4" w:space="0" w:color="auto"/>
              <w:right w:val="single" w:sz="4" w:space="0" w:color="auto"/>
            </w:tcBorders>
            <w:shd w:val="clear" w:color="auto" w:fill="auto"/>
            <w:vAlign w:val="center"/>
            <w:hideMark/>
          </w:tcPr>
          <w:p w14:paraId="45D50F5F"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44</w:t>
            </w:r>
          </w:p>
        </w:tc>
        <w:tc>
          <w:tcPr>
            <w:tcW w:w="542" w:type="pct"/>
            <w:tcBorders>
              <w:top w:val="nil"/>
              <w:left w:val="nil"/>
              <w:bottom w:val="single" w:sz="4" w:space="0" w:color="auto"/>
              <w:right w:val="single" w:sz="4" w:space="0" w:color="auto"/>
            </w:tcBorders>
            <w:shd w:val="clear" w:color="auto" w:fill="auto"/>
            <w:vAlign w:val="center"/>
            <w:hideMark/>
          </w:tcPr>
          <w:p w14:paraId="19BB9352"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4,407</w:t>
            </w:r>
          </w:p>
        </w:tc>
        <w:tc>
          <w:tcPr>
            <w:tcW w:w="541" w:type="pct"/>
            <w:tcBorders>
              <w:top w:val="nil"/>
              <w:left w:val="nil"/>
              <w:bottom w:val="single" w:sz="4" w:space="0" w:color="auto"/>
              <w:right w:val="single" w:sz="4" w:space="0" w:color="auto"/>
            </w:tcBorders>
            <w:shd w:val="clear" w:color="auto" w:fill="auto"/>
            <w:vAlign w:val="center"/>
            <w:hideMark/>
          </w:tcPr>
          <w:p w14:paraId="4C0F622B"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4,251</w:t>
            </w:r>
          </w:p>
        </w:tc>
        <w:tc>
          <w:tcPr>
            <w:tcW w:w="541" w:type="pct"/>
            <w:tcBorders>
              <w:top w:val="nil"/>
              <w:left w:val="nil"/>
              <w:bottom w:val="single" w:sz="4" w:space="0" w:color="auto"/>
              <w:right w:val="single" w:sz="4" w:space="0" w:color="auto"/>
            </w:tcBorders>
            <w:shd w:val="clear" w:color="auto" w:fill="auto"/>
            <w:vAlign w:val="center"/>
            <w:hideMark/>
          </w:tcPr>
          <w:p w14:paraId="0535DA00"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71</w:t>
            </w:r>
          </w:p>
        </w:tc>
        <w:tc>
          <w:tcPr>
            <w:tcW w:w="542" w:type="pct"/>
            <w:tcBorders>
              <w:top w:val="nil"/>
              <w:left w:val="nil"/>
              <w:bottom w:val="single" w:sz="4" w:space="0" w:color="auto"/>
              <w:right w:val="single" w:sz="4" w:space="0" w:color="auto"/>
            </w:tcBorders>
            <w:shd w:val="clear" w:color="auto" w:fill="auto"/>
            <w:vAlign w:val="center"/>
            <w:hideMark/>
          </w:tcPr>
          <w:p w14:paraId="7DF8E553"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4,322</w:t>
            </w:r>
          </w:p>
        </w:tc>
      </w:tr>
      <w:tr w:rsidR="00D33F7C" w:rsidRPr="001210D0" w14:paraId="52ED384B" w14:textId="77777777" w:rsidTr="00E213CE">
        <w:trPr>
          <w:trHeight w:val="300"/>
        </w:trPr>
        <w:tc>
          <w:tcPr>
            <w:tcW w:w="17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24F7E2" w14:textId="77777777" w:rsidR="00D33F7C" w:rsidRPr="001210D0" w:rsidRDefault="00D33F7C" w:rsidP="00E213CE">
            <w:pPr>
              <w:rPr>
                <w:rFonts w:ascii="Garamond" w:eastAsia="Times New Roman" w:hAnsi="Garamond"/>
                <w:sz w:val="20"/>
                <w:szCs w:val="20"/>
                <w:lang w:val="en-IN" w:eastAsia="en-IN" w:bidi="hi-IN"/>
              </w:rPr>
            </w:pPr>
            <w:r w:rsidRPr="001210D0">
              <w:rPr>
                <w:rFonts w:ascii="Garamond" w:eastAsia="Times New Roman" w:hAnsi="Garamond"/>
                <w:sz w:val="20"/>
                <w:szCs w:val="20"/>
                <w:lang w:val="en-IN" w:eastAsia="en-IN" w:bidi="hi-IN"/>
              </w:rPr>
              <w:t>LSE Group London Stock Exchange</w:t>
            </w:r>
          </w:p>
        </w:tc>
        <w:tc>
          <w:tcPr>
            <w:tcW w:w="541" w:type="pct"/>
            <w:tcBorders>
              <w:top w:val="nil"/>
              <w:left w:val="nil"/>
              <w:bottom w:val="single" w:sz="4" w:space="0" w:color="auto"/>
              <w:right w:val="single" w:sz="4" w:space="0" w:color="auto"/>
            </w:tcBorders>
            <w:shd w:val="clear" w:color="auto" w:fill="auto"/>
            <w:vAlign w:val="center"/>
            <w:hideMark/>
          </w:tcPr>
          <w:p w14:paraId="14466695"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58,216</w:t>
            </w:r>
          </w:p>
        </w:tc>
        <w:tc>
          <w:tcPr>
            <w:tcW w:w="541" w:type="pct"/>
            <w:tcBorders>
              <w:top w:val="nil"/>
              <w:left w:val="nil"/>
              <w:bottom w:val="single" w:sz="4" w:space="0" w:color="auto"/>
              <w:right w:val="single" w:sz="4" w:space="0" w:color="auto"/>
            </w:tcBorders>
            <w:shd w:val="clear" w:color="auto" w:fill="auto"/>
            <w:vAlign w:val="center"/>
            <w:hideMark/>
          </w:tcPr>
          <w:p w14:paraId="6BDA0E8F"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4,179</w:t>
            </w:r>
          </w:p>
        </w:tc>
        <w:tc>
          <w:tcPr>
            <w:tcW w:w="542" w:type="pct"/>
            <w:tcBorders>
              <w:top w:val="nil"/>
              <w:left w:val="nil"/>
              <w:bottom w:val="single" w:sz="4" w:space="0" w:color="auto"/>
              <w:right w:val="single" w:sz="4" w:space="0" w:color="auto"/>
            </w:tcBorders>
            <w:shd w:val="clear" w:color="auto" w:fill="auto"/>
            <w:vAlign w:val="center"/>
            <w:hideMark/>
          </w:tcPr>
          <w:p w14:paraId="276D7924"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62,394</w:t>
            </w:r>
          </w:p>
        </w:tc>
        <w:tc>
          <w:tcPr>
            <w:tcW w:w="541" w:type="pct"/>
            <w:tcBorders>
              <w:top w:val="nil"/>
              <w:left w:val="nil"/>
              <w:bottom w:val="single" w:sz="4" w:space="0" w:color="auto"/>
              <w:right w:val="single" w:sz="4" w:space="0" w:color="auto"/>
            </w:tcBorders>
            <w:shd w:val="clear" w:color="auto" w:fill="auto"/>
            <w:vAlign w:val="center"/>
            <w:hideMark/>
          </w:tcPr>
          <w:p w14:paraId="2DCD10DA"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59,236</w:t>
            </w:r>
          </w:p>
        </w:tc>
        <w:tc>
          <w:tcPr>
            <w:tcW w:w="541" w:type="pct"/>
            <w:tcBorders>
              <w:top w:val="nil"/>
              <w:left w:val="nil"/>
              <w:bottom w:val="single" w:sz="4" w:space="0" w:color="auto"/>
              <w:right w:val="single" w:sz="4" w:space="0" w:color="auto"/>
            </w:tcBorders>
            <w:shd w:val="clear" w:color="auto" w:fill="auto"/>
            <w:vAlign w:val="center"/>
            <w:hideMark/>
          </w:tcPr>
          <w:p w14:paraId="2F0C4C92"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3,851</w:t>
            </w:r>
          </w:p>
        </w:tc>
        <w:tc>
          <w:tcPr>
            <w:tcW w:w="542" w:type="pct"/>
            <w:tcBorders>
              <w:top w:val="nil"/>
              <w:left w:val="nil"/>
              <w:bottom w:val="single" w:sz="4" w:space="0" w:color="auto"/>
              <w:right w:val="single" w:sz="4" w:space="0" w:color="auto"/>
            </w:tcBorders>
            <w:shd w:val="clear" w:color="auto" w:fill="auto"/>
            <w:vAlign w:val="center"/>
            <w:hideMark/>
          </w:tcPr>
          <w:p w14:paraId="05E23A8F"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63,087</w:t>
            </w:r>
          </w:p>
        </w:tc>
      </w:tr>
      <w:tr w:rsidR="00D33F7C" w:rsidRPr="001210D0" w14:paraId="0CE3F2A6" w14:textId="77777777" w:rsidTr="00E213CE">
        <w:trPr>
          <w:trHeight w:val="315"/>
        </w:trPr>
        <w:tc>
          <w:tcPr>
            <w:tcW w:w="1752" w:type="pct"/>
            <w:tcBorders>
              <w:top w:val="nil"/>
              <w:left w:val="single" w:sz="4" w:space="0" w:color="auto"/>
              <w:bottom w:val="single" w:sz="4" w:space="0" w:color="auto"/>
              <w:right w:val="single" w:sz="4" w:space="0" w:color="auto"/>
            </w:tcBorders>
            <w:shd w:val="clear" w:color="auto" w:fill="auto"/>
            <w:vAlign w:val="center"/>
            <w:hideMark/>
          </w:tcPr>
          <w:p w14:paraId="719585DC" w14:textId="77777777" w:rsidR="00D33F7C" w:rsidRPr="001210D0" w:rsidRDefault="00D33F7C" w:rsidP="00E213CE">
            <w:pPr>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Moscow Exchange</w:t>
            </w:r>
          </w:p>
        </w:tc>
        <w:tc>
          <w:tcPr>
            <w:tcW w:w="541" w:type="pct"/>
            <w:tcBorders>
              <w:top w:val="nil"/>
              <w:left w:val="nil"/>
              <w:bottom w:val="single" w:sz="4" w:space="0" w:color="auto"/>
              <w:right w:val="single" w:sz="4" w:space="0" w:color="auto"/>
            </w:tcBorders>
            <w:shd w:val="clear" w:color="auto" w:fill="auto"/>
            <w:vAlign w:val="center"/>
            <w:hideMark/>
          </w:tcPr>
          <w:p w14:paraId="103D495A"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17,791</w:t>
            </w:r>
          </w:p>
        </w:tc>
        <w:tc>
          <w:tcPr>
            <w:tcW w:w="541" w:type="pct"/>
            <w:tcBorders>
              <w:top w:val="nil"/>
              <w:left w:val="nil"/>
              <w:bottom w:val="single" w:sz="4" w:space="0" w:color="auto"/>
              <w:right w:val="single" w:sz="4" w:space="0" w:color="auto"/>
            </w:tcBorders>
            <w:shd w:val="clear" w:color="auto" w:fill="auto"/>
            <w:vAlign w:val="center"/>
            <w:hideMark/>
          </w:tcPr>
          <w:p w14:paraId="1A33C210"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0</w:t>
            </w:r>
          </w:p>
        </w:tc>
        <w:tc>
          <w:tcPr>
            <w:tcW w:w="542" w:type="pct"/>
            <w:tcBorders>
              <w:top w:val="nil"/>
              <w:left w:val="nil"/>
              <w:bottom w:val="single" w:sz="4" w:space="0" w:color="auto"/>
              <w:right w:val="single" w:sz="4" w:space="0" w:color="auto"/>
            </w:tcBorders>
            <w:shd w:val="clear" w:color="auto" w:fill="auto"/>
            <w:vAlign w:val="center"/>
            <w:hideMark/>
          </w:tcPr>
          <w:p w14:paraId="4EA89469"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17,791</w:t>
            </w:r>
          </w:p>
        </w:tc>
        <w:tc>
          <w:tcPr>
            <w:tcW w:w="541" w:type="pct"/>
            <w:tcBorders>
              <w:top w:val="nil"/>
              <w:left w:val="nil"/>
              <w:bottom w:val="single" w:sz="4" w:space="0" w:color="auto"/>
              <w:right w:val="single" w:sz="4" w:space="0" w:color="auto"/>
            </w:tcBorders>
            <w:shd w:val="clear" w:color="auto" w:fill="auto"/>
            <w:vAlign w:val="center"/>
            <w:hideMark/>
          </w:tcPr>
          <w:p w14:paraId="34526D9E"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13,753</w:t>
            </w:r>
          </w:p>
        </w:tc>
        <w:tc>
          <w:tcPr>
            <w:tcW w:w="541" w:type="pct"/>
            <w:tcBorders>
              <w:top w:val="nil"/>
              <w:left w:val="nil"/>
              <w:bottom w:val="single" w:sz="4" w:space="0" w:color="auto"/>
              <w:right w:val="single" w:sz="4" w:space="0" w:color="auto"/>
            </w:tcBorders>
            <w:shd w:val="clear" w:color="auto" w:fill="auto"/>
            <w:vAlign w:val="center"/>
            <w:hideMark/>
          </w:tcPr>
          <w:p w14:paraId="59440856"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309</w:t>
            </w:r>
          </w:p>
        </w:tc>
        <w:tc>
          <w:tcPr>
            <w:tcW w:w="542" w:type="pct"/>
            <w:tcBorders>
              <w:top w:val="nil"/>
              <w:left w:val="nil"/>
              <w:bottom w:val="single" w:sz="4" w:space="0" w:color="auto"/>
              <w:right w:val="single" w:sz="4" w:space="0" w:color="auto"/>
            </w:tcBorders>
            <w:shd w:val="clear" w:color="auto" w:fill="auto"/>
            <w:vAlign w:val="center"/>
            <w:hideMark/>
          </w:tcPr>
          <w:p w14:paraId="22009F17"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14,062</w:t>
            </w:r>
          </w:p>
        </w:tc>
      </w:tr>
      <w:tr w:rsidR="00D33F7C" w:rsidRPr="001210D0" w14:paraId="0A6A81E7" w14:textId="77777777" w:rsidTr="00E213CE">
        <w:trPr>
          <w:trHeight w:val="300"/>
        </w:trPr>
        <w:tc>
          <w:tcPr>
            <w:tcW w:w="1752" w:type="pct"/>
            <w:tcBorders>
              <w:top w:val="nil"/>
              <w:left w:val="single" w:sz="4" w:space="0" w:color="auto"/>
              <w:bottom w:val="single" w:sz="4" w:space="0" w:color="auto"/>
              <w:right w:val="single" w:sz="4" w:space="0" w:color="auto"/>
            </w:tcBorders>
            <w:shd w:val="clear" w:color="000000" w:fill="BDD6EE"/>
            <w:vAlign w:val="center"/>
            <w:hideMark/>
          </w:tcPr>
          <w:p w14:paraId="1FE0941D" w14:textId="77777777" w:rsidR="00D33F7C" w:rsidRPr="001210D0" w:rsidRDefault="00D33F7C" w:rsidP="00E213CE">
            <w:pPr>
              <w:rPr>
                <w:rFonts w:ascii="Garamond" w:eastAsia="Times New Roman" w:hAnsi="Garamond"/>
                <w:b/>
                <w:bCs/>
                <w:color w:val="000000"/>
                <w:sz w:val="20"/>
                <w:szCs w:val="20"/>
                <w:lang w:val="en-IN" w:eastAsia="en-IN" w:bidi="hi-IN"/>
              </w:rPr>
            </w:pPr>
            <w:r w:rsidRPr="001210D0">
              <w:rPr>
                <w:rFonts w:ascii="Garamond" w:eastAsia="Times New Roman" w:hAnsi="Garamond"/>
                <w:b/>
                <w:bCs/>
                <w:color w:val="000000"/>
                <w:sz w:val="20"/>
                <w:szCs w:val="20"/>
                <w:lang w:val="en-IN" w:eastAsia="en-IN" w:bidi="hi-IN"/>
              </w:rPr>
              <w:t>Grand Total</w:t>
            </w:r>
          </w:p>
        </w:tc>
        <w:tc>
          <w:tcPr>
            <w:tcW w:w="541" w:type="pct"/>
            <w:tcBorders>
              <w:top w:val="nil"/>
              <w:left w:val="nil"/>
              <w:bottom w:val="single" w:sz="4" w:space="0" w:color="auto"/>
              <w:right w:val="single" w:sz="4" w:space="0" w:color="auto"/>
            </w:tcBorders>
            <w:shd w:val="clear" w:color="000000" w:fill="BDD6EE"/>
            <w:vAlign w:val="center"/>
            <w:hideMark/>
          </w:tcPr>
          <w:p w14:paraId="059ECCCB" w14:textId="77777777" w:rsidR="00D33F7C" w:rsidRPr="001210D0" w:rsidRDefault="00D33F7C" w:rsidP="00E213CE">
            <w:pPr>
              <w:jc w:val="right"/>
              <w:rPr>
                <w:rFonts w:ascii="Garamond" w:eastAsia="Times New Roman" w:hAnsi="Garamond"/>
                <w:b/>
                <w:bCs/>
                <w:color w:val="000000"/>
                <w:sz w:val="20"/>
                <w:szCs w:val="20"/>
                <w:lang w:val="en-IN" w:eastAsia="en-IN" w:bidi="hi-IN"/>
              </w:rPr>
            </w:pPr>
            <w:r w:rsidRPr="001210D0">
              <w:rPr>
                <w:rFonts w:ascii="Garamond" w:eastAsia="Times New Roman" w:hAnsi="Garamond"/>
                <w:b/>
                <w:bCs/>
                <w:color w:val="000000"/>
                <w:sz w:val="20"/>
                <w:szCs w:val="20"/>
                <w:lang w:val="en-IN" w:eastAsia="en-IN" w:bidi="hi-IN"/>
              </w:rPr>
              <w:t xml:space="preserve"> 401,146</w:t>
            </w:r>
          </w:p>
        </w:tc>
        <w:tc>
          <w:tcPr>
            <w:tcW w:w="541" w:type="pct"/>
            <w:tcBorders>
              <w:top w:val="nil"/>
              <w:left w:val="nil"/>
              <w:bottom w:val="single" w:sz="4" w:space="0" w:color="auto"/>
              <w:right w:val="single" w:sz="4" w:space="0" w:color="auto"/>
            </w:tcBorders>
            <w:shd w:val="clear" w:color="000000" w:fill="BDD6EE"/>
            <w:vAlign w:val="center"/>
            <w:hideMark/>
          </w:tcPr>
          <w:p w14:paraId="38233A53" w14:textId="77777777" w:rsidR="00D33F7C" w:rsidRPr="001210D0" w:rsidRDefault="00D33F7C" w:rsidP="00E213CE">
            <w:pPr>
              <w:jc w:val="right"/>
              <w:rPr>
                <w:rFonts w:ascii="Garamond" w:eastAsia="Times New Roman" w:hAnsi="Garamond"/>
                <w:b/>
                <w:bCs/>
                <w:color w:val="000000"/>
                <w:sz w:val="20"/>
                <w:szCs w:val="20"/>
                <w:lang w:val="en-IN" w:eastAsia="en-IN" w:bidi="hi-IN"/>
              </w:rPr>
            </w:pPr>
            <w:r w:rsidRPr="001210D0">
              <w:rPr>
                <w:rFonts w:ascii="Garamond" w:eastAsia="Times New Roman" w:hAnsi="Garamond"/>
                <w:b/>
                <w:bCs/>
                <w:color w:val="000000"/>
                <w:sz w:val="20"/>
                <w:szCs w:val="20"/>
                <w:lang w:val="en-IN" w:eastAsia="en-IN" w:bidi="hi-IN"/>
              </w:rPr>
              <w:t xml:space="preserve"> 67,788</w:t>
            </w:r>
          </w:p>
        </w:tc>
        <w:tc>
          <w:tcPr>
            <w:tcW w:w="542" w:type="pct"/>
            <w:tcBorders>
              <w:top w:val="nil"/>
              <w:left w:val="nil"/>
              <w:bottom w:val="single" w:sz="4" w:space="0" w:color="auto"/>
              <w:right w:val="single" w:sz="4" w:space="0" w:color="auto"/>
            </w:tcBorders>
            <w:shd w:val="clear" w:color="000000" w:fill="BDD6EE"/>
            <w:vAlign w:val="center"/>
            <w:hideMark/>
          </w:tcPr>
          <w:p w14:paraId="3A814CEE" w14:textId="77777777" w:rsidR="00D33F7C" w:rsidRPr="001210D0" w:rsidRDefault="00D33F7C" w:rsidP="00E213CE">
            <w:pPr>
              <w:jc w:val="right"/>
              <w:rPr>
                <w:rFonts w:ascii="Garamond" w:eastAsia="Times New Roman" w:hAnsi="Garamond"/>
                <w:b/>
                <w:bCs/>
                <w:color w:val="000000"/>
                <w:sz w:val="20"/>
                <w:szCs w:val="20"/>
                <w:lang w:val="en-IN" w:eastAsia="en-IN" w:bidi="hi-IN"/>
              </w:rPr>
            </w:pPr>
            <w:r w:rsidRPr="001210D0">
              <w:rPr>
                <w:rFonts w:ascii="Garamond" w:eastAsia="Times New Roman" w:hAnsi="Garamond"/>
                <w:b/>
                <w:bCs/>
                <w:color w:val="000000"/>
                <w:sz w:val="20"/>
                <w:szCs w:val="20"/>
                <w:lang w:val="en-IN" w:eastAsia="en-IN" w:bidi="hi-IN"/>
              </w:rPr>
              <w:t xml:space="preserve"> 468,934</w:t>
            </w:r>
          </w:p>
        </w:tc>
        <w:tc>
          <w:tcPr>
            <w:tcW w:w="541" w:type="pct"/>
            <w:tcBorders>
              <w:top w:val="nil"/>
              <w:left w:val="nil"/>
              <w:bottom w:val="single" w:sz="4" w:space="0" w:color="auto"/>
              <w:right w:val="single" w:sz="4" w:space="0" w:color="auto"/>
            </w:tcBorders>
            <w:shd w:val="clear" w:color="000000" w:fill="BDD6EE"/>
            <w:vAlign w:val="center"/>
            <w:hideMark/>
          </w:tcPr>
          <w:p w14:paraId="0D712AF1" w14:textId="77777777" w:rsidR="00D33F7C" w:rsidRPr="001210D0" w:rsidRDefault="00D33F7C" w:rsidP="00E213CE">
            <w:pPr>
              <w:jc w:val="right"/>
              <w:rPr>
                <w:rFonts w:ascii="Garamond" w:eastAsia="Times New Roman" w:hAnsi="Garamond"/>
                <w:b/>
                <w:bCs/>
                <w:color w:val="000000"/>
                <w:sz w:val="20"/>
                <w:szCs w:val="20"/>
                <w:lang w:val="en-IN" w:eastAsia="en-IN" w:bidi="hi-IN"/>
              </w:rPr>
            </w:pPr>
            <w:r w:rsidRPr="001210D0">
              <w:rPr>
                <w:rFonts w:ascii="Garamond" w:eastAsia="Times New Roman" w:hAnsi="Garamond"/>
                <w:b/>
                <w:bCs/>
                <w:color w:val="000000"/>
                <w:sz w:val="20"/>
                <w:szCs w:val="20"/>
                <w:lang w:val="en-IN" w:eastAsia="en-IN" w:bidi="hi-IN"/>
              </w:rPr>
              <w:t xml:space="preserve"> 257,179</w:t>
            </w:r>
          </w:p>
        </w:tc>
        <w:tc>
          <w:tcPr>
            <w:tcW w:w="541" w:type="pct"/>
            <w:tcBorders>
              <w:top w:val="nil"/>
              <w:left w:val="nil"/>
              <w:bottom w:val="single" w:sz="4" w:space="0" w:color="auto"/>
              <w:right w:val="single" w:sz="4" w:space="0" w:color="auto"/>
            </w:tcBorders>
            <w:shd w:val="clear" w:color="000000" w:fill="BDD6EE"/>
            <w:vAlign w:val="center"/>
            <w:hideMark/>
          </w:tcPr>
          <w:p w14:paraId="49892948" w14:textId="77777777" w:rsidR="00D33F7C" w:rsidRPr="001210D0" w:rsidRDefault="00D33F7C" w:rsidP="00E213CE">
            <w:pPr>
              <w:jc w:val="right"/>
              <w:rPr>
                <w:rFonts w:ascii="Garamond" w:eastAsia="Times New Roman" w:hAnsi="Garamond"/>
                <w:b/>
                <w:bCs/>
                <w:color w:val="000000"/>
                <w:sz w:val="20"/>
                <w:szCs w:val="20"/>
                <w:lang w:val="en-IN" w:eastAsia="en-IN" w:bidi="hi-IN"/>
              </w:rPr>
            </w:pPr>
            <w:r w:rsidRPr="001210D0">
              <w:rPr>
                <w:rFonts w:ascii="Garamond" w:eastAsia="Times New Roman" w:hAnsi="Garamond"/>
                <w:b/>
                <w:bCs/>
                <w:color w:val="000000"/>
                <w:sz w:val="20"/>
                <w:szCs w:val="20"/>
                <w:lang w:val="en-IN" w:eastAsia="en-IN" w:bidi="hi-IN"/>
              </w:rPr>
              <w:t xml:space="preserve"> 36,505</w:t>
            </w:r>
          </w:p>
        </w:tc>
        <w:tc>
          <w:tcPr>
            <w:tcW w:w="542" w:type="pct"/>
            <w:tcBorders>
              <w:top w:val="nil"/>
              <w:left w:val="nil"/>
              <w:bottom w:val="single" w:sz="4" w:space="0" w:color="auto"/>
              <w:right w:val="single" w:sz="4" w:space="0" w:color="auto"/>
            </w:tcBorders>
            <w:shd w:val="clear" w:color="000000" w:fill="BDD6EE"/>
            <w:vAlign w:val="center"/>
            <w:hideMark/>
          </w:tcPr>
          <w:p w14:paraId="2E017ECE" w14:textId="77777777" w:rsidR="00D33F7C" w:rsidRPr="001210D0" w:rsidRDefault="00D33F7C" w:rsidP="00E213CE">
            <w:pPr>
              <w:jc w:val="right"/>
              <w:rPr>
                <w:rFonts w:ascii="Garamond" w:eastAsia="Times New Roman" w:hAnsi="Garamond"/>
                <w:b/>
                <w:bCs/>
                <w:color w:val="000000"/>
                <w:sz w:val="20"/>
                <w:szCs w:val="20"/>
                <w:lang w:val="en-IN" w:eastAsia="en-IN" w:bidi="hi-IN"/>
              </w:rPr>
            </w:pPr>
            <w:r w:rsidRPr="001210D0">
              <w:rPr>
                <w:rFonts w:ascii="Garamond" w:eastAsia="Times New Roman" w:hAnsi="Garamond"/>
                <w:b/>
                <w:bCs/>
                <w:color w:val="000000"/>
                <w:sz w:val="20"/>
                <w:szCs w:val="20"/>
                <w:lang w:val="en-IN" w:eastAsia="en-IN" w:bidi="hi-IN"/>
              </w:rPr>
              <w:t xml:space="preserve"> 293,683</w:t>
            </w:r>
          </w:p>
        </w:tc>
      </w:tr>
    </w:tbl>
    <w:p w14:paraId="33061EF6" w14:textId="77777777" w:rsidR="00D33F7C" w:rsidRPr="00E25198" w:rsidRDefault="00D33F7C" w:rsidP="00D33F7C">
      <w:pPr>
        <w:jc w:val="both"/>
        <w:rPr>
          <w:rFonts w:ascii="Garamond" w:hAnsi="Garamond"/>
          <w:bCs/>
          <w:sz w:val="18"/>
          <w:szCs w:val="18"/>
        </w:rPr>
      </w:pPr>
      <w:r w:rsidRPr="00E25198">
        <w:rPr>
          <w:rFonts w:ascii="Garamond" w:hAnsi="Garamond"/>
          <w:bCs/>
          <w:sz w:val="18"/>
          <w:szCs w:val="18"/>
        </w:rPr>
        <w:t xml:space="preserve"> Note: For Funds mobilised through issuance of bonds, data may differ due to different reporting rules &amp; calculation methods. Fund mobilisation data for equities are (i) excluding investment funds and (ii) including Alternative and SME Markets except the following exceptions:</w:t>
      </w:r>
    </w:p>
    <w:p w14:paraId="0CDE8502" w14:textId="77777777" w:rsidR="00D33F7C" w:rsidRPr="00E25198" w:rsidRDefault="00D33F7C" w:rsidP="00D33F7C">
      <w:pPr>
        <w:widowControl w:val="0"/>
        <w:numPr>
          <w:ilvl w:val="0"/>
          <w:numId w:val="5"/>
        </w:numPr>
        <w:autoSpaceDE w:val="0"/>
        <w:autoSpaceDN w:val="0"/>
        <w:adjustRightInd w:val="0"/>
        <w:rPr>
          <w:rFonts w:ascii="Garamond" w:eastAsia="Times New Roman" w:hAnsi="Garamond"/>
          <w:bCs/>
          <w:sz w:val="18"/>
          <w:szCs w:val="18"/>
        </w:rPr>
      </w:pPr>
      <w:r w:rsidRPr="00E25198">
        <w:rPr>
          <w:rFonts w:ascii="Garamond" w:eastAsia="Times New Roman" w:hAnsi="Garamond"/>
          <w:bCs/>
          <w:sz w:val="18"/>
          <w:szCs w:val="18"/>
        </w:rPr>
        <w:t>Australian Securities Exchange: including investment funds</w:t>
      </w:r>
    </w:p>
    <w:p w14:paraId="4FA155B3" w14:textId="77777777" w:rsidR="00D33F7C" w:rsidRPr="00E25198" w:rsidRDefault="00D33F7C" w:rsidP="00D33F7C">
      <w:pPr>
        <w:widowControl w:val="0"/>
        <w:numPr>
          <w:ilvl w:val="0"/>
          <w:numId w:val="5"/>
        </w:numPr>
        <w:autoSpaceDE w:val="0"/>
        <w:autoSpaceDN w:val="0"/>
        <w:adjustRightInd w:val="0"/>
        <w:rPr>
          <w:rFonts w:ascii="Garamond" w:eastAsia="Times New Roman" w:hAnsi="Garamond"/>
          <w:bCs/>
          <w:sz w:val="18"/>
          <w:szCs w:val="18"/>
        </w:rPr>
      </w:pPr>
      <w:r w:rsidRPr="00E25198">
        <w:rPr>
          <w:rFonts w:ascii="Garamond" w:eastAsia="Times New Roman" w:hAnsi="Garamond"/>
          <w:bCs/>
          <w:sz w:val="18"/>
          <w:szCs w:val="18"/>
        </w:rPr>
        <w:t xml:space="preserve">BME: Including investment companies listed (open-end investment companies). </w:t>
      </w:r>
    </w:p>
    <w:p w14:paraId="7B6181CD" w14:textId="77777777" w:rsidR="00D33F7C" w:rsidRPr="00E25198" w:rsidRDefault="00D33F7C" w:rsidP="00D33F7C">
      <w:pPr>
        <w:widowControl w:val="0"/>
        <w:numPr>
          <w:ilvl w:val="0"/>
          <w:numId w:val="5"/>
        </w:numPr>
        <w:autoSpaceDE w:val="0"/>
        <w:autoSpaceDN w:val="0"/>
        <w:adjustRightInd w:val="0"/>
        <w:rPr>
          <w:rFonts w:ascii="Garamond" w:eastAsia="Times New Roman" w:hAnsi="Garamond"/>
          <w:bCs/>
          <w:sz w:val="18"/>
          <w:szCs w:val="18"/>
        </w:rPr>
      </w:pPr>
      <w:r w:rsidRPr="00E25198">
        <w:rPr>
          <w:rFonts w:ascii="Garamond" w:eastAsia="Times New Roman" w:hAnsi="Garamond"/>
          <w:bCs/>
          <w:sz w:val="18"/>
          <w:szCs w:val="18"/>
        </w:rPr>
        <w:t>Euronext: includes Belgium, England, France, Netherlands and Portugal</w:t>
      </w:r>
    </w:p>
    <w:p w14:paraId="66BD8424" w14:textId="77777777" w:rsidR="00D33F7C" w:rsidRPr="00E25198" w:rsidRDefault="00D33F7C" w:rsidP="00D33F7C">
      <w:pPr>
        <w:widowControl w:val="0"/>
        <w:numPr>
          <w:ilvl w:val="0"/>
          <w:numId w:val="5"/>
        </w:numPr>
        <w:autoSpaceDE w:val="0"/>
        <w:autoSpaceDN w:val="0"/>
        <w:adjustRightInd w:val="0"/>
        <w:rPr>
          <w:rFonts w:ascii="Garamond" w:eastAsia="Times New Roman" w:hAnsi="Garamond"/>
          <w:bCs/>
          <w:sz w:val="18"/>
          <w:szCs w:val="18"/>
        </w:rPr>
      </w:pPr>
      <w:r w:rsidRPr="00E25198">
        <w:rPr>
          <w:rFonts w:ascii="Garamond" w:eastAsia="Times New Roman" w:hAnsi="Garamond"/>
          <w:bCs/>
          <w:sz w:val="18"/>
          <w:szCs w:val="18"/>
        </w:rPr>
        <w:t>Korea Exchange: including Kosdaq market data</w:t>
      </w:r>
    </w:p>
    <w:p w14:paraId="0F833DDC" w14:textId="77777777" w:rsidR="00D33F7C" w:rsidRPr="00E25198" w:rsidRDefault="00D33F7C" w:rsidP="00D33F7C">
      <w:pPr>
        <w:widowControl w:val="0"/>
        <w:numPr>
          <w:ilvl w:val="0"/>
          <w:numId w:val="5"/>
        </w:numPr>
        <w:autoSpaceDE w:val="0"/>
        <w:autoSpaceDN w:val="0"/>
        <w:adjustRightInd w:val="0"/>
        <w:rPr>
          <w:rFonts w:ascii="Garamond" w:eastAsia="Times New Roman" w:hAnsi="Garamond"/>
          <w:bCs/>
          <w:sz w:val="18"/>
          <w:szCs w:val="18"/>
        </w:rPr>
      </w:pPr>
      <w:r w:rsidRPr="00E25198">
        <w:rPr>
          <w:rFonts w:ascii="Garamond" w:eastAsia="Times New Roman" w:hAnsi="Garamond"/>
          <w:bCs/>
          <w:sz w:val="18"/>
          <w:szCs w:val="18"/>
        </w:rPr>
        <w:t>LSE Group: includes London Stock Exchange and BorsaItaliana</w:t>
      </w:r>
    </w:p>
    <w:p w14:paraId="38E8E02A" w14:textId="77777777" w:rsidR="00D33F7C" w:rsidRPr="00E25198" w:rsidRDefault="00D33F7C" w:rsidP="00D33F7C">
      <w:pPr>
        <w:widowControl w:val="0"/>
        <w:numPr>
          <w:ilvl w:val="0"/>
          <w:numId w:val="5"/>
        </w:numPr>
        <w:autoSpaceDE w:val="0"/>
        <w:autoSpaceDN w:val="0"/>
        <w:adjustRightInd w:val="0"/>
        <w:rPr>
          <w:rFonts w:ascii="Garamond" w:eastAsia="Times New Roman" w:hAnsi="Garamond"/>
          <w:bCs/>
          <w:sz w:val="18"/>
          <w:szCs w:val="18"/>
        </w:rPr>
      </w:pPr>
      <w:r w:rsidRPr="00E25198">
        <w:rPr>
          <w:rFonts w:ascii="Garamond" w:eastAsia="Times New Roman" w:hAnsi="Garamond"/>
          <w:bCs/>
          <w:sz w:val="18"/>
          <w:szCs w:val="18"/>
        </w:rPr>
        <w:t>Nasdaq Nordic Exchanges include Copenhagen, Helsinki, Iceland, Stockholm, Tallinn, Riga and Vilnius Stock Exchanges</w:t>
      </w:r>
    </w:p>
    <w:p w14:paraId="58EC6A6C" w14:textId="77777777" w:rsidR="00D33F7C" w:rsidRPr="00E25198" w:rsidRDefault="00D33F7C" w:rsidP="00D33F7C">
      <w:pPr>
        <w:widowControl w:val="0"/>
        <w:numPr>
          <w:ilvl w:val="0"/>
          <w:numId w:val="5"/>
        </w:numPr>
        <w:autoSpaceDE w:val="0"/>
        <w:autoSpaceDN w:val="0"/>
        <w:adjustRightInd w:val="0"/>
        <w:rPr>
          <w:rFonts w:ascii="Garamond" w:eastAsia="Times New Roman" w:hAnsi="Garamond"/>
          <w:bCs/>
          <w:sz w:val="18"/>
          <w:szCs w:val="18"/>
        </w:rPr>
      </w:pPr>
      <w:r w:rsidRPr="00E25198">
        <w:rPr>
          <w:rFonts w:ascii="Garamond" w:eastAsia="Times New Roman" w:hAnsi="Garamond"/>
          <w:bCs/>
          <w:sz w:val="18"/>
          <w:szCs w:val="18"/>
        </w:rPr>
        <w:t>NSE India: including “Emerge” market data</w:t>
      </w:r>
    </w:p>
    <w:p w14:paraId="00BB8FCC" w14:textId="77777777" w:rsidR="00D33F7C" w:rsidRPr="00E25198" w:rsidRDefault="00D33F7C" w:rsidP="00D33F7C">
      <w:pPr>
        <w:outlineLvl w:val="0"/>
        <w:rPr>
          <w:rFonts w:ascii="Garamond" w:hAnsi="Garamond"/>
          <w:bCs/>
          <w:sz w:val="18"/>
          <w:szCs w:val="18"/>
        </w:rPr>
      </w:pPr>
      <w:r w:rsidRPr="00E25198">
        <w:rPr>
          <w:rFonts w:ascii="Garamond" w:hAnsi="Garamond"/>
          <w:bCs/>
          <w:sz w:val="18"/>
          <w:szCs w:val="18"/>
        </w:rPr>
        <w:t>NA = Not Available</w:t>
      </w:r>
    </w:p>
    <w:p w14:paraId="3688416D" w14:textId="77777777" w:rsidR="00D33F7C" w:rsidRPr="00E25198" w:rsidRDefault="00D33F7C" w:rsidP="00D33F7C">
      <w:pPr>
        <w:spacing w:line="23" w:lineRule="atLeast"/>
        <w:rPr>
          <w:rFonts w:ascii="Garamond" w:hAnsi="Garamond"/>
          <w:bCs/>
          <w:sz w:val="18"/>
          <w:szCs w:val="18"/>
        </w:rPr>
      </w:pPr>
      <w:r w:rsidRPr="00E25198">
        <w:rPr>
          <w:rFonts w:ascii="Garamond" w:hAnsi="Garamond"/>
          <w:bCs/>
          <w:sz w:val="18"/>
          <w:szCs w:val="18"/>
        </w:rPr>
        <w:t>Source: World Federation of Exchanges</w:t>
      </w:r>
    </w:p>
    <w:p w14:paraId="2442D4E8" w14:textId="77777777" w:rsidR="00D33F7C" w:rsidRPr="00E25198" w:rsidRDefault="00D33F7C" w:rsidP="00D33F7C">
      <w:pPr>
        <w:rPr>
          <w:rFonts w:ascii="Garamond" w:hAnsi="Garamond"/>
          <w:bCs/>
          <w:sz w:val="22"/>
          <w:szCs w:val="22"/>
        </w:rPr>
      </w:pPr>
    </w:p>
    <w:p w14:paraId="32EE9336" w14:textId="77777777" w:rsidR="00D33F7C" w:rsidRPr="00E25198" w:rsidRDefault="00D33F7C" w:rsidP="00D33F7C">
      <w:pPr>
        <w:spacing w:line="23" w:lineRule="atLeast"/>
        <w:jc w:val="both"/>
        <w:outlineLvl w:val="0"/>
        <w:rPr>
          <w:rFonts w:ascii="Garamond" w:hAnsi="Garamond"/>
          <w:b/>
          <w:bCs/>
          <w:szCs w:val="22"/>
        </w:rPr>
      </w:pPr>
      <w:r w:rsidRPr="00E25198">
        <w:rPr>
          <w:rFonts w:ascii="Garamond" w:hAnsi="Garamond"/>
          <w:b/>
          <w:bCs/>
          <w:szCs w:val="22"/>
        </w:rPr>
        <w:t>Table A3: Domestic Market Capitalisation of Major Exchanges (USD billion)</w:t>
      </w:r>
    </w:p>
    <w:tbl>
      <w:tblPr>
        <w:tblW w:w="7891" w:type="dxa"/>
        <w:jc w:val="center"/>
        <w:tblLook w:val="04A0" w:firstRow="1" w:lastRow="0" w:firstColumn="1" w:lastColumn="0" w:noHBand="0" w:noVBand="1"/>
      </w:tblPr>
      <w:tblGrid>
        <w:gridCol w:w="4096"/>
        <w:gridCol w:w="1265"/>
        <w:gridCol w:w="1265"/>
        <w:gridCol w:w="1265"/>
      </w:tblGrid>
      <w:tr w:rsidR="00D33F7C" w:rsidRPr="001210D0" w14:paraId="0BEACD53" w14:textId="77777777" w:rsidTr="00E213CE">
        <w:trPr>
          <w:trHeight w:val="244"/>
          <w:jc w:val="center"/>
        </w:trPr>
        <w:tc>
          <w:tcPr>
            <w:tcW w:w="4096"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05924AAC" w14:textId="12A68C7A" w:rsidR="00D33F7C" w:rsidRPr="001210D0" w:rsidRDefault="004D10FC" w:rsidP="00E213CE">
            <w:pPr>
              <w:rPr>
                <w:rFonts w:ascii="Garamond" w:eastAsia="Times New Roman" w:hAnsi="Garamond"/>
                <w:b/>
                <w:bCs/>
                <w:color w:val="000000"/>
                <w:sz w:val="20"/>
                <w:szCs w:val="20"/>
                <w:lang w:val="en-IN" w:eastAsia="en-IN" w:bidi="hi-IN"/>
              </w:rPr>
            </w:pPr>
            <w:r w:rsidRPr="001210D0">
              <w:rPr>
                <w:rFonts w:ascii="Garamond" w:eastAsia="Times New Roman" w:hAnsi="Garamond"/>
                <w:b/>
                <w:bCs/>
                <w:color w:val="000000"/>
                <w:sz w:val="20"/>
                <w:szCs w:val="20"/>
                <w:lang w:val="en-IN" w:eastAsia="en-IN" w:bidi="hi-IN"/>
              </w:rPr>
              <w:t>Exchange</w:t>
            </w:r>
          </w:p>
        </w:tc>
        <w:tc>
          <w:tcPr>
            <w:tcW w:w="1265" w:type="dxa"/>
            <w:tcBorders>
              <w:top w:val="single" w:sz="4" w:space="0" w:color="auto"/>
              <w:left w:val="nil"/>
              <w:bottom w:val="single" w:sz="4" w:space="0" w:color="auto"/>
              <w:right w:val="single" w:sz="4" w:space="0" w:color="auto"/>
            </w:tcBorders>
            <w:shd w:val="clear" w:color="000000" w:fill="B4C6E7"/>
            <w:noWrap/>
            <w:vAlign w:val="center"/>
            <w:hideMark/>
          </w:tcPr>
          <w:p w14:paraId="584769F8" w14:textId="77777777" w:rsidR="00D33F7C" w:rsidRPr="001210D0" w:rsidRDefault="00D33F7C" w:rsidP="00E213CE">
            <w:pPr>
              <w:jc w:val="center"/>
              <w:rPr>
                <w:rFonts w:ascii="Calibri" w:eastAsia="Times New Roman" w:hAnsi="Calibri"/>
                <w:b/>
                <w:bCs/>
                <w:color w:val="000000"/>
                <w:sz w:val="18"/>
                <w:szCs w:val="18"/>
                <w:lang w:val="en-IN" w:eastAsia="en-IN" w:bidi="hi-IN"/>
              </w:rPr>
            </w:pPr>
            <w:r w:rsidRPr="001210D0">
              <w:rPr>
                <w:rFonts w:ascii="Calibri" w:eastAsia="Times New Roman" w:hAnsi="Calibri"/>
                <w:b/>
                <w:bCs/>
                <w:color w:val="000000"/>
                <w:sz w:val="18"/>
                <w:szCs w:val="18"/>
                <w:lang w:val="en-IN" w:eastAsia="en-IN" w:bidi="hi-IN"/>
              </w:rPr>
              <w:t>Apr-21</w:t>
            </w:r>
          </w:p>
        </w:tc>
        <w:tc>
          <w:tcPr>
            <w:tcW w:w="1265" w:type="dxa"/>
            <w:tcBorders>
              <w:top w:val="single" w:sz="4" w:space="0" w:color="auto"/>
              <w:left w:val="nil"/>
              <w:bottom w:val="single" w:sz="4" w:space="0" w:color="auto"/>
              <w:right w:val="single" w:sz="4" w:space="0" w:color="auto"/>
            </w:tcBorders>
            <w:shd w:val="clear" w:color="000000" w:fill="B4C6E7"/>
            <w:noWrap/>
            <w:vAlign w:val="center"/>
            <w:hideMark/>
          </w:tcPr>
          <w:p w14:paraId="46B945DB" w14:textId="77777777" w:rsidR="00D33F7C" w:rsidRPr="001210D0" w:rsidRDefault="00D33F7C" w:rsidP="00E213CE">
            <w:pPr>
              <w:jc w:val="center"/>
              <w:rPr>
                <w:rFonts w:ascii="Calibri" w:eastAsia="Times New Roman" w:hAnsi="Calibri"/>
                <w:b/>
                <w:bCs/>
                <w:color w:val="000000"/>
                <w:sz w:val="18"/>
                <w:szCs w:val="18"/>
                <w:lang w:val="en-IN" w:eastAsia="en-IN" w:bidi="hi-IN"/>
              </w:rPr>
            </w:pPr>
            <w:r w:rsidRPr="001210D0">
              <w:rPr>
                <w:rFonts w:ascii="Calibri" w:eastAsia="Times New Roman" w:hAnsi="Calibri"/>
                <w:b/>
                <w:bCs/>
                <w:color w:val="000000"/>
                <w:sz w:val="18"/>
                <w:szCs w:val="18"/>
                <w:lang w:val="en-IN" w:eastAsia="en-IN" w:bidi="hi-IN"/>
              </w:rPr>
              <w:t>May-21</w:t>
            </w:r>
          </w:p>
        </w:tc>
        <w:tc>
          <w:tcPr>
            <w:tcW w:w="1265" w:type="dxa"/>
            <w:tcBorders>
              <w:top w:val="single" w:sz="4" w:space="0" w:color="auto"/>
              <w:left w:val="nil"/>
              <w:bottom w:val="single" w:sz="4" w:space="0" w:color="auto"/>
              <w:right w:val="single" w:sz="4" w:space="0" w:color="auto"/>
            </w:tcBorders>
            <w:shd w:val="clear" w:color="000000" w:fill="B4C6E7"/>
            <w:noWrap/>
            <w:vAlign w:val="center"/>
            <w:hideMark/>
          </w:tcPr>
          <w:p w14:paraId="4CB9B893" w14:textId="77777777" w:rsidR="00D33F7C" w:rsidRPr="001210D0" w:rsidRDefault="00D33F7C" w:rsidP="00E213CE">
            <w:pPr>
              <w:rPr>
                <w:rFonts w:ascii="Calibri" w:eastAsia="Times New Roman" w:hAnsi="Calibri"/>
                <w:b/>
                <w:bCs/>
                <w:color w:val="000000"/>
                <w:sz w:val="18"/>
                <w:szCs w:val="18"/>
                <w:lang w:val="en-IN" w:eastAsia="en-IN" w:bidi="hi-IN"/>
              </w:rPr>
            </w:pPr>
            <w:r w:rsidRPr="001210D0">
              <w:rPr>
                <w:rFonts w:ascii="Calibri" w:eastAsia="Times New Roman" w:hAnsi="Calibri"/>
                <w:b/>
                <w:bCs/>
                <w:color w:val="000000"/>
                <w:sz w:val="18"/>
                <w:szCs w:val="18"/>
                <w:lang w:val="en-IN" w:eastAsia="en-IN" w:bidi="hi-IN"/>
              </w:rPr>
              <w:t>% Change MoM</w:t>
            </w:r>
          </w:p>
        </w:tc>
      </w:tr>
      <w:tr w:rsidR="00D33F7C" w:rsidRPr="001210D0" w14:paraId="36E50668" w14:textId="77777777" w:rsidTr="00E213CE">
        <w:trPr>
          <w:trHeight w:val="244"/>
          <w:jc w:val="center"/>
        </w:trPr>
        <w:tc>
          <w:tcPr>
            <w:tcW w:w="4096" w:type="dxa"/>
            <w:tcBorders>
              <w:top w:val="nil"/>
              <w:left w:val="single" w:sz="4" w:space="0" w:color="auto"/>
              <w:bottom w:val="single" w:sz="4" w:space="0" w:color="auto"/>
              <w:right w:val="single" w:sz="4" w:space="0" w:color="auto"/>
            </w:tcBorders>
            <w:shd w:val="clear" w:color="000000" w:fill="D9E1F2"/>
            <w:noWrap/>
            <w:vAlign w:val="center"/>
            <w:hideMark/>
          </w:tcPr>
          <w:p w14:paraId="49D3AE89" w14:textId="77777777" w:rsidR="00D33F7C" w:rsidRPr="001210D0" w:rsidRDefault="00D33F7C" w:rsidP="00E213CE">
            <w:pPr>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Nasdaq - US</w:t>
            </w:r>
          </w:p>
        </w:tc>
        <w:tc>
          <w:tcPr>
            <w:tcW w:w="1265" w:type="dxa"/>
            <w:tcBorders>
              <w:top w:val="nil"/>
              <w:left w:val="nil"/>
              <w:bottom w:val="single" w:sz="4" w:space="0" w:color="auto"/>
              <w:right w:val="single" w:sz="4" w:space="0" w:color="auto"/>
            </w:tcBorders>
            <w:shd w:val="clear" w:color="auto" w:fill="auto"/>
            <w:vAlign w:val="center"/>
            <w:hideMark/>
          </w:tcPr>
          <w:p w14:paraId="58DB9F40"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20,991</w:t>
            </w:r>
          </w:p>
        </w:tc>
        <w:tc>
          <w:tcPr>
            <w:tcW w:w="1265" w:type="dxa"/>
            <w:tcBorders>
              <w:top w:val="nil"/>
              <w:left w:val="nil"/>
              <w:bottom w:val="single" w:sz="4" w:space="0" w:color="auto"/>
              <w:right w:val="single" w:sz="4" w:space="0" w:color="auto"/>
            </w:tcBorders>
            <w:shd w:val="clear" w:color="auto" w:fill="auto"/>
            <w:vAlign w:val="center"/>
            <w:hideMark/>
          </w:tcPr>
          <w:p w14:paraId="7C794026"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20,875</w:t>
            </w:r>
          </w:p>
        </w:tc>
        <w:tc>
          <w:tcPr>
            <w:tcW w:w="1265" w:type="dxa"/>
            <w:tcBorders>
              <w:top w:val="nil"/>
              <w:left w:val="nil"/>
              <w:bottom w:val="single" w:sz="4" w:space="0" w:color="auto"/>
              <w:right w:val="single" w:sz="4" w:space="0" w:color="auto"/>
            </w:tcBorders>
            <w:shd w:val="clear" w:color="auto" w:fill="auto"/>
            <w:noWrap/>
            <w:vAlign w:val="center"/>
            <w:hideMark/>
          </w:tcPr>
          <w:p w14:paraId="529EF334"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-0.6%</w:t>
            </w:r>
          </w:p>
        </w:tc>
      </w:tr>
      <w:tr w:rsidR="00D33F7C" w:rsidRPr="001210D0" w14:paraId="2EB68FD2" w14:textId="77777777" w:rsidTr="00E213CE">
        <w:trPr>
          <w:trHeight w:val="244"/>
          <w:jc w:val="center"/>
        </w:trPr>
        <w:tc>
          <w:tcPr>
            <w:tcW w:w="4096" w:type="dxa"/>
            <w:tcBorders>
              <w:top w:val="nil"/>
              <w:left w:val="single" w:sz="4" w:space="0" w:color="auto"/>
              <w:bottom w:val="single" w:sz="4" w:space="0" w:color="auto"/>
              <w:right w:val="single" w:sz="4" w:space="0" w:color="auto"/>
            </w:tcBorders>
            <w:shd w:val="clear" w:color="000000" w:fill="D9E1F2"/>
            <w:noWrap/>
            <w:vAlign w:val="center"/>
            <w:hideMark/>
          </w:tcPr>
          <w:p w14:paraId="0B338892" w14:textId="77777777" w:rsidR="00D33F7C" w:rsidRPr="001210D0" w:rsidRDefault="00D33F7C" w:rsidP="00E213CE">
            <w:pPr>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NYSE</w:t>
            </w:r>
          </w:p>
        </w:tc>
        <w:tc>
          <w:tcPr>
            <w:tcW w:w="1265" w:type="dxa"/>
            <w:tcBorders>
              <w:top w:val="nil"/>
              <w:left w:val="nil"/>
              <w:bottom w:val="single" w:sz="4" w:space="0" w:color="auto"/>
              <w:right w:val="single" w:sz="4" w:space="0" w:color="auto"/>
            </w:tcBorders>
            <w:shd w:val="clear" w:color="auto" w:fill="auto"/>
            <w:vAlign w:val="center"/>
            <w:hideMark/>
          </w:tcPr>
          <w:p w14:paraId="530AF2C6"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24,676</w:t>
            </w:r>
          </w:p>
        </w:tc>
        <w:tc>
          <w:tcPr>
            <w:tcW w:w="1265" w:type="dxa"/>
            <w:tcBorders>
              <w:top w:val="nil"/>
              <w:left w:val="nil"/>
              <w:bottom w:val="single" w:sz="4" w:space="0" w:color="auto"/>
              <w:right w:val="single" w:sz="4" w:space="0" w:color="auto"/>
            </w:tcBorders>
            <w:shd w:val="clear" w:color="auto" w:fill="auto"/>
            <w:vAlign w:val="center"/>
            <w:hideMark/>
          </w:tcPr>
          <w:p w14:paraId="6610766F"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24,935</w:t>
            </w:r>
          </w:p>
        </w:tc>
        <w:tc>
          <w:tcPr>
            <w:tcW w:w="1265" w:type="dxa"/>
            <w:tcBorders>
              <w:top w:val="nil"/>
              <w:left w:val="nil"/>
              <w:bottom w:val="single" w:sz="4" w:space="0" w:color="auto"/>
              <w:right w:val="single" w:sz="4" w:space="0" w:color="auto"/>
            </w:tcBorders>
            <w:shd w:val="clear" w:color="auto" w:fill="auto"/>
            <w:noWrap/>
            <w:vAlign w:val="center"/>
            <w:hideMark/>
          </w:tcPr>
          <w:p w14:paraId="209C7EBB"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1.1%</w:t>
            </w:r>
          </w:p>
        </w:tc>
      </w:tr>
      <w:tr w:rsidR="00D33F7C" w:rsidRPr="001210D0" w14:paraId="53BA41B9" w14:textId="77777777" w:rsidTr="00E213CE">
        <w:trPr>
          <w:trHeight w:val="244"/>
          <w:jc w:val="center"/>
        </w:trPr>
        <w:tc>
          <w:tcPr>
            <w:tcW w:w="4096" w:type="dxa"/>
            <w:tcBorders>
              <w:top w:val="nil"/>
              <w:left w:val="single" w:sz="4" w:space="0" w:color="auto"/>
              <w:bottom w:val="single" w:sz="4" w:space="0" w:color="auto"/>
              <w:right w:val="single" w:sz="4" w:space="0" w:color="auto"/>
            </w:tcBorders>
            <w:shd w:val="clear" w:color="000000" w:fill="D9E1F2"/>
            <w:noWrap/>
            <w:vAlign w:val="center"/>
            <w:hideMark/>
          </w:tcPr>
          <w:p w14:paraId="2CB8347F" w14:textId="77777777" w:rsidR="00D33F7C" w:rsidRPr="001210D0" w:rsidRDefault="00D33F7C" w:rsidP="00E213CE">
            <w:pPr>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LSE Group</w:t>
            </w:r>
          </w:p>
        </w:tc>
        <w:tc>
          <w:tcPr>
            <w:tcW w:w="1265" w:type="dxa"/>
            <w:tcBorders>
              <w:top w:val="nil"/>
              <w:left w:val="nil"/>
              <w:bottom w:val="single" w:sz="4" w:space="0" w:color="auto"/>
              <w:right w:val="single" w:sz="4" w:space="0" w:color="auto"/>
            </w:tcBorders>
            <w:shd w:val="clear" w:color="auto" w:fill="auto"/>
            <w:vAlign w:val="center"/>
            <w:hideMark/>
          </w:tcPr>
          <w:p w14:paraId="31C2B15F"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NA</w:t>
            </w:r>
          </w:p>
        </w:tc>
        <w:tc>
          <w:tcPr>
            <w:tcW w:w="1265" w:type="dxa"/>
            <w:tcBorders>
              <w:top w:val="nil"/>
              <w:left w:val="nil"/>
              <w:bottom w:val="single" w:sz="4" w:space="0" w:color="auto"/>
              <w:right w:val="single" w:sz="4" w:space="0" w:color="auto"/>
            </w:tcBorders>
            <w:shd w:val="clear" w:color="auto" w:fill="auto"/>
            <w:vAlign w:val="center"/>
            <w:hideMark/>
          </w:tcPr>
          <w:p w14:paraId="151B5D0F"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NA</w:t>
            </w:r>
          </w:p>
        </w:tc>
        <w:tc>
          <w:tcPr>
            <w:tcW w:w="1265" w:type="dxa"/>
            <w:tcBorders>
              <w:top w:val="nil"/>
              <w:left w:val="nil"/>
              <w:bottom w:val="single" w:sz="4" w:space="0" w:color="auto"/>
              <w:right w:val="single" w:sz="4" w:space="0" w:color="auto"/>
            </w:tcBorders>
            <w:shd w:val="clear" w:color="auto" w:fill="auto"/>
            <w:noWrap/>
            <w:vAlign w:val="center"/>
            <w:hideMark/>
          </w:tcPr>
          <w:p w14:paraId="55CDD03B"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NA</w:t>
            </w:r>
          </w:p>
        </w:tc>
      </w:tr>
      <w:tr w:rsidR="00D33F7C" w:rsidRPr="001210D0" w14:paraId="7EB35C3F" w14:textId="77777777" w:rsidTr="00E213CE">
        <w:trPr>
          <w:trHeight w:val="244"/>
          <w:jc w:val="center"/>
        </w:trPr>
        <w:tc>
          <w:tcPr>
            <w:tcW w:w="4096" w:type="dxa"/>
            <w:tcBorders>
              <w:top w:val="nil"/>
              <w:left w:val="single" w:sz="4" w:space="0" w:color="auto"/>
              <w:bottom w:val="single" w:sz="4" w:space="0" w:color="auto"/>
              <w:right w:val="single" w:sz="4" w:space="0" w:color="auto"/>
            </w:tcBorders>
            <w:shd w:val="clear" w:color="000000" w:fill="D9E1F2"/>
            <w:noWrap/>
            <w:vAlign w:val="center"/>
            <w:hideMark/>
          </w:tcPr>
          <w:p w14:paraId="2B782B54" w14:textId="77777777" w:rsidR="00D33F7C" w:rsidRPr="001210D0" w:rsidRDefault="00D33F7C" w:rsidP="00E213CE">
            <w:pPr>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Deutsche Boerse AG</w:t>
            </w:r>
          </w:p>
        </w:tc>
        <w:tc>
          <w:tcPr>
            <w:tcW w:w="1265" w:type="dxa"/>
            <w:tcBorders>
              <w:top w:val="nil"/>
              <w:left w:val="nil"/>
              <w:bottom w:val="single" w:sz="4" w:space="0" w:color="auto"/>
              <w:right w:val="single" w:sz="4" w:space="0" w:color="auto"/>
            </w:tcBorders>
            <w:shd w:val="clear" w:color="auto" w:fill="auto"/>
            <w:vAlign w:val="center"/>
            <w:hideMark/>
          </w:tcPr>
          <w:p w14:paraId="3C22F62E"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2,540</w:t>
            </w:r>
          </w:p>
        </w:tc>
        <w:tc>
          <w:tcPr>
            <w:tcW w:w="1265" w:type="dxa"/>
            <w:tcBorders>
              <w:top w:val="nil"/>
              <w:left w:val="nil"/>
              <w:bottom w:val="single" w:sz="4" w:space="0" w:color="auto"/>
              <w:right w:val="single" w:sz="4" w:space="0" w:color="auto"/>
            </w:tcBorders>
            <w:shd w:val="clear" w:color="auto" w:fill="auto"/>
            <w:vAlign w:val="center"/>
            <w:hideMark/>
          </w:tcPr>
          <w:p w14:paraId="244B1330"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2,648</w:t>
            </w:r>
          </w:p>
        </w:tc>
        <w:tc>
          <w:tcPr>
            <w:tcW w:w="1265" w:type="dxa"/>
            <w:tcBorders>
              <w:top w:val="nil"/>
              <w:left w:val="nil"/>
              <w:bottom w:val="single" w:sz="4" w:space="0" w:color="auto"/>
              <w:right w:val="single" w:sz="4" w:space="0" w:color="auto"/>
            </w:tcBorders>
            <w:shd w:val="clear" w:color="auto" w:fill="auto"/>
            <w:noWrap/>
            <w:vAlign w:val="center"/>
            <w:hideMark/>
          </w:tcPr>
          <w:p w14:paraId="6F2BCF0F"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4.2%</w:t>
            </w:r>
          </w:p>
        </w:tc>
      </w:tr>
      <w:tr w:rsidR="00D33F7C" w:rsidRPr="001210D0" w14:paraId="3A0DE8DD" w14:textId="77777777" w:rsidTr="00E213CE">
        <w:trPr>
          <w:trHeight w:val="244"/>
          <w:jc w:val="center"/>
        </w:trPr>
        <w:tc>
          <w:tcPr>
            <w:tcW w:w="4096" w:type="dxa"/>
            <w:tcBorders>
              <w:top w:val="nil"/>
              <w:left w:val="single" w:sz="4" w:space="0" w:color="auto"/>
              <w:bottom w:val="single" w:sz="4" w:space="0" w:color="auto"/>
              <w:right w:val="single" w:sz="4" w:space="0" w:color="auto"/>
            </w:tcBorders>
            <w:shd w:val="clear" w:color="000000" w:fill="D9E1F2"/>
            <w:noWrap/>
            <w:vAlign w:val="center"/>
            <w:hideMark/>
          </w:tcPr>
          <w:p w14:paraId="41E6C902" w14:textId="77777777" w:rsidR="00D33F7C" w:rsidRPr="001210D0" w:rsidRDefault="00D33F7C" w:rsidP="00E213CE">
            <w:pPr>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BME Spanish Exchanges</w:t>
            </w:r>
          </w:p>
        </w:tc>
        <w:tc>
          <w:tcPr>
            <w:tcW w:w="1265" w:type="dxa"/>
            <w:tcBorders>
              <w:top w:val="nil"/>
              <w:left w:val="nil"/>
              <w:bottom w:val="single" w:sz="4" w:space="0" w:color="auto"/>
              <w:right w:val="single" w:sz="4" w:space="0" w:color="auto"/>
            </w:tcBorders>
            <w:shd w:val="clear" w:color="auto" w:fill="auto"/>
            <w:vAlign w:val="center"/>
            <w:hideMark/>
          </w:tcPr>
          <w:p w14:paraId="4DBA2FC3"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819</w:t>
            </w:r>
          </w:p>
        </w:tc>
        <w:tc>
          <w:tcPr>
            <w:tcW w:w="1265" w:type="dxa"/>
            <w:tcBorders>
              <w:top w:val="nil"/>
              <w:left w:val="nil"/>
              <w:bottom w:val="single" w:sz="4" w:space="0" w:color="auto"/>
              <w:right w:val="single" w:sz="4" w:space="0" w:color="auto"/>
            </w:tcBorders>
            <w:shd w:val="clear" w:color="auto" w:fill="auto"/>
            <w:vAlign w:val="center"/>
            <w:hideMark/>
          </w:tcPr>
          <w:p w14:paraId="7AC7241A"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858</w:t>
            </w:r>
          </w:p>
        </w:tc>
        <w:tc>
          <w:tcPr>
            <w:tcW w:w="1265" w:type="dxa"/>
            <w:tcBorders>
              <w:top w:val="nil"/>
              <w:left w:val="nil"/>
              <w:bottom w:val="single" w:sz="4" w:space="0" w:color="auto"/>
              <w:right w:val="single" w:sz="4" w:space="0" w:color="auto"/>
            </w:tcBorders>
            <w:shd w:val="clear" w:color="auto" w:fill="auto"/>
            <w:noWrap/>
            <w:vAlign w:val="center"/>
            <w:hideMark/>
          </w:tcPr>
          <w:p w14:paraId="44C0F899"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4.8%</w:t>
            </w:r>
          </w:p>
        </w:tc>
      </w:tr>
      <w:tr w:rsidR="00D33F7C" w:rsidRPr="001210D0" w14:paraId="36040A34" w14:textId="77777777" w:rsidTr="00E213CE">
        <w:trPr>
          <w:trHeight w:val="244"/>
          <w:jc w:val="center"/>
        </w:trPr>
        <w:tc>
          <w:tcPr>
            <w:tcW w:w="4096" w:type="dxa"/>
            <w:tcBorders>
              <w:top w:val="nil"/>
              <w:left w:val="single" w:sz="4" w:space="0" w:color="auto"/>
              <w:bottom w:val="single" w:sz="4" w:space="0" w:color="auto"/>
              <w:right w:val="single" w:sz="4" w:space="0" w:color="auto"/>
            </w:tcBorders>
            <w:shd w:val="clear" w:color="000000" w:fill="D9E1F2"/>
            <w:noWrap/>
            <w:vAlign w:val="center"/>
            <w:hideMark/>
          </w:tcPr>
          <w:p w14:paraId="42AB339C" w14:textId="77777777" w:rsidR="00D33F7C" w:rsidRPr="001210D0" w:rsidRDefault="00D33F7C" w:rsidP="00E213CE">
            <w:pPr>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Japan Exchange Group</w:t>
            </w:r>
          </w:p>
        </w:tc>
        <w:tc>
          <w:tcPr>
            <w:tcW w:w="1265" w:type="dxa"/>
            <w:tcBorders>
              <w:top w:val="nil"/>
              <w:left w:val="nil"/>
              <w:bottom w:val="single" w:sz="4" w:space="0" w:color="auto"/>
              <w:right w:val="single" w:sz="4" w:space="0" w:color="auto"/>
            </w:tcBorders>
            <w:shd w:val="clear" w:color="auto" w:fill="auto"/>
            <w:vAlign w:val="center"/>
            <w:hideMark/>
          </w:tcPr>
          <w:p w14:paraId="3CE7D2E5"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6,665</w:t>
            </w:r>
          </w:p>
        </w:tc>
        <w:tc>
          <w:tcPr>
            <w:tcW w:w="1265" w:type="dxa"/>
            <w:tcBorders>
              <w:top w:val="nil"/>
              <w:left w:val="nil"/>
              <w:bottom w:val="single" w:sz="4" w:space="0" w:color="auto"/>
              <w:right w:val="single" w:sz="4" w:space="0" w:color="auto"/>
            </w:tcBorders>
            <w:shd w:val="clear" w:color="auto" w:fill="auto"/>
            <w:vAlign w:val="center"/>
            <w:hideMark/>
          </w:tcPr>
          <w:p w14:paraId="24927243"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6,711</w:t>
            </w:r>
          </w:p>
        </w:tc>
        <w:tc>
          <w:tcPr>
            <w:tcW w:w="1265" w:type="dxa"/>
            <w:tcBorders>
              <w:top w:val="nil"/>
              <w:left w:val="nil"/>
              <w:bottom w:val="single" w:sz="4" w:space="0" w:color="auto"/>
              <w:right w:val="single" w:sz="4" w:space="0" w:color="auto"/>
            </w:tcBorders>
            <w:shd w:val="clear" w:color="auto" w:fill="auto"/>
            <w:noWrap/>
            <w:vAlign w:val="center"/>
            <w:hideMark/>
          </w:tcPr>
          <w:p w14:paraId="21362A5E"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0.7%</w:t>
            </w:r>
          </w:p>
        </w:tc>
      </w:tr>
      <w:tr w:rsidR="00D33F7C" w:rsidRPr="001210D0" w14:paraId="7ECD40E7" w14:textId="77777777" w:rsidTr="00E213CE">
        <w:trPr>
          <w:trHeight w:val="244"/>
          <w:jc w:val="center"/>
        </w:trPr>
        <w:tc>
          <w:tcPr>
            <w:tcW w:w="4096" w:type="dxa"/>
            <w:tcBorders>
              <w:top w:val="nil"/>
              <w:left w:val="single" w:sz="4" w:space="0" w:color="auto"/>
              <w:bottom w:val="single" w:sz="4" w:space="0" w:color="auto"/>
              <w:right w:val="single" w:sz="4" w:space="0" w:color="auto"/>
            </w:tcBorders>
            <w:shd w:val="clear" w:color="000000" w:fill="D9E1F2"/>
            <w:noWrap/>
            <w:vAlign w:val="center"/>
            <w:hideMark/>
          </w:tcPr>
          <w:p w14:paraId="54082D41" w14:textId="77777777" w:rsidR="00D33F7C" w:rsidRPr="001210D0" w:rsidRDefault="00D33F7C" w:rsidP="00E213CE">
            <w:pPr>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Singapore Exchange</w:t>
            </w:r>
          </w:p>
        </w:tc>
        <w:tc>
          <w:tcPr>
            <w:tcW w:w="1265" w:type="dxa"/>
            <w:tcBorders>
              <w:top w:val="nil"/>
              <w:left w:val="nil"/>
              <w:bottom w:val="single" w:sz="4" w:space="0" w:color="auto"/>
              <w:right w:val="single" w:sz="4" w:space="0" w:color="auto"/>
            </w:tcBorders>
            <w:shd w:val="clear" w:color="auto" w:fill="auto"/>
            <w:vAlign w:val="center"/>
            <w:hideMark/>
          </w:tcPr>
          <w:p w14:paraId="58BCF193"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685</w:t>
            </w:r>
          </w:p>
        </w:tc>
        <w:tc>
          <w:tcPr>
            <w:tcW w:w="1265" w:type="dxa"/>
            <w:tcBorders>
              <w:top w:val="nil"/>
              <w:left w:val="nil"/>
              <w:bottom w:val="single" w:sz="4" w:space="0" w:color="auto"/>
              <w:right w:val="single" w:sz="4" w:space="0" w:color="auto"/>
            </w:tcBorders>
            <w:shd w:val="clear" w:color="auto" w:fill="auto"/>
            <w:vAlign w:val="center"/>
            <w:hideMark/>
          </w:tcPr>
          <w:p w14:paraId="638C81DF"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681</w:t>
            </w:r>
          </w:p>
        </w:tc>
        <w:tc>
          <w:tcPr>
            <w:tcW w:w="1265" w:type="dxa"/>
            <w:tcBorders>
              <w:top w:val="nil"/>
              <w:left w:val="nil"/>
              <w:bottom w:val="single" w:sz="4" w:space="0" w:color="auto"/>
              <w:right w:val="single" w:sz="4" w:space="0" w:color="auto"/>
            </w:tcBorders>
            <w:shd w:val="clear" w:color="auto" w:fill="auto"/>
            <w:noWrap/>
            <w:vAlign w:val="center"/>
            <w:hideMark/>
          </w:tcPr>
          <w:p w14:paraId="205F3050"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-0.6%</w:t>
            </w:r>
          </w:p>
        </w:tc>
      </w:tr>
      <w:tr w:rsidR="00D33F7C" w:rsidRPr="001210D0" w14:paraId="401DF4D3" w14:textId="77777777" w:rsidTr="00E213CE">
        <w:trPr>
          <w:trHeight w:val="244"/>
          <w:jc w:val="center"/>
        </w:trPr>
        <w:tc>
          <w:tcPr>
            <w:tcW w:w="4096" w:type="dxa"/>
            <w:tcBorders>
              <w:top w:val="nil"/>
              <w:left w:val="single" w:sz="4" w:space="0" w:color="auto"/>
              <w:bottom w:val="single" w:sz="4" w:space="0" w:color="auto"/>
              <w:right w:val="single" w:sz="4" w:space="0" w:color="auto"/>
            </w:tcBorders>
            <w:shd w:val="clear" w:color="000000" w:fill="D9E1F2"/>
            <w:noWrap/>
            <w:vAlign w:val="center"/>
            <w:hideMark/>
          </w:tcPr>
          <w:p w14:paraId="233FE7F0" w14:textId="77777777" w:rsidR="00D33F7C" w:rsidRPr="001210D0" w:rsidRDefault="00D33F7C" w:rsidP="00E213CE">
            <w:pPr>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Hong Kong Exchanges and Clearing</w:t>
            </w:r>
          </w:p>
        </w:tc>
        <w:tc>
          <w:tcPr>
            <w:tcW w:w="1265" w:type="dxa"/>
            <w:tcBorders>
              <w:top w:val="nil"/>
              <w:left w:val="nil"/>
              <w:bottom w:val="single" w:sz="4" w:space="0" w:color="auto"/>
              <w:right w:val="single" w:sz="4" w:space="0" w:color="auto"/>
            </w:tcBorders>
            <w:shd w:val="clear" w:color="auto" w:fill="auto"/>
            <w:vAlign w:val="center"/>
            <w:hideMark/>
          </w:tcPr>
          <w:p w14:paraId="65B1AC24"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6,869</w:t>
            </w:r>
          </w:p>
        </w:tc>
        <w:tc>
          <w:tcPr>
            <w:tcW w:w="1265" w:type="dxa"/>
            <w:tcBorders>
              <w:top w:val="nil"/>
              <w:left w:val="nil"/>
              <w:bottom w:val="single" w:sz="4" w:space="0" w:color="auto"/>
              <w:right w:val="single" w:sz="4" w:space="0" w:color="auto"/>
            </w:tcBorders>
            <w:shd w:val="clear" w:color="auto" w:fill="auto"/>
            <w:vAlign w:val="center"/>
            <w:hideMark/>
          </w:tcPr>
          <w:p w14:paraId="6C25C5A1"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6,872</w:t>
            </w:r>
          </w:p>
        </w:tc>
        <w:tc>
          <w:tcPr>
            <w:tcW w:w="1265" w:type="dxa"/>
            <w:tcBorders>
              <w:top w:val="nil"/>
              <w:left w:val="nil"/>
              <w:bottom w:val="single" w:sz="4" w:space="0" w:color="auto"/>
              <w:right w:val="single" w:sz="4" w:space="0" w:color="auto"/>
            </w:tcBorders>
            <w:shd w:val="clear" w:color="auto" w:fill="auto"/>
            <w:noWrap/>
            <w:vAlign w:val="center"/>
            <w:hideMark/>
          </w:tcPr>
          <w:p w14:paraId="001BA88E"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0.0%</w:t>
            </w:r>
          </w:p>
        </w:tc>
      </w:tr>
      <w:tr w:rsidR="00D33F7C" w:rsidRPr="001210D0" w14:paraId="259B0987" w14:textId="77777777" w:rsidTr="00E213CE">
        <w:trPr>
          <w:trHeight w:val="244"/>
          <w:jc w:val="center"/>
        </w:trPr>
        <w:tc>
          <w:tcPr>
            <w:tcW w:w="4096" w:type="dxa"/>
            <w:tcBorders>
              <w:top w:val="nil"/>
              <w:left w:val="single" w:sz="4" w:space="0" w:color="auto"/>
              <w:bottom w:val="single" w:sz="4" w:space="0" w:color="auto"/>
              <w:right w:val="single" w:sz="4" w:space="0" w:color="auto"/>
            </w:tcBorders>
            <w:shd w:val="clear" w:color="000000" w:fill="D9E1F2"/>
            <w:noWrap/>
            <w:vAlign w:val="center"/>
            <w:hideMark/>
          </w:tcPr>
          <w:p w14:paraId="5846270E" w14:textId="77777777" w:rsidR="00D33F7C" w:rsidRPr="001210D0" w:rsidRDefault="00D33F7C" w:rsidP="00E213CE">
            <w:pPr>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Korea Exchange</w:t>
            </w:r>
          </w:p>
        </w:tc>
        <w:tc>
          <w:tcPr>
            <w:tcW w:w="1265" w:type="dxa"/>
            <w:tcBorders>
              <w:top w:val="nil"/>
              <w:left w:val="nil"/>
              <w:bottom w:val="single" w:sz="4" w:space="0" w:color="auto"/>
              <w:right w:val="single" w:sz="4" w:space="0" w:color="auto"/>
            </w:tcBorders>
            <w:shd w:val="clear" w:color="auto" w:fill="auto"/>
            <w:vAlign w:val="center"/>
            <w:hideMark/>
          </w:tcPr>
          <w:p w14:paraId="16553B99"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2,324</w:t>
            </w:r>
          </w:p>
        </w:tc>
        <w:tc>
          <w:tcPr>
            <w:tcW w:w="1265" w:type="dxa"/>
            <w:tcBorders>
              <w:top w:val="nil"/>
              <w:left w:val="nil"/>
              <w:bottom w:val="single" w:sz="4" w:space="0" w:color="auto"/>
              <w:right w:val="single" w:sz="4" w:space="0" w:color="auto"/>
            </w:tcBorders>
            <w:shd w:val="clear" w:color="auto" w:fill="auto"/>
            <w:vAlign w:val="center"/>
            <w:hideMark/>
          </w:tcPr>
          <w:p w14:paraId="5EDC2B8E"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2,386</w:t>
            </w:r>
          </w:p>
        </w:tc>
        <w:tc>
          <w:tcPr>
            <w:tcW w:w="1265" w:type="dxa"/>
            <w:tcBorders>
              <w:top w:val="nil"/>
              <w:left w:val="nil"/>
              <w:bottom w:val="single" w:sz="4" w:space="0" w:color="auto"/>
              <w:right w:val="single" w:sz="4" w:space="0" w:color="auto"/>
            </w:tcBorders>
            <w:shd w:val="clear" w:color="auto" w:fill="auto"/>
            <w:noWrap/>
            <w:vAlign w:val="center"/>
            <w:hideMark/>
          </w:tcPr>
          <w:p w14:paraId="3F7FD1A9"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2.7%</w:t>
            </w:r>
          </w:p>
        </w:tc>
      </w:tr>
      <w:tr w:rsidR="00D33F7C" w:rsidRPr="001210D0" w14:paraId="14EB066B" w14:textId="77777777" w:rsidTr="00E213CE">
        <w:trPr>
          <w:trHeight w:val="244"/>
          <w:jc w:val="center"/>
        </w:trPr>
        <w:tc>
          <w:tcPr>
            <w:tcW w:w="4096" w:type="dxa"/>
            <w:tcBorders>
              <w:top w:val="nil"/>
              <w:left w:val="single" w:sz="4" w:space="0" w:color="auto"/>
              <w:bottom w:val="single" w:sz="4" w:space="0" w:color="auto"/>
              <w:right w:val="single" w:sz="4" w:space="0" w:color="auto"/>
            </w:tcBorders>
            <w:shd w:val="clear" w:color="000000" w:fill="D9E1F2"/>
            <w:noWrap/>
            <w:vAlign w:val="center"/>
            <w:hideMark/>
          </w:tcPr>
          <w:p w14:paraId="47C93E4F" w14:textId="77777777" w:rsidR="00D33F7C" w:rsidRPr="001210D0" w:rsidRDefault="00D33F7C" w:rsidP="00E213CE">
            <w:pPr>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ASX Australian Securities Exchange</w:t>
            </w:r>
          </w:p>
        </w:tc>
        <w:tc>
          <w:tcPr>
            <w:tcW w:w="1265" w:type="dxa"/>
            <w:tcBorders>
              <w:top w:val="nil"/>
              <w:left w:val="nil"/>
              <w:bottom w:val="single" w:sz="4" w:space="0" w:color="auto"/>
              <w:right w:val="single" w:sz="4" w:space="0" w:color="auto"/>
            </w:tcBorders>
            <w:shd w:val="clear" w:color="auto" w:fill="auto"/>
            <w:vAlign w:val="center"/>
            <w:hideMark/>
          </w:tcPr>
          <w:p w14:paraId="0E68345E"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1,855</w:t>
            </w:r>
          </w:p>
        </w:tc>
        <w:tc>
          <w:tcPr>
            <w:tcW w:w="1265" w:type="dxa"/>
            <w:tcBorders>
              <w:top w:val="nil"/>
              <w:left w:val="nil"/>
              <w:bottom w:val="single" w:sz="4" w:space="0" w:color="auto"/>
              <w:right w:val="single" w:sz="4" w:space="0" w:color="auto"/>
            </w:tcBorders>
            <w:shd w:val="clear" w:color="auto" w:fill="auto"/>
            <w:vAlign w:val="center"/>
            <w:hideMark/>
          </w:tcPr>
          <w:p w14:paraId="4EADC18E"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1,886</w:t>
            </w:r>
          </w:p>
        </w:tc>
        <w:tc>
          <w:tcPr>
            <w:tcW w:w="1265" w:type="dxa"/>
            <w:tcBorders>
              <w:top w:val="nil"/>
              <w:left w:val="nil"/>
              <w:bottom w:val="single" w:sz="4" w:space="0" w:color="auto"/>
              <w:right w:val="single" w:sz="4" w:space="0" w:color="auto"/>
            </w:tcBorders>
            <w:shd w:val="clear" w:color="auto" w:fill="auto"/>
            <w:noWrap/>
            <w:vAlign w:val="center"/>
            <w:hideMark/>
          </w:tcPr>
          <w:p w14:paraId="7AE74265"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1.6%</w:t>
            </w:r>
          </w:p>
        </w:tc>
      </w:tr>
      <w:tr w:rsidR="00D33F7C" w:rsidRPr="001210D0" w14:paraId="5BAE5072" w14:textId="77777777" w:rsidTr="00E213CE">
        <w:trPr>
          <w:trHeight w:val="244"/>
          <w:jc w:val="center"/>
        </w:trPr>
        <w:tc>
          <w:tcPr>
            <w:tcW w:w="4096" w:type="dxa"/>
            <w:tcBorders>
              <w:top w:val="nil"/>
              <w:left w:val="single" w:sz="4" w:space="0" w:color="auto"/>
              <w:bottom w:val="single" w:sz="4" w:space="0" w:color="auto"/>
              <w:right w:val="single" w:sz="4" w:space="0" w:color="auto"/>
            </w:tcBorders>
            <w:shd w:val="clear" w:color="000000" w:fill="D9E1F2"/>
            <w:noWrap/>
            <w:vAlign w:val="center"/>
            <w:hideMark/>
          </w:tcPr>
          <w:p w14:paraId="1761F5BD" w14:textId="77777777" w:rsidR="00D33F7C" w:rsidRPr="001210D0" w:rsidRDefault="00D33F7C" w:rsidP="00E213CE">
            <w:pPr>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B3 - Brasil Bolsa Balcão</w:t>
            </w:r>
          </w:p>
        </w:tc>
        <w:tc>
          <w:tcPr>
            <w:tcW w:w="1265" w:type="dxa"/>
            <w:tcBorders>
              <w:top w:val="nil"/>
              <w:left w:val="nil"/>
              <w:bottom w:val="single" w:sz="4" w:space="0" w:color="auto"/>
              <w:right w:val="single" w:sz="4" w:space="0" w:color="auto"/>
            </w:tcBorders>
            <w:shd w:val="clear" w:color="auto" w:fill="auto"/>
            <w:vAlign w:val="center"/>
            <w:hideMark/>
          </w:tcPr>
          <w:p w14:paraId="241D1659"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975</w:t>
            </w:r>
          </w:p>
        </w:tc>
        <w:tc>
          <w:tcPr>
            <w:tcW w:w="1265" w:type="dxa"/>
            <w:tcBorders>
              <w:top w:val="nil"/>
              <w:left w:val="nil"/>
              <w:bottom w:val="single" w:sz="4" w:space="0" w:color="auto"/>
              <w:right w:val="single" w:sz="4" w:space="0" w:color="auto"/>
            </w:tcBorders>
            <w:shd w:val="clear" w:color="auto" w:fill="auto"/>
            <w:vAlign w:val="center"/>
            <w:hideMark/>
          </w:tcPr>
          <w:p w14:paraId="0AEF2123"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1,079</w:t>
            </w:r>
          </w:p>
        </w:tc>
        <w:tc>
          <w:tcPr>
            <w:tcW w:w="1265" w:type="dxa"/>
            <w:tcBorders>
              <w:top w:val="nil"/>
              <w:left w:val="nil"/>
              <w:bottom w:val="single" w:sz="4" w:space="0" w:color="auto"/>
              <w:right w:val="single" w:sz="4" w:space="0" w:color="auto"/>
            </w:tcBorders>
            <w:shd w:val="clear" w:color="auto" w:fill="auto"/>
            <w:noWrap/>
            <w:vAlign w:val="center"/>
            <w:hideMark/>
          </w:tcPr>
          <w:p w14:paraId="12D6F629"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10.6%</w:t>
            </w:r>
          </w:p>
        </w:tc>
      </w:tr>
      <w:tr w:rsidR="00D33F7C" w:rsidRPr="001210D0" w14:paraId="2C270279" w14:textId="77777777" w:rsidTr="00E213CE">
        <w:trPr>
          <w:trHeight w:val="244"/>
          <w:jc w:val="center"/>
        </w:trPr>
        <w:tc>
          <w:tcPr>
            <w:tcW w:w="4096" w:type="dxa"/>
            <w:tcBorders>
              <w:top w:val="nil"/>
              <w:left w:val="single" w:sz="4" w:space="0" w:color="auto"/>
              <w:bottom w:val="single" w:sz="4" w:space="0" w:color="auto"/>
              <w:right w:val="single" w:sz="4" w:space="0" w:color="auto"/>
            </w:tcBorders>
            <w:shd w:val="clear" w:color="000000" w:fill="D9E1F2"/>
            <w:noWrap/>
            <w:vAlign w:val="center"/>
            <w:hideMark/>
          </w:tcPr>
          <w:p w14:paraId="4950FF2E" w14:textId="77777777" w:rsidR="00D33F7C" w:rsidRPr="001210D0" w:rsidRDefault="00D33F7C" w:rsidP="00E213CE">
            <w:pPr>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Moscow Exchange</w:t>
            </w:r>
          </w:p>
        </w:tc>
        <w:tc>
          <w:tcPr>
            <w:tcW w:w="1265" w:type="dxa"/>
            <w:tcBorders>
              <w:top w:val="nil"/>
              <w:left w:val="nil"/>
              <w:bottom w:val="single" w:sz="4" w:space="0" w:color="auto"/>
              <w:right w:val="single" w:sz="4" w:space="0" w:color="auto"/>
            </w:tcBorders>
            <w:shd w:val="clear" w:color="auto" w:fill="auto"/>
            <w:vAlign w:val="center"/>
            <w:hideMark/>
          </w:tcPr>
          <w:p w14:paraId="435A526A"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752</w:t>
            </w:r>
          </w:p>
        </w:tc>
        <w:tc>
          <w:tcPr>
            <w:tcW w:w="1265" w:type="dxa"/>
            <w:tcBorders>
              <w:top w:val="nil"/>
              <w:left w:val="nil"/>
              <w:bottom w:val="single" w:sz="4" w:space="0" w:color="auto"/>
              <w:right w:val="single" w:sz="4" w:space="0" w:color="auto"/>
            </w:tcBorders>
            <w:shd w:val="clear" w:color="auto" w:fill="auto"/>
            <w:vAlign w:val="center"/>
            <w:hideMark/>
          </w:tcPr>
          <w:p w14:paraId="7B188A04"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803</w:t>
            </w:r>
          </w:p>
        </w:tc>
        <w:tc>
          <w:tcPr>
            <w:tcW w:w="1265" w:type="dxa"/>
            <w:tcBorders>
              <w:top w:val="nil"/>
              <w:left w:val="nil"/>
              <w:bottom w:val="single" w:sz="4" w:space="0" w:color="auto"/>
              <w:right w:val="single" w:sz="4" w:space="0" w:color="auto"/>
            </w:tcBorders>
            <w:shd w:val="clear" w:color="auto" w:fill="auto"/>
            <w:noWrap/>
            <w:vAlign w:val="center"/>
            <w:hideMark/>
          </w:tcPr>
          <w:p w14:paraId="7773AFAA"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6.7%</w:t>
            </w:r>
          </w:p>
        </w:tc>
      </w:tr>
      <w:tr w:rsidR="00D33F7C" w:rsidRPr="001210D0" w14:paraId="7B7CBF5E" w14:textId="77777777" w:rsidTr="00E213CE">
        <w:trPr>
          <w:trHeight w:val="244"/>
          <w:jc w:val="center"/>
        </w:trPr>
        <w:tc>
          <w:tcPr>
            <w:tcW w:w="4096" w:type="dxa"/>
            <w:tcBorders>
              <w:top w:val="nil"/>
              <w:left w:val="single" w:sz="4" w:space="0" w:color="auto"/>
              <w:bottom w:val="single" w:sz="4" w:space="0" w:color="auto"/>
              <w:right w:val="single" w:sz="4" w:space="0" w:color="auto"/>
            </w:tcBorders>
            <w:shd w:val="clear" w:color="000000" w:fill="D9E1F2"/>
            <w:noWrap/>
            <w:vAlign w:val="center"/>
            <w:hideMark/>
          </w:tcPr>
          <w:p w14:paraId="6F969D38" w14:textId="77777777" w:rsidR="00D33F7C" w:rsidRPr="001210D0" w:rsidRDefault="00D33F7C" w:rsidP="00E213CE">
            <w:pPr>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National Stock Exchange of India</w:t>
            </w:r>
          </w:p>
        </w:tc>
        <w:tc>
          <w:tcPr>
            <w:tcW w:w="1265" w:type="dxa"/>
            <w:tcBorders>
              <w:top w:val="nil"/>
              <w:left w:val="nil"/>
              <w:bottom w:val="single" w:sz="4" w:space="0" w:color="auto"/>
              <w:right w:val="single" w:sz="4" w:space="0" w:color="auto"/>
            </w:tcBorders>
            <w:shd w:val="clear" w:color="auto" w:fill="auto"/>
            <w:vAlign w:val="center"/>
            <w:hideMark/>
          </w:tcPr>
          <w:p w14:paraId="001A4F34"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2,776</w:t>
            </w:r>
          </w:p>
        </w:tc>
        <w:tc>
          <w:tcPr>
            <w:tcW w:w="1265" w:type="dxa"/>
            <w:tcBorders>
              <w:top w:val="nil"/>
              <w:left w:val="nil"/>
              <w:bottom w:val="single" w:sz="4" w:space="0" w:color="auto"/>
              <w:right w:val="single" w:sz="4" w:space="0" w:color="auto"/>
            </w:tcBorders>
            <w:shd w:val="clear" w:color="auto" w:fill="auto"/>
            <w:vAlign w:val="center"/>
            <w:hideMark/>
          </w:tcPr>
          <w:p w14:paraId="0C5D3A10"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3,055</w:t>
            </w:r>
          </w:p>
        </w:tc>
        <w:tc>
          <w:tcPr>
            <w:tcW w:w="1265" w:type="dxa"/>
            <w:tcBorders>
              <w:top w:val="nil"/>
              <w:left w:val="nil"/>
              <w:bottom w:val="single" w:sz="4" w:space="0" w:color="auto"/>
              <w:right w:val="single" w:sz="4" w:space="0" w:color="auto"/>
            </w:tcBorders>
            <w:shd w:val="clear" w:color="auto" w:fill="auto"/>
            <w:noWrap/>
            <w:vAlign w:val="center"/>
            <w:hideMark/>
          </w:tcPr>
          <w:p w14:paraId="6F8925D1"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10.0%</w:t>
            </w:r>
          </w:p>
        </w:tc>
      </w:tr>
      <w:tr w:rsidR="00D33F7C" w:rsidRPr="001210D0" w14:paraId="59483D91" w14:textId="77777777" w:rsidTr="00E213CE">
        <w:trPr>
          <w:trHeight w:val="244"/>
          <w:jc w:val="center"/>
        </w:trPr>
        <w:tc>
          <w:tcPr>
            <w:tcW w:w="4096" w:type="dxa"/>
            <w:tcBorders>
              <w:top w:val="nil"/>
              <w:left w:val="single" w:sz="4" w:space="0" w:color="auto"/>
              <w:bottom w:val="single" w:sz="4" w:space="0" w:color="auto"/>
              <w:right w:val="single" w:sz="4" w:space="0" w:color="auto"/>
            </w:tcBorders>
            <w:shd w:val="clear" w:color="000000" w:fill="D9E1F2"/>
            <w:noWrap/>
            <w:vAlign w:val="center"/>
            <w:hideMark/>
          </w:tcPr>
          <w:p w14:paraId="7BC68530" w14:textId="77777777" w:rsidR="00D33F7C" w:rsidRPr="001210D0" w:rsidRDefault="00D33F7C" w:rsidP="00E213CE">
            <w:pPr>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Shanghai Stock Exchange</w:t>
            </w:r>
          </w:p>
        </w:tc>
        <w:tc>
          <w:tcPr>
            <w:tcW w:w="1265" w:type="dxa"/>
            <w:tcBorders>
              <w:top w:val="nil"/>
              <w:left w:val="nil"/>
              <w:bottom w:val="single" w:sz="4" w:space="0" w:color="auto"/>
              <w:right w:val="single" w:sz="4" w:space="0" w:color="auto"/>
            </w:tcBorders>
            <w:shd w:val="clear" w:color="auto" w:fill="auto"/>
            <w:vAlign w:val="center"/>
            <w:hideMark/>
          </w:tcPr>
          <w:p w14:paraId="09F06F03"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7,069</w:t>
            </w:r>
          </w:p>
        </w:tc>
        <w:tc>
          <w:tcPr>
            <w:tcW w:w="1265" w:type="dxa"/>
            <w:tcBorders>
              <w:top w:val="nil"/>
              <w:left w:val="nil"/>
              <w:bottom w:val="single" w:sz="4" w:space="0" w:color="auto"/>
              <w:right w:val="single" w:sz="4" w:space="0" w:color="auto"/>
            </w:tcBorders>
            <w:shd w:val="clear" w:color="auto" w:fill="auto"/>
            <w:vAlign w:val="center"/>
            <w:hideMark/>
          </w:tcPr>
          <w:p w14:paraId="67DF8135"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7,634</w:t>
            </w:r>
          </w:p>
        </w:tc>
        <w:tc>
          <w:tcPr>
            <w:tcW w:w="1265" w:type="dxa"/>
            <w:tcBorders>
              <w:top w:val="nil"/>
              <w:left w:val="nil"/>
              <w:bottom w:val="single" w:sz="4" w:space="0" w:color="auto"/>
              <w:right w:val="single" w:sz="4" w:space="0" w:color="auto"/>
            </w:tcBorders>
            <w:shd w:val="clear" w:color="auto" w:fill="auto"/>
            <w:noWrap/>
            <w:vAlign w:val="center"/>
            <w:hideMark/>
          </w:tcPr>
          <w:p w14:paraId="046CB429"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8.0%</w:t>
            </w:r>
          </w:p>
        </w:tc>
      </w:tr>
      <w:tr w:rsidR="00D33F7C" w:rsidRPr="001210D0" w14:paraId="3F87CB88" w14:textId="77777777" w:rsidTr="00E213CE">
        <w:trPr>
          <w:trHeight w:val="244"/>
          <w:jc w:val="center"/>
        </w:trPr>
        <w:tc>
          <w:tcPr>
            <w:tcW w:w="4096" w:type="dxa"/>
            <w:tcBorders>
              <w:top w:val="nil"/>
              <w:left w:val="single" w:sz="4" w:space="0" w:color="auto"/>
              <w:bottom w:val="single" w:sz="4" w:space="0" w:color="auto"/>
              <w:right w:val="single" w:sz="4" w:space="0" w:color="auto"/>
            </w:tcBorders>
            <w:shd w:val="clear" w:color="000000" w:fill="D9E1F2"/>
            <w:noWrap/>
            <w:vAlign w:val="center"/>
            <w:hideMark/>
          </w:tcPr>
          <w:p w14:paraId="436ED81D" w14:textId="77777777" w:rsidR="00D33F7C" w:rsidRPr="001210D0" w:rsidRDefault="00D33F7C" w:rsidP="00E213CE">
            <w:pPr>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Shenzhen Stock Exchange</w:t>
            </w:r>
          </w:p>
        </w:tc>
        <w:tc>
          <w:tcPr>
            <w:tcW w:w="1265" w:type="dxa"/>
            <w:tcBorders>
              <w:top w:val="nil"/>
              <w:left w:val="nil"/>
              <w:bottom w:val="single" w:sz="4" w:space="0" w:color="auto"/>
              <w:right w:val="single" w:sz="4" w:space="0" w:color="auto"/>
            </w:tcBorders>
            <w:shd w:val="clear" w:color="auto" w:fill="auto"/>
            <w:vAlign w:val="center"/>
            <w:hideMark/>
          </w:tcPr>
          <w:p w14:paraId="0E65B4B8"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5,339</w:t>
            </w:r>
          </w:p>
        </w:tc>
        <w:tc>
          <w:tcPr>
            <w:tcW w:w="1265" w:type="dxa"/>
            <w:tcBorders>
              <w:top w:val="nil"/>
              <w:left w:val="nil"/>
              <w:bottom w:val="single" w:sz="4" w:space="0" w:color="auto"/>
              <w:right w:val="single" w:sz="4" w:space="0" w:color="auto"/>
            </w:tcBorders>
            <w:shd w:val="clear" w:color="auto" w:fill="auto"/>
            <w:vAlign w:val="center"/>
            <w:hideMark/>
          </w:tcPr>
          <w:p w14:paraId="6ED2A4B3"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5,718</w:t>
            </w:r>
          </w:p>
        </w:tc>
        <w:tc>
          <w:tcPr>
            <w:tcW w:w="1265" w:type="dxa"/>
            <w:tcBorders>
              <w:top w:val="nil"/>
              <w:left w:val="nil"/>
              <w:bottom w:val="single" w:sz="4" w:space="0" w:color="auto"/>
              <w:right w:val="single" w:sz="4" w:space="0" w:color="auto"/>
            </w:tcBorders>
            <w:shd w:val="clear" w:color="auto" w:fill="auto"/>
            <w:noWrap/>
            <w:vAlign w:val="center"/>
            <w:hideMark/>
          </w:tcPr>
          <w:p w14:paraId="2205472A"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7.1%</w:t>
            </w:r>
          </w:p>
        </w:tc>
      </w:tr>
      <w:tr w:rsidR="00D33F7C" w:rsidRPr="001210D0" w14:paraId="09960DCF" w14:textId="77777777" w:rsidTr="00E213CE">
        <w:trPr>
          <w:trHeight w:val="244"/>
          <w:jc w:val="center"/>
        </w:trPr>
        <w:tc>
          <w:tcPr>
            <w:tcW w:w="4096" w:type="dxa"/>
            <w:tcBorders>
              <w:top w:val="nil"/>
              <w:left w:val="single" w:sz="4" w:space="0" w:color="auto"/>
              <w:bottom w:val="single" w:sz="4" w:space="0" w:color="auto"/>
              <w:right w:val="single" w:sz="4" w:space="0" w:color="auto"/>
            </w:tcBorders>
            <w:shd w:val="clear" w:color="000000" w:fill="D9E1F2"/>
            <w:noWrap/>
            <w:vAlign w:val="center"/>
            <w:hideMark/>
          </w:tcPr>
          <w:p w14:paraId="5797FFDD" w14:textId="77777777" w:rsidR="00D33F7C" w:rsidRPr="001210D0" w:rsidRDefault="00D33F7C" w:rsidP="00E213CE">
            <w:pPr>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Johannesburg Stock Exchange</w:t>
            </w:r>
          </w:p>
        </w:tc>
        <w:tc>
          <w:tcPr>
            <w:tcW w:w="1265" w:type="dxa"/>
            <w:tcBorders>
              <w:top w:val="nil"/>
              <w:left w:val="nil"/>
              <w:bottom w:val="single" w:sz="4" w:space="0" w:color="auto"/>
              <w:right w:val="single" w:sz="4" w:space="0" w:color="auto"/>
            </w:tcBorders>
            <w:shd w:val="clear" w:color="auto" w:fill="auto"/>
            <w:vAlign w:val="center"/>
            <w:hideMark/>
          </w:tcPr>
          <w:p w14:paraId="7D3FAADB"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1,155</w:t>
            </w:r>
          </w:p>
        </w:tc>
        <w:tc>
          <w:tcPr>
            <w:tcW w:w="1265" w:type="dxa"/>
            <w:tcBorders>
              <w:top w:val="nil"/>
              <w:left w:val="nil"/>
              <w:bottom w:val="single" w:sz="4" w:space="0" w:color="auto"/>
              <w:right w:val="single" w:sz="4" w:space="0" w:color="auto"/>
            </w:tcBorders>
            <w:shd w:val="clear" w:color="auto" w:fill="auto"/>
            <w:vAlign w:val="center"/>
            <w:hideMark/>
          </w:tcPr>
          <w:p w14:paraId="0E8A9124"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 xml:space="preserve"> 1,217</w:t>
            </w:r>
          </w:p>
        </w:tc>
        <w:tc>
          <w:tcPr>
            <w:tcW w:w="1265" w:type="dxa"/>
            <w:tcBorders>
              <w:top w:val="nil"/>
              <w:left w:val="nil"/>
              <w:bottom w:val="single" w:sz="4" w:space="0" w:color="auto"/>
              <w:right w:val="single" w:sz="4" w:space="0" w:color="auto"/>
            </w:tcBorders>
            <w:shd w:val="clear" w:color="auto" w:fill="auto"/>
            <w:noWrap/>
            <w:vAlign w:val="center"/>
            <w:hideMark/>
          </w:tcPr>
          <w:p w14:paraId="74EED609" w14:textId="77777777" w:rsidR="00D33F7C" w:rsidRPr="001210D0" w:rsidRDefault="00D33F7C" w:rsidP="00E213CE">
            <w:pPr>
              <w:jc w:val="right"/>
              <w:rPr>
                <w:rFonts w:ascii="Garamond" w:eastAsia="Times New Roman" w:hAnsi="Garamond"/>
                <w:color w:val="000000"/>
                <w:sz w:val="20"/>
                <w:szCs w:val="20"/>
                <w:lang w:val="en-IN" w:eastAsia="en-IN" w:bidi="hi-IN"/>
              </w:rPr>
            </w:pPr>
            <w:r w:rsidRPr="001210D0">
              <w:rPr>
                <w:rFonts w:ascii="Garamond" w:eastAsia="Times New Roman" w:hAnsi="Garamond"/>
                <w:color w:val="000000"/>
                <w:sz w:val="20"/>
                <w:szCs w:val="20"/>
                <w:lang w:val="en-IN" w:eastAsia="en-IN" w:bidi="hi-IN"/>
              </w:rPr>
              <w:t>5.4%</w:t>
            </w:r>
          </w:p>
        </w:tc>
      </w:tr>
    </w:tbl>
    <w:p w14:paraId="5C9C7F76" w14:textId="77777777" w:rsidR="00D33F7C" w:rsidRPr="00E25198" w:rsidRDefault="00D33F7C" w:rsidP="00D33F7C">
      <w:pPr>
        <w:spacing w:line="23" w:lineRule="atLeast"/>
        <w:ind w:left="851"/>
        <w:jc w:val="both"/>
        <w:outlineLvl w:val="0"/>
        <w:rPr>
          <w:rFonts w:ascii="Garamond" w:hAnsi="Garamond"/>
          <w:bCs/>
          <w:sz w:val="18"/>
          <w:szCs w:val="18"/>
        </w:rPr>
      </w:pPr>
      <w:r w:rsidRPr="00E25198">
        <w:rPr>
          <w:rFonts w:ascii="Garamond" w:hAnsi="Garamond"/>
          <w:bCs/>
          <w:sz w:val="18"/>
          <w:szCs w:val="18"/>
        </w:rPr>
        <w:t xml:space="preserve"> NA: Not Available</w:t>
      </w:r>
    </w:p>
    <w:p w14:paraId="7AD2B3B8" w14:textId="77777777" w:rsidR="00D33F7C" w:rsidRPr="00E25198" w:rsidRDefault="00D33F7C" w:rsidP="00D33F7C">
      <w:pPr>
        <w:spacing w:line="23" w:lineRule="atLeast"/>
        <w:ind w:left="851"/>
        <w:jc w:val="both"/>
        <w:outlineLvl w:val="0"/>
        <w:rPr>
          <w:rFonts w:ascii="Garamond" w:hAnsi="Garamond"/>
          <w:bCs/>
          <w:sz w:val="18"/>
          <w:szCs w:val="18"/>
        </w:rPr>
      </w:pPr>
      <w:r w:rsidRPr="00E25198">
        <w:rPr>
          <w:rFonts w:ascii="Garamond" w:hAnsi="Garamond"/>
          <w:bCs/>
          <w:sz w:val="18"/>
          <w:szCs w:val="18"/>
        </w:rPr>
        <w:t>Source: World Federation of Exchanges</w:t>
      </w:r>
    </w:p>
    <w:p w14:paraId="0045A298" w14:textId="77777777" w:rsidR="00D33F7C" w:rsidRPr="00E25198" w:rsidRDefault="00D33F7C" w:rsidP="00D33F7C">
      <w:pPr>
        <w:spacing w:line="23" w:lineRule="atLeast"/>
        <w:ind w:left="851"/>
        <w:jc w:val="both"/>
        <w:outlineLvl w:val="0"/>
        <w:rPr>
          <w:rFonts w:ascii="Garamond" w:hAnsi="Garamond"/>
          <w:bCs/>
          <w:sz w:val="18"/>
          <w:szCs w:val="18"/>
        </w:rPr>
      </w:pPr>
      <w:r w:rsidRPr="00E25198">
        <w:rPr>
          <w:rFonts w:ascii="Garamond" w:hAnsi="Garamond"/>
          <w:bCs/>
          <w:sz w:val="18"/>
          <w:szCs w:val="18"/>
        </w:rPr>
        <w:t xml:space="preserve">Note: </w:t>
      </w:r>
    </w:p>
    <w:p w14:paraId="0A7B415E" w14:textId="77777777" w:rsidR="00D33F7C" w:rsidRPr="00E25198" w:rsidRDefault="00D33F7C" w:rsidP="00D33F7C">
      <w:pPr>
        <w:numPr>
          <w:ilvl w:val="0"/>
          <w:numId w:val="10"/>
        </w:numPr>
        <w:spacing w:after="200" w:line="23" w:lineRule="atLeast"/>
        <w:ind w:left="851" w:hanging="283"/>
        <w:contextualSpacing/>
        <w:jc w:val="both"/>
        <w:outlineLvl w:val="0"/>
        <w:rPr>
          <w:rFonts w:ascii="Garamond" w:hAnsi="Garamond"/>
          <w:bCs/>
          <w:sz w:val="18"/>
          <w:szCs w:val="18"/>
          <w:lang w:val="en-US"/>
        </w:rPr>
      </w:pPr>
      <w:r w:rsidRPr="00E25198">
        <w:rPr>
          <w:rFonts w:ascii="Garamond" w:hAnsi="Garamond"/>
          <w:bCs/>
          <w:sz w:val="18"/>
          <w:szCs w:val="18"/>
          <w:lang w:val="en-US"/>
        </w:rPr>
        <w:lastRenderedPageBreak/>
        <w:t>The figures provided in some versions of SEBI Bulletin are sourced from Refinitiv which provides country wise market capitalization data (estimated internally by Refinitiv).</w:t>
      </w:r>
    </w:p>
    <w:p w14:paraId="358763B4" w14:textId="77777777" w:rsidR="00D33F7C" w:rsidRPr="00E25198" w:rsidRDefault="00D33F7C" w:rsidP="00D33F7C">
      <w:pPr>
        <w:numPr>
          <w:ilvl w:val="0"/>
          <w:numId w:val="10"/>
        </w:numPr>
        <w:spacing w:after="200" w:line="23" w:lineRule="atLeast"/>
        <w:ind w:left="851" w:hanging="283"/>
        <w:contextualSpacing/>
        <w:jc w:val="both"/>
        <w:outlineLvl w:val="0"/>
        <w:rPr>
          <w:rFonts w:ascii="Garamond" w:hAnsi="Garamond"/>
          <w:bCs/>
          <w:sz w:val="18"/>
          <w:szCs w:val="18"/>
          <w:lang w:val="en-US"/>
        </w:rPr>
      </w:pPr>
      <w:r w:rsidRPr="00E25198">
        <w:rPr>
          <w:rFonts w:ascii="Garamond" w:hAnsi="Garamond"/>
          <w:bCs/>
          <w:sz w:val="18"/>
          <w:szCs w:val="18"/>
          <w:lang w:val="en-US"/>
        </w:rPr>
        <w:t>The figures provided World Federation of Exchanges are more detailed and are provided by respective member exchanges.</w:t>
      </w:r>
    </w:p>
    <w:p w14:paraId="2608CD38" w14:textId="77777777" w:rsidR="00D33F7C" w:rsidRDefault="00D33F7C" w:rsidP="00D33F7C">
      <w:pPr>
        <w:numPr>
          <w:ilvl w:val="0"/>
          <w:numId w:val="10"/>
        </w:numPr>
        <w:spacing w:after="200" w:line="23" w:lineRule="atLeast"/>
        <w:ind w:left="851" w:hanging="283"/>
        <w:contextualSpacing/>
        <w:jc w:val="both"/>
        <w:outlineLvl w:val="0"/>
        <w:rPr>
          <w:rFonts w:ascii="Garamond" w:hAnsi="Garamond"/>
          <w:bCs/>
          <w:sz w:val="18"/>
          <w:szCs w:val="18"/>
          <w:lang w:val="en-US"/>
        </w:rPr>
      </w:pPr>
      <w:r w:rsidRPr="00E25198">
        <w:rPr>
          <w:rFonts w:ascii="Garamond" w:hAnsi="Garamond"/>
          <w:bCs/>
          <w:sz w:val="18"/>
          <w:szCs w:val="18"/>
          <w:lang w:val="en-US"/>
        </w:rPr>
        <w:t xml:space="preserve">As per the data available as on </w:t>
      </w:r>
      <w:r>
        <w:rPr>
          <w:rFonts w:ascii="Garamond" w:hAnsi="Garamond"/>
          <w:bCs/>
          <w:sz w:val="18"/>
          <w:szCs w:val="18"/>
          <w:lang w:val="en-US"/>
        </w:rPr>
        <w:t xml:space="preserve">02 August </w:t>
      </w:r>
      <w:r w:rsidRPr="00E25198">
        <w:rPr>
          <w:rFonts w:ascii="Garamond" w:hAnsi="Garamond"/>
          <w:bCs/>
          <w:sz w:val="18"/>
          <w:szCs w:val="18"/>
          <w:lang w:val="en-US"/>
        </w:rPr>
        <w:t>2021.</w:t>
      </w:r>
    </w:p>
    <w:p w14:paraId="3AB5A9EC" w14:textId="77777777" w:rsidR="00D33F7C" w:rsidRDefault="00D33F7C" w:rsidP="00D33F7C">
      <w:pPr>
        <w:spacing w:line="23" w:lineRule="atLeast"/>
        <w:jc w:val="both"/>
        <w:outlineLvl w:val="0"/>
        <w:rPr>
          <w:rFonts w:ascii="Garamond" w:hAnsi="Garamond"/>
          <w:b/>
          <w:bCs/>
          <w:szCs w:val="22"/>
        </w:rPr>
      </w:pPr>
    </w:p>
    <w:p w14:paraId="66448EA2" w14:textId="77777777" w:rsidR="00D33F7C" w:rsidRDefault="00D33F7C" w:rsidP="00D33F7C">
      <w:pPr>
        <w:spacing w:line="23" w:lineRule="atLeast"/>
        <w:jc w:val="both"/>
        <w:outlineLvl w:val="0"/>
        <w:rPr>
          <w:rFonts w:ascii="Garamond" w:hAnsi="Garamond"/>
          <w:b/>
          <w:bCs/>
          <w:szCs w:val="22"/>
        </w:rPr>
      </w:pPr>
    </w:p>
    <w:p w14:paraId="6F20DD20" w14:textId="77777777" w:rsidR="00D33F7C" w:rsidRPr="00E25198" w:rsidRDefault="00D33F7C" w:rsidP="00D33F7C">
      <w:pPr>
        <w:spacing w:line="23" w:lineRule="atLeast"/>
        <w:jc w:val="both"/>
        <w:outlineLvl w:val="0"/>
        <w:rPr>
          <w:rFonts w:ascii="Garamond" w:hAnsi="Garamond"/>
          <w:b/>
          <w:bCs/>
          <w:szCs w:val="22"/>
        </w:rPr>
      </w:pPr>
      <w:r w:rsidRPr="00E25198">
        <w:rPr>
          <w:rFonts w:ascii="Garamond" w:hAnsi="Garamond"/>
          <w:b/>
          <w:bCs/>
          <w:szCs w:val="22"/>
        </w:rPr>
        <w:t>Table A4: Stock Futures and Stock Options Traded in Major Exchanges</w:t>
      </w:r>
    </w:p>
    <w:p w14:paraId="5AD013A1" w14:textId="77777777" w:rsidR="00D33F7C" w:rsidRPr="00E25198" w:rsidRDefault="00D33F7C" w:rsidP="00D33F7C">
      <w:pPr>
        <w:spacing w:line="23" w:lineRule="atLeast"/>
        <w:ind w:right="-744"/>
        <w:jc w:val="right"/>
        <w:outlineLvl w:val="0"/>
        <w:rPr>
          <w:rFonts w:ascii="Garamond" w:hAnsi="Garamond"/>
          <w:bCs/>
          <w:sz w:val="22"/>
          <w:szCs w:val="22"/>
        </w:rPr>
      </w:pPr>
      <w:r w:rsidRPr="00E25198">
        <w:rPr>
          <w:rFonts w:ascii="Garamond" w:hAnsi="Garamond"/>
          <w:bCs/>
          <w:sz w:val="22"/>
          <w:szCs w:val="22"/>
        </w:rPr>
        <w:t>Notional Turnover in (USD million)</w:t>
      </w:r>
    </w:p>
    <w:tbl>
      <w:tblPr>
        <w:tblW w:w="5318" w:type="pct"/>
        <w:tblLook w:val="04A0" w:firstRow="1" w:lastRow="0" w:firstColumn="1" w:lastColumn="0" w:noHBand="0" w:noVBand="1"/>
      </w:tblPr>
      <w:tblGrid>
        <w:gridCol w:w="3631"/>
        <w:gridCol w:w="1194"/>
        <w:gridCol w:w="1087"/>
        <w:gridCol w:w="1096"/>
        <w:gridCol w:w="1194"/>
        <w:gridCol w:w="1081"/>
        <w:gridCol w:w="1213"/>
      </w:tblGrid>
      <w:tr w:rsidR="00D33F7C" w:rsidRPr="00037B23" w14:paraId="00C0AA8B" w14:textId="77777777" w:rsidTr="00E213CE">
        <w:trPr>
          <w:trHeight w:val="236"/>
        </w:trPr>
        <w:tc>
          <w:tcPr>
            <w:tcW w:w="1729" w:type="pct"/>
            <w:vMerge w:val="restart"/>
            <w:tcBorders>
              <w:top w:val="single" w:sz="8" w:space="0" w:color="auto"/>
              <w:left w:val="single" w:sz="8" w:space="0" w:color="auto"/>
              <w:bottom w:val="single" w:sz="8" w:space="0" w:color="000000"/>
              <w:right w:val="single" w:sz="8" w:space="0" w:color="auto"/>
            </w:tcBorders>
            <w:shd w:val="clear" w:color="000000" w:fill="B4C6E7"/>
            <w:vAlign w:val="center"/>
            <w:hideMark/>
          </w:tcPr>
          <w:p w14:paraId="7B8DDCD4" w14:textId="77777777" w:rsidR="00D33F7C" w:rsidRPr="00037B23" w:rsidRDefault="00D33F7C" w:rsidP="00E213CE">
            <w:pPr>
              <w:jc w:val="center"/>
              <w:rPr>
                <w:rFonts w:ascii="Garamond" w:eastAsia="Times New Roman" w:hAnsi="Garamond" w:cs="Calibri"/>
                <w:b/>
                <w:bCs/>
                <w:color w:val="000000"/>
                <w:sz w:val="20"/>
                <w:szCs w:val="20"/>
                <w:lang w:val="en-IN" w:eastAsia="en-IN" w:bidi="hi-IN"/>
              </w:rPr>
            </w:pPr>
            <w:r w:rsidRPr="00037B23">
              <w:rPr>
                <w:rFonts w:ascii="Garamond" w:eastAsia="Times New Roman" w:hAnsi="Garamond" w:cs="Calibri"/>
                <w:b/>
                <w:bCs/>
                <w:color w:val="000000"/>
                <w:sz w:val="20"/>
                <w:szCs w:val="20"/>
                <w:lang w:val="en-IN" w:eastAsia="en-IN" w:bidi="hi-IN"/>
              </w:rPr>
              <w:t>Exchange</w:t>
            </w:r>
          </w:p>
        </w:tc>
        <w:tc>
          <w:tcPr>
            <w:tcW w:w="3271" w:type="pct"/>
            <w:gridSpan w:val="6"/>
            <w:tcBorders>
              <w:top w:val="single" w:sz="8" w:space="0" w:color="auto"/>
              <w:left w:val="nil"/>
              <w:bottom w:val="single" w:sz="8" w:space="0" w:color="auto"/>
              <w:right w:val="single" w:sz="8" w:space="0" w:color="000000"/>
            </w:tcBorders>
            <w:shd w:val="clear" w:color="000000" w:fill="B4C6E7"/>
            <w:vAlign w:val="center"/>
            <w:hideMark/>
          </w:tcPr>
          <w:p w14:paraId="0C5DACF3" w14:textId="77777777" w:rsidR="00D33F7C" w:rsidRPr="00037B23" w:rsidRDefault="00D33F7C" w:rsidP="00E213CE">
            <w:pPr>
              <w:jc w:val="center"/>
              <w:rPr>
                <w:rFonts w:ascii="Garamond" w:eastAsia="Times New Roman" w:hAnsi="Garamond" w:cs="Calibri"/>
                <w:b/>
                <w:bCs/>
                <w:color w:val="000000"/>
                <w:sz w:val="20"/>
                <w:szCs w:val="20"/>
                <w:lang w:val="en-IN" w:eastAsia="en-IN" w:bidi="hi-IN"/>
              </w:rPr>
            </w:pPr>
            <w:r w:rsidRPr="00037B23">
              <w:rPr>
                <w:rFonts w:ascii="Garamond" w:eastAsia="Times New Roman" w:hAnsi="Garamond" w:cs="Calibri"/>
                <w:b/>
                <w:bCs/>
                <w:color w:val="000000"/>
                <w:sz w:val="20"/>
                <w:szCs w:val="20"/>
                <w:lang w:val="en-IN" w:eastAsia="en-IN" w:bidi="hi-IN"/>
              </w:rPr>
              <w:t>May-21</w:t>
            </w:r>
          </w:p>
        </w:tc>
      </w:tr>
      <w:tr w:rsidR="00D33F7C" w:rsidRPr="00037B23" w14:paraId="3A887AE0" w14:textId="77777777" w:rsidTr="00E213CE">
        <w:trPr>
          <w:trHeight w:val="236"/>
        </w:trPr>
        <w:tc>
          <w:tcPr>
            <w:tcW w:w="1729" w:type="pct"/>
            <w:vMerge/>
            <w:tcBorders>
              <w:top w:val="single" w:sz="8" w:space="0" w:color="auto"/>
              <w:left w:val="single" w:sz="8" w:space="0" w:color="auto"/>
              <w:bottom w:val="single" w:sz="8" w:space="0" w:color="000000"/>
              <w:right w:val="single" w:sz="8" w:space="0" w:color="auto"/>
            </w:tcBorders>
            <w:vAlign w:val="center"/>
            <w:hideMark/>
          </w:tcPr>
          <w:p w14:paraId="7A5B35D0" w14:textId="77777777" w:rsidR="00D33F7C" w:rsidRPr="00037B23" w:rsidRDefault="00D33F7C" w:rsidP="00E213CE">
            <w:pPr>
              <w:rPr>
                <w:rFonts w:ascii="Garamond" w:eastAsia="Times New Roman" w:hAnsi="Garamond" w:cs="Calibri"/>
                <w:b/>
                <w:bCs/>
                <w:color w:val="000000"/>
                <w:sz w:val="20"/>
                <w:szCs w:val="20"/>
                <w:lang w:val="en-IN" w:eastAsia="en-IN" w:bidi="hi-IN"/>
              </w:rPr>
            </w:pPr>
          </w:p>
        </w:tc>
        <w:tc>
          <w:tcPr>
            <w:tcW w:w="1609" w:type="pct"/>
            <w:gridSpan w:val="3"/>
            <w:tcBorders>
              <w:top w:val="single" w:sz="8" w:space="0" w:color="auto"/>
              <w:left w:val="nil"/>
              <w:bottom w:val="single" w:sz="8" w:space="0" w:color="auto"/>
              <w:right w:val="single" w:sz="8" w:space="0" w:color="000000"/>
            </w:tcBorders>
            <w:shd w:val="clear" w:color="000000" w:fill="B4C6E7"/>
            <w:vAlign w:val="center"/>
            <w:hideMark/>
          </w:tcPr>
          <w:p w14:paraId="182C69EC" w14:textId="77777777" w:rsidR="00D33F7C" w:rsidRPr="00037B23" w:rsidRDefault="00D33F7C" w:rsidP="00E213CE">
            <w:pPr>
              <w:jc w:val="center"/>
              <w:rPr>
                <w:rFonts w:ascii="Garamond" w:eastAsia="Times New Roman" w:hAnsi="Garamond" w:cs="Calibri"/>
                <w:b/>
                <w:bCs/>
                <w:color w:val="000000"/>
                <w:sz w:val="20"/>
                <w:szCs w:val="20"/>
                <w:lang w:val="en-IN" w:eastAsia="en-IN" w:bidi="hi-IN"/>
              </w:rPr>
            </w:pPr>
            <w:r w:rsidRPr="00037B23">
              <w:rPr>
                <w:rFonts w:ascii="Garamond" w:eastAsia="Times New Roman" w:hAnsi="Garamond" w:cs="Calibri"/>
                <w:b/>
                <w:bCs/>
                <w:color w:val="000000"/>
                <w:sz w:val="20"/>
                <w:szCs w:val="20"/>
                <w:lang w:val="en-IN" w:eastAsia="en-IN" w:bidi="hi-IN"/>
              </w:rPr>
              <w:t>Single Stock Futures</w:t>
            </w:r>
          </w:p>
        </w:tc>
        <w:tc>
          <w:tcPr>
            <w:tcW w:w="1662" w:type="pct"/>
            <w:gridSpan w:val="3"/>
            <w:tcBorders>
              <w:top w:val="single" w:sz="8" w:space="0" w:color="auto"/>
              <w:left w:val="nil"/>
              <w:bottom w:val="single" w:sz="8" w:space="0" w:color="auto"/>
              <w:right w:val="single" w:sz="8" w:space="0" w:color="000000"/>
            </w:tcBorders>
            <w:shd w:val="clear" w:color="000000" w:fill="B4C6E7"/>
            <w:vAlign w:val="center"/>
            <w:hideMark/>
          </w:tcPr>
          <w:p w14:paraId="7AE83D66" w14:textId="77777777" w:rsidR="00D33F7C" w:rsidRPr="00037B23" w:rsidRDefault="00D33F7C" w:rsidP="00E213CE">
            <w:pPr>
              <w:jc w:val="center"/>
              <w:rPr>
                <w:rFonts w:ascii="Garamond" w:eastAsia="Times New Roman" w:hAnsi="Garamond" w:cs="Calibri"/>
                <w:b/>
                <w:bCs/>
                <w:color w:val="000000"/>
                <w:sz w:val="20"/>
                <w:szCs w:val="20"/>
                <w:lang w:val="en-IN" w:eastAsia="en-IN" w:bidi="hi-IN"/>
              </w:rPr>
            </w:pPr>
            <w:r w:rsidRPr="00037B23">
              <w:rPr>
                <w:rFonts w:ascii="Garamond" w:eastAsia="Times New Roman" w:hAnsi="Garamond" w:cs="Calibri"/>
                <w:b/>
                <w:bCs/>
                <w:color w:val="000000"/>
                <w:sz w:val="20"/>
                <w:szCs w:val="20"/>
                <w:lang w:val="en-IN" w:eastAsia="en-IN" w:bidi="hi-IN"/>
              </w:rPr>
              <w:t>Single Stock Options</w:t>
            </w:r>
          </w:p>
        </w:tc>
      </w:tr>
      <w:tr w:rsidR="00D33F7C" w:rsidRPr="00037B23" w14:paraId="1D0EE488" w14:textId="77777777" w:rsidTr="00E213CE">
        <w:trPr>
          <w:trHeight w:val="225"/>
        </w:trPr>
        <w:tc>
          <w:tcPr>
            <w:tcW w:w="1729" w:type="pct"/>
            <w:vMerge/>
            <w:tcBorders>
              <w:top w:val="single" w:sz="8" w:space="0" w:color="auto"/>
              <w:left w:val="single" w:sz="8" w:space="0" w:color="auto"/>
              <w:bottom w:val="single" w:sz="8" w:space="0" w:color="000000"/>
              <w:right w:val="single" w:sz="8" w:space="0" w:color="auto"/>
            </w:tcBorders>
            <w:vAlign w:val="center"/>
            <w:hideMark/>
          </w:tcPr>
          <w:p w14:paraId="20DEB0EE" w14:textId="77777777" w:rsidR="00D33F7C" w:rsidRPr="00037B23" w:rsidRDefault="00D33F7C" w:rsidP="00E213CE">
            <w:pPr>
              <w:rPr>
                <w:rFonts w:ascii="Garamond" w:eastAsia="Times New Roman" w:hAnsi="Garamond" w:cs="Calibri"/>
                <w:b/>
                <w:bCs/>
                <w:color w:val="000000"/>
                <w:sz w:val="20"/>
                <w:szCs w:val="20"/>
                <w:lang w:val="en-IN" w:eastAsia="en-IN" w:bidi="hi-IN"/>
              </w:rPr>
            </w:pPr>
          </w:p>
        </w:tc>
        <w:tc>
          <w:tcPr>
            <w:tcW w:w="569" w:type="pct"/>
            <w:tcBorders>
              <w:top w:val="nil"/>
              <w:left w:val="nil"/>
              <w:bottom w:val="nil"/>
              <w:right w:val="single" w:sz="8" w:space="0" w:color="auto"/>
            </w:tcBorders>
            <w:shd w:val="clear" w:color="000000" w:fill="B4C6E7"/>
            <w:vAlign w:val="center"/>
            <w:hideMark/>
          </w:tcPr>
          <w:p w14:paraId="1A364DDD" w14:textId="77777777" w:rsidR="00D33F7C" w:rsidRPr="00037B23" w:rsidRDefault="00D33F7C" w:rsidP="00E213CE">
            <w:pPr>
              <w:jc w:val="center"/>
              <w:rPr>
                <w:rFonts w:ascii="Garamond" w:eastAsia="Times New Roman" w:hAnsi="Garamond" w:cs="Calibri"/>
                <w:b/>
                <w:bCs/>
                <w:color w:val="000000"/>
                <w:sz w:val="20"/>
                <w:szCs w:val="20"/>
                <w:lang w:val="en-IN" w:eastAsia="en-IN" w:bidi="hi-IN"/>
              </w:rPr>
            </w:pPr>
            <w:r w:rsidRPr="00037B23">
              <w:rPr>
                <w:rFonts w:ascii="Garamond" w:eastAsia="Times New Roman" w:hAnsi="Garamond" w:cs="Calibri"/>
                <w:b/>
                <w:bCs/>
                <w:color w:val="000000"/>
                <w:sz w:val="20"/>
                <w:szCs w:val="20"/>
                <w:lang w:val="en-IN" w:eastAsia="en-IN" w:bidi="hi-IN"/>
              </w:rPr>
              <w:t>Number of</w:t>
            </w:r>
          </w:p>
        </w:tc>
        <w:tc>
          <w:tcPr>
            <w:tcW w:w="518" w:type="pct"/>
            <w:tcBorders>
              <w:top w:val="nil"/>
              <w:left w:val="nil"/>
              <w:bottom w:val="nil"/>
              <w:right w:val="single" w:sz="8" w:space="0" w:color="auto"/>
            </w:tcBorders>
            <w:shd w:val="clear" w:color="000000" w:fill="B4C6E7"/>
            <w:vAlign w:val="center"/>
            <w:hideMark/>
          </w:tcPr>
          <w:p w14:paraId="3055E1FD" w14:textId="77777777" w:rsidR="00D33F7C" w:rsidRPr="00037B23" w:rsidRDefault="00D33F7C" w:rsidP="00E213CE">
            <w:pPr>
              <w:jc w:val="center"/>
              <w:rPr>
                <w:rFonts w:ascii="Garamond" w:eastAsia="Times New Roman" w:hAnsi="Garamond" w:cs="Calibri"/>
                <w:b/>
                <w:bCs/>
                <w:color w:val="000000"/>
                <w:sz w:val="20"/>
                <w:szCs w:val="20"/>
                <w:lang w:val="en-IN" w:eastAsia="en-IN" w:bidi="hi-IN"/>
              </w:rPr>
            </w:pPr>
            <w:r w:rsidRPr="00037B23">
              <w:rPr>
                <w:rFonts w:ascii="Garamond" w:eastAsia="Times New Roman" w:hAnsi="Garamond" w:cs="Calibri"/>
                <w:b/>
                <w:bCs/>
                <w:color w:val="000000"/>
                <w:sz w:val="20"/>
                <w:szCs w:val="20"/>
                <w:lang w:val="en-IN" w:eastAsia="en-IN" w:bidi="hi-IN"/>
              </w:rPr>
              <w:t>Notional</w:t>
            </w:r>
          </w:p>
        </w:tc>
        <w:tc>
          <w:tcPr>
            <w:tcW w:w="522" w:type="pct"/>
            <w:tcBorders>
              <w:top w:val="nil"/>
              <w:left w:val="nil"/>
              <w:bottom w:val="nil"/>
              <w:right w:val="single" w:sz="8" w:space="0" w:color="auto"/>
            </w:tcBorders>
            <w:shd w:val="clear" w:color="000000" w:fill="B4C6E7"/>
            <w:vAlign w:val="center"/>
            <w:hideMark/>
          </w:tcPr>
          <w:p w14:paraId="69CB846B" w14:textId="77777777" w:rsidR="00D33F7C" w:rsidRPr="00037B23" w:rsidRDefault="00D33F7C" w:rsidP="00E213CE">
            <w:pPr>
              <w:jc w:val="center"/>
              <w:rPr>
                <w:rFonts w:ascii="Garamond" w:eastAsia="Times New Roman" w:hAnsi="Garamond" w:cs="Calibri"/>
                <w:b/>
                <w:bCs/>
                <w:color w:val="000000"/>
                <w:sz w:val="20"/>
                <w:szCs w:val="20"/>
                <w:lang w:val="en-IN" w:eastAsia="en-IN" w:bidi="hi-IN"/>
              </w:rPr>
            </w:pPr>
            <w:r w:rsidRPr="00037B23">
              <w:rPr>
                <w:rFonts w:ascii="Garamond" w:eastAsia="Times New Roman" w:hAnsi="Garamond" w:cs="Calibri"/>
                <w:b/>
                <w:bCs/>
                <w:color w:val="000000"/>
                <w:sz w:val="20"/>
                <w:szCs w:val="20"/>
                <w:lang w:val="en-IN" w:eastAsia="en-IN" w:bidi="hi-IN"/>
              </w:rPr>
              <w:t>Open</w:t>
            </w:r>
          </w:p>
        </w:tc>
        <w:tc>
          <w:tcPr>
            <w:tcW w:w="569" w:type="pct"/>
            <w:tcBorders>
              <w:top w:val="nil"/>
              <w:left w:val="nil"/>
              <w:bottom w:val="nil"/>
              <w:right w:val="single" w:sz="8" w:space="0" w:color="auto"/>
            </w:tcBorders>
            <w:shd w:val="clear" w:color="000000" w:fill="B4C6E7"/>
            <w:vAlign w:val="center"/>
            <w:hideMark/>
          </w:tcPr>
          <w:p w14:paraId="3FA3F116" w14:textId="77777777" w:rsidR="00D33F7C" w:rsidRPr="00037B23" w:rsidRDefault="00D33F7C" w:rsidP="00E213CE">
            <w:pPr>
              <w:jc w:val="center"/>
              <w:rPr>
                <w:rFonts w:ascii="Garamond" w:eastAsia="Times New Roman" w:hAnsi="Garamond" w:cs="Calibri"/>
                <w:b/>
                <w:bCs/>
                <w:color w:val="000000"/>
                <w:sz w:val="20"/>
                <w:szCs w:val="20"/>
                <w:lang w:val="en-IN" w:eastAsia="en-IN" w:bidi="hi-IN"/>
              </w:rPr>
            </w:pPr>
            <w:r w:rsidRPr="00037B23">
              <w:rPr>
                <w:rFonts w:ascii="Garamond" w:eastAsia="Times New Roman" w:hAnsi="Garamond" w:cs="Calibri"/>
                <w:b/>
                <w:bCs/>
                <w:color w:val="000000"/>
                <w:sz w:val="20"/>
                <w:szCs w:val="20"/>
                <w:lang w:val="en-IN" w:eastAsia="en-IN" w:bidi="hi-IN"/>
              </w:rPr>
              <w:t>Number of</w:t>
            </w:r>
          </w:p>
        </w:tc>
        <w:tc>
          <w:tcPr>
            <w:tcW w:w="515" w:type="pct"/>
            <w:tcBorders>
              <w:top w:val="nil"/>
              <w:left w:val="nil"/>
              <w:bottom w:val="nil"/>
              <w:right w:val="single" w:sz="8" w:space="0" w:color="auto"/>
            </w:tcBorders>
            <w:shd w:val="clear" w:color="000000" w:fill="B4C6E7"/>
            <w:vAlign w:val="center"/>
            <w:hideMark/>
          </w:tcPr>
          <w:p w14:paraId="0F64A845" w14:textId="77777777" w:rsidR="00D33F7C" w:rsidRPr="00037B23" w:rsidRDefault="00D33F7C" w:rsidP="00E213CE">
            <w:pPr>
              <w:jc w:val="center"/>
              <w:rPr>
                <w:rFonts w:ascii="Garamond" w:eastAsia="Times New Roman" w:hAnsi="Garamond" w:cs="Calibri"/>
                <w:b/>
                <w:bCs/>
                <w:color w:val="000000"/>
                <w:sz w:val="20"/>
                <w:szCs w:val="20"/>
                <w:lang w:val="en-IN" w:eastAsia="en-IN" w:bidi="hi-IN"/>
              </w:rPr>
            </w:pPr>
            <w:r w:rsidRPr="00037B23">
              <w:rPr>
                <w:rFonts w:ascii="Garamond" w:eastAsia="Times New Roman" w:hAnsi="Garamond" w:cs="Calibri"/>
                <w:b/>
                <w:bCs/>
                <w:color w:val="000000"/>
                <w:sz w:val="20"/>
                <w:szCs w:val="20"/>
                <w:lang w:val="en-IN" w:eastAsia="en-IN" w:bidi="hi-IN"/>
              </w:rPr>
              <w:t>Notional</w:t>
            </w:r>
          </w:p>
        </w:tc>
        <w:tc>
          <w:tcPr>
            <w:tcW w:w="577" w:type="pct"/>
            <w:tcBorders>
              <w:top w:val="nil"/>
              <w:left w:val="nil"/>
              <w:bottom w:val="nil"/>
              <w:right w:val="single" w:sz="8" w:space="0" w:color="auto"/>
            </w:tcBorders>
            <w:shd w:val="clear" w:color="000000" w:fill="B4C6E7"/>
            <w:vAlign w:val="center"/>
            <w:hideMark/>
          </w:tcPr>
          <w:p w14:paraId="2398194A" w14:textId="77777777" w:rsidR="00D33F7C" w:rsidRPr="00037B23" w:rsidRDefault="00D33F7C" w:rsidP="00E213CE">
            <w:pPr>
              <w:jc w:val="center"/>
              <w:rPr>
                <w:rFonts w:ascii="Garamond" w:eastAsia="Times New Roman" w:hAnsi="Garamond" w:cs="Calibri"/>
                <w:b/>
                <w:bCs/>
                <w:color w:val="000000"/>
                <w:sz w:val="20"/>
                <w:szCs w:val="20"/>
                <w:lang w:val="en-IN" w:eastAsia="en-IN" w:bidi="hi-IN"/>
              </w:rPr>
            </w:pPr>
            <w:r w:rsidRPr="00037B23">
              <w:rPr>
                <w:rFonts w:ascii="Garamond" w:eastAsia="Times New Roman" w:hAnsi="Garamond" w:cs="Calibri"/>
                <w:b/>
                <w:bCs/>
                <w:color w:val="000000"/>
                <w:sz w:val="20"/>
                <w:szCs w:val="20"/>
                <w:lang w:val="en-IN" w:eastAsia="en-IN" w:bidi="hi-IN"/>
              </w:rPr>
              <w:t>Open</w:t>
            </w:r>
          </w:p>
        </w:tc>
      </w:tr>
      <w:tr w:rsidR="00D33F7C" w:rsidRPr="00037B23" w14:paraId="1CE0CD56" w14:textId="77777777" w:rsidTr="00E213CE">
        <w:trPr>
          <w:trHeight w:val="394"/>
        </w:trPr>
        <w:tc>
          <w:tcPr>
            <w:tcW w:w="1729" w:type="pct"/>
            <w:vMerge/>
            <w:tcBorders>
              <w:top w:val="single" w:sz="8" w:space="0" w:color="auto"/>
              <w:left w:val="single" w:sz="8" w:space="0" w:color="auto"/>
              <w:bottom w:val="single" w:sz="8" w:space="0" w:color="000000"/>
              <w:right w:val="single" w:sz="8" w:space="0" w:color="auto"/>
            </w:tcBorders>
            <w:vAlign w:val="center"/>
            <w:hideMark/>
          </w:tcPr>
          <w:p w14:paraId="5F61F52B" w14:textId="77777777" w:rsidR="00D33F7C" w:rsidRPr="00037B23" w:rsidRDefault="00D33F7C" w:rsidP="00E213CE">
            <w:pPr>
              <w:rPr>
                <w:rFonts w:ascii="Garamond" w:eastAsia="Times New Roman" w:hAnsi="Garamond" w:cs="Calibri"/>
                <w:b/>
                <w:bCs/>
                <w:color w:val="000000"/>
                <w:sz w:val="20"/>
                <w:szCs w:val="20"/>
                <w:lang w:val="en-IN" w:eastAsia="en-IN" w:bidi="hi-IN"/>
              </w:rPr>
            </w:pPr>
          </w:p>
        </w:tc>
        <w:tc>
          <w:tcPr>
            <w:tcW w:w="569" w:type="pct"/>
            <w:tcBorders>
              <w:top w:val="nil"/>
              <w:left w:val="nil"/>
              <w:bottom w:val="single" w:sz="8" w:space="0" w:color="auto"/>
              <w:right w:val="single" w:sz="8" w:space="0" w:color="auto"/>
            </w:tcBorders>
            <w:shd w:val="clear" w:color="000000" w:fill="B4C6E7"/>
            <w:vAlign w:val="center"/>
            <w:hideMark/>
          </w:tcPr>
          <w:p w14:paraId="4C076290" w14:textId="77777777" w:rsidR="00D33F7C" w:rsidRPr="00037B23" w:rsidRDefault="00D33F7C" w:rsidP="00E213CE">
            <w:pPr>
              <w:jc w:val="center"/>
              <w:rPr>
                <w:rFonts w:ascii="Garamond" w:eastAsia="Times New Roman" w:hAnsi="Garamond" w:cs="Calibri"/>
                <w:b/>
                <w:bCs/>
                <w:color w:val="000000"/>
                <w:sz w:val="20"/>
                <w:szCs w:val="20"/>
                <w:lang w:val="en-IN" w:eastAsia="en-IN" w:bidi="hi-IN"/>
              </w:rPr>
            </w:pPr>
            <w:r w:rsidRPr="00037B23">
              <w:rPr>
                <w:rFonts w:ascii="Garamond" w:eastAsia="Times New Roman" w:hAnsi="Garamond" w:cs="Calibri"/>
                <w:b/>
                <w:bCs/>
                <w:color w:val="000000"/>
                <w:sz w:val="20"/>
                <w:szCs w:val="20"/>
                <w:lang w:val="en-IN" w:eastAsia="en-IN" w:bidi="hi-IN"/>
              </w:rPr>
              <w:t>Contracts Traded</w:t>
            </w:r>
          </w:p>
        </w:tc>
        <w:tc>
          <w:tcPr>
            <w:tcW w:w="518" w:type="pct"/>
            <w:tcBorders>
              <w:top w:val="nil"/>
              <w:left w:val="nil"/>
              <w:bottom w:val="single" w:sz="8" w:space="0" w:color="auto"/>
              <w:right w:val="single" w:sz="8" w:space="0" w:color="auto"/>
            </w:tcBorders>
            <w:shd w:val="clear" w:color="000000" w:fill="B4C6E7"/>
            <w:vAlign w:val="center"/>
            <w:hideMark/>
          </w:tcPr>
          <w:p w14:paraId="525D1663" w14:textId="77777777" w:rsidR="00D33F7C" w:rsidRPr="00037B23" w:rsidRDefault="00D33F7C" w:rsidP="00E213CE">
            <w:pPr>
              <w:jc w:val="center"/>
              <w:rPr>
                <w:rFonts w:ascii="Garamond" w:eastAsia="Times New Roman" w:hAnsi="Garamond" w:cs="Calibri"/>
                <w:b/>
                <w:bCs/>
                <w:color w:val="000000"/>
                <w:sz w:val="20"/>
                <w:szCs w:val="20"/>
                <w:lang w:val="en-IN" w:eastAsia="en-IN" w:bidi="hi-IN"/>
              </w:rPr>
            </w:pPr>
            <w:r w:rsidRPr="00037B23">
              <w:rPr>
                <w:rFonts w:ascii="Garamond" w:eastAsia="Times New Roman" w:hAnsi="Garamond" w:cs="Calibri"/>
                <w:b/>
                <w:bCs/>
                <w:color w:val="000000"/>
                <w:sz w:val="20"/>
                <w:szCs w:val="20"/>
                <w:lang w:val="en-IN" w:eastAsia="en-IN" w:bidi="hi-IN"/>
              </w:rPr>
              <w:t>Turnover</w:t>
            </w:r>
          </w:p>
        </w:tc>
        <w:tc>
          <w:tcPr>
            <w:tcW w:w="522" w:type="pct"/>
            <w:tcBorders>
              <w:top w:val="nil"/>
              <w:left w:val="nil"/>
              <w:bottom w:val="single" w:sz="8" w:space="0" w:color="auto"/>
              <w:right w:val="single" w:sz="8" w:space="0" w:color="auto"/>
            </w:tcBorders>
            <w:shd w:val="clear" w:color="000000" w:fill="B4C6E7"/>
            <w:vAlign w:val="center"/>
            <w:hideMark/>
          </w:tcPr>
          <w:p w14:paraId="5830B944" w14:textId="77777777" w:rsidR="00D33F7C" w:rsidRPr="00037B23" w:rsidRDefault="00D33F7C" w:rsidP="00E213CE">
            <w:pPr>
              <w:jc w:val="center"/>
              <w:rPr>
                <w:rFonts w:ascii="Garamond" w:eastAsia="Times New Roman" w:hAnsi="Garamond" w:cs="Calibri"/>
                <w:b/>
                <w:bCs/>
                <w:color w:val="000000"/>
                <w:sz w:val="20"/>
                <w:szCs w:val="20"/>
                <w:lang w:val="en-IN" w:eastAsia="en-IN" w:bidi="hi-IN"/>
              </w:rPr>
            </w:pPr>
            <w:r w:rsidRPr="00037B23">
              <w:rPr>
                <w:rFonts w:ascii="Garamond" w:eastAsia="Times New Roman" w:hAnsi="Garamond" w:cs="Calibri"/>
                <w:b/>
                <w:bCs/>
                <w:color w:val="000000"/>
                <w:sz w:val="20"/>
                <w:szCs w:val="20"/>
                <w:lang w:val="en-IN" w:eastAsia="en-IN" w:bidi="hi-IN"/>
              </w:rPr>
              <w:t>Interest</w:t>
            </w:r>
          </w:p>
        </w:tc>
        <w:tc>
          <w:tcPr>
            <w:tcW w:w="569" w:type="pct"/>
            <w:tcBorders>
              <w:top w:val="nil"/>
              <w:left w:val="nil"/>
              <w:bottom w:val="single" w:sz="8" w:space="0" w:color="auto"/>
              <w:right w:val="single" w:sz="8" w:space="0" w:color="auto"/>
            </w:tcBorders>
            <w:shd w:val="clear" w:color="000000" w:fill="B4C6E7"/>
            <w:vAlign w:val="center"/>
            <w:hideMark/>
          </w:tcPr>
          <w:p w14:paraId="604055B8" w14:textId="77777777" w:rsidR="00D33F7C" w:rsidRPr="00037B23" w:rsidRDefault="00D33F7C" w:rsidP="00E213CE">
            <w:pPr>
              <w:jc w:val="center"/>
              <w:rPr>
                <w:rFonts w:ascii="Garamond" w:eastAsia="Times New Roman" w:hAnsi="Garamond" w:cs="Calibri"/>
                <w:b/>
                <w:bCs/>
                <w:color w:val="000000"/>
                <w:sz w:val="20"/>
                <w:szCs w:val="20"/>
                <w:lang w:val="en-IN" w:eastAsia="en-IN" w:bidi="hi-IN"/>
              </w:rPr>
            </w:pPr>
            <w:r w:rsidRPr="00037B23">
              <w:rPr>
                <w:rFonts w:ascii="Garamond" w:eastAsia="Times New Roman" w:hAnsi="Garamond" w:cs="Calibri"/>
                <w:b/>
                <w:bCs/>
                <w:color w:val="000000"/>
                <w:sz w:val="20"/>
                <w:szCs w:val="20"/>
                <w:lang w:val="en-IN" w:eastAsia="en-IN" w:bidi="hi-IN"/>
              </w:rPr>
              <w:t>Contracts Traded</w:t>
            </w:r>
          </w:p>
        </w:tc>
        <w:tc>
          <w:tcPr>
            <w:tcW w:w="515" w:type="pct"/>
            <w:tcBorders>
              <w:top w:val="nil"/>
              <w:left w:val="nil"/>
              <w:bottom w:val="single" w:sz="8" w:space="0" w:color="auto"/>
              <w:right w:val="single" w:sz="8" w:space="0" w:color="auto"/>
            </w:tcBorders>
            <w:shd w:val="clear" w:color="000000" w:fill="B4C6E7"/>
            <w:vAlign w:val="center"/>
            <w:hideMark/>
          </w:tcPr>
          <w:p w14:paraId="1F2562E4" w14:textId="77777777" w:rsidR="00D33F7C" w:rsidRPr="00037B23" w:rsidRDefault="00D33F7C" w:rsidP="00E213CE">
            <w:pPr>
              <w:jc w:val="center"/>
              <w:rPr>
                <w:rFonts w:ascii="Garamond" w:eastAsia="Times New Roman" w:hAnsi="Garamond" w:cs="Calibri"/>
                <w:b/>
                <w:bCs/>
                <w:color w:val="000000"/>
                <w:sz w:val="20"/>
                <w:szCs w:val="20"/>
                <w:lang w:val="en-IN" w:eastAsia="en-IN" w:bidi="hi-IN"/>
              </w:rPr>
            </w:pPr>
            <w:r w:rsidRPr="00037B23">
              <w:rPr>
                <w:rFonts w:ascii="Garamond" w:eastAsia="Times New Roman" w:hAnsi="Garamond" w:cs="Calibri"/>
                <w:b/>
                <w:bCs/>
                <w:color w:val="000000"/>
                <w:sz w:val="20"/>
                <w:szCs w:val="20"/>
                <w:lang w:val="en-IN" w:eastAsia="en-IN" w:bidi="hi-IN"/>
              </w:rPr>
              <w:t>Turnover</w:t>
            </w:r>
          </w:p>
        </w:tc>
        <w:tc>
          <w:tcPr>
            <w:tcW w:w="577" w:type="pct"/>
            <w:tcBorders>
              <w:top w:val="nil"/>
              <w:left w:val="nil"/>
              <w:bottom w:val="single" w:sz="8" w:space="0" w:color="auto"/>
              <w:right w:val="single" w:sz="8" w:space="0" w:color="auto"/>
            </w:tcBorders>
            <w:shd w:val="clear" w:color="000000" w:fill="B4C6E7"/>
            <w:vAlign w:val="center"/>
            <w:hideMark/>
          </w:tcPr>
          <w:p w14:paraId="784F7FA5" w14:textId="77777777" w:rsidR="00D33F7C" w:rsidRPr="00037B23" w:rsidRDefault="00D33F7C" w:rsidP="00E213CE">
            <w:pPr>
              <w:jc w:val="center"/>
              <w:rPr>
                <w:rFonts w:ascii="Garamond" w:eastAsia="Times New Roman" w:hAnsi="Garamond" w:cs="Calibri"/>
                <w:b/>
                <w:bCs/>
                <w:color w:val="000000"/>
                <w:sz w:val="20"/>
                <w:szCs w:val="20"/>
                <w:lang w:val="en-IN" w:eastAsia="en-IN" w:bidi="hi-IN"/>
              </w:rPr>
            </w:pPr>
            <w:r w:rsidRPr="00037B23">
              <w:rPr>
                <w:rFonts w:ascii="Garamond" w:eastAsia="Times New Roman" w:hAnsi="Garamond" w:cs="Calibri"/>
                <w:b/>
                <w:bCs/>
                <w:color w:val="000000"/>
                <w:sz w:val="20"/>
                <w:szCs w:val="20"/>
                <w:lang w:val="en-IN" w:eastAsia="en-IN" w:bidi="hi-IN"/>
              </w:rPr>
              <w:t>Interest</w:t>
            </w:r>
          </w:p>
        </w:tc>
      </w:tr>
      <w:tr w:rsidR="00D33F7C" w:rsidRPr="00037B23" w14:paraId="2B252F2B" w14:textId="77777777" w:rsidTr="00E213CE">
        <w:trPr>
          <w:trHeight w:val="225"/>
        </w:trPr>
        <w:tc>
          <w:tcPr>
            <w:tcW w:w="1729" w:type="pct"/>
            <w:tcBorders>
              <w:top w:val="nil"/>
              <w:left w:val="single" w:sz="8" w:space="0" w:color="auto"/>
              <w:bottom w:val="nil"/>
              <w:right w:val="single" w:sz="8" w:space="0" w:color="auto"/>
            </w:tcBorders>
            <w:shd w:val="clear" w:color="000000" w:fill="B4C6E7"/>
            <w:vAlign w:val="center"/>
            <w:hideMark/>
          </w:tcPr>
          <w:p w14:paraId="77322166"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B3 - Brasil Bolsa Balcão</w:t>
            </w:r>
          </w:p>
        </w:tc>
        <w:tc>
          <w:tcPr>
            <w:tcW w:w="569" w:type="pct"/>
            <w:tcBorders>
              <w:top w:val="nil"/>
              <w:left w:val="nil"/>
              <w:bottom w:val="nil"/>
              <w:right w:val="single" w:sz="8" w:space="0" w:color="auto"/>
            </w:tcBorders>
            <w:shd w:val="clear" w:color="auto" w:fill="auto"/>
            <w:vAlign w:val="center"/>
            <w:hideMark/>
          </w:tcPr>
          <w:p w14:paraId="593838FE"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42,684,520</w:t>
            </w:r>
          </w:p>
        </w:tc>
        <w:tc>
          <w:tcPr>
            <w:tcW w:w="518" w:type="pct"/>
            <w:tcBorders>
              <w:top w:val="nil"/>
              <w:left w:val="nil"/>
              <w:bottom w:val="nil"/>
              <w:right w:val="single" w:sz="8" w:space="0" w:color="auto"/>
            </w:tcBorders>
            <w:shd w:val="clear" w:color="auto" w:fill="auto"/>
            <w:vAlign w:val="center"/>
            <w:hideMark/>
          </w:tcPr>
          <w:p w14:paraId="5CEF5AB0"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206</w:t>
            </w:r>
          </w:p>
        </w:tc>
        <w:tc>
          <w:tcPr>
            <w:tcW w:w="522" w:type="pct"/>
            <w:tcBorders>
              <w:top w:val="nil"/>
              <w:left w:val="nil"/>
              <w:bottom w:val="nil"/>
              <w:right w:val="nil"/>
            </w:tcBorders>
            <w:shd w:val="clear" w:color="auto" w:fill="auto"/>
            <w:vAlign w:val="center"/>
            <w:hideMark/>
          </w:tcPr>
          <w:p w14:paraId="6576F9C9"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34,115,562</w:t>
            </w:r>
          </w:p>
        </w:tc>
        <w:tc>
          <w:tcPr>
            <w:tcW w:w="569" w:type="pct"/>
            <w:tcBorders>
              <w:top w:val="nil"/>
              <w:left w:val="single" w:sz="8" w:space="0" w:color="auto"/>
              <w:bottom w:val="nil"/>
              <w:right w:val="single" w:sz="8" w:space="0" w:color="auto"/>
            </w:tcBorders>
            <w:shd w:val="clear" w:color="auto" w:fill="auto"/>
            <w:vAlign w:val="center"/>
            <w:hideMark/>
          </w:tcPr>
          <w:p w14:paraId="20598AC8"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158,595,348</w:t>
            </w:r>
          </w:p>
        </w:tc>
        <w:tc>
          <w:tcPr>
            <w:tcW w:w="515" w:type="pct"/>
            <w:tcBorders>
              <w:top w:val="nil"/>
              <w:left w:val="nil"/>
              <w:bottom w:val="nil"/>
              <w:right w:val="nil"/>
            </w:tcBorders>
            <w:shd w:val="clear" w:color="auto" w:fill="auto"/>
            <w:vAlign w:val="center"/>
            <w:hideMark/>
          </w:tcPr>
          <w:p w14:paraId="262DF0AD"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53,209</w:t>
            </w:r>
          </w:p>
        </w:tc>
        <w:tc>
          <w:tcPr>
            <w:tcW w:w="577" w:type="pct"/>
            <w:tcBorders>
              <w:top w:val="nil"/>
              <w:left w:val="single" w:sz="8" w:space="0" w:color="auto"/>
              <w:bottom w:val="nil"/>
              <w:right w:val="single" w:sz="8" w:space="0" w:color="auto"/>
            </w:tcBorders>
            <w:shd w:val="clear" w:color="auto" w:fill="auto"/>
            <w:vAlign w:val="center"/>
            <w:hideMark/>
          </w:tcPr>
          <w:p w14:paraId="4B76E467"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46,852,051</w:t>
            </w:r>
          </w:p>
        </w:tc>
      </w:tr>
      <w:tr w:rsidR="00D33F7C" w:rsidRPr="00037B23" w14:paraId="3E9D6EE9" w14:textId="77777777" w:rsidTr="00E213CE">
        <w:trPr>
          <w:trHeight w:val="225"/>
        </w:trPr>
        <w:tc>
          <w:tcPr>
            <w:tcW w:w="1729" w:type="pct"/>
            <w:tcBorders>
              <w:top w:val="nil"/>
              <w:left w:val="single" w:sz="8" w:space="0" w:color="auto"/>
              <w:bottom w:val="nil"/>
              <w:right w:val="single" w:sz="8" w:space="0" w:color="auto"/>
            </w:tcBorders>
            <w:shd w:val="clear" w:color="000000" w:fill="B4C6E7"/>
            <w:vAlign w:val="center"/>
            <w:hideMark/>
          </w:tcPr>
          <w:p w14:paraId="4C8F3FBD"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Bolsa de Valores de Colombia</w:t>
            </w:r>
          </w:p>
        </w:tc>
        <w:tc>
          <w:tcPr>
            <w:tcW w:w="569" w:type="pct"/>
            <w:tcBorders>
              <w:top w:val="nil"/>
              <w:left w:val="nil"/>
              <w:bottom w:val="nil"/>
              <w:right w:val="single" w:sz="8" w:space="0" w:color="auto"/>
            </w:tcBorders>
            <w:shd w:val="clear" w:color="auto" w:fill="auto"/>
            <w:vAlign w:val="center"/>
            <w:hideMark/>
          </w:tcPr>
          <w:p w14:paraId="2E8D1B90"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7,255</w:t>
            </w:r>
          </w:p>
        </w:tc>
        <w:tc>
          <w:tcPr>
            <w:tcW w:w="518" w:type="pct"/>
            <w:tcBorders>
              <w:top w:val="nil"/>
              <w:left w:val="nil"/>
              <w:bottom w:val="nil"/>
              <w:right w:val="single" w:sz="8" w:space="0" w:color="auto"/>
            </w:tcBorders>
            <w:shd w:val="clear" w:color="auto" w:fill="auto"/>
            <w:vAlign w:val="center"/>
            <w:hideMark/>
          </w:tcPr>
          <w:p w14:paraId="76673E59"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8</w:t>
            </w:r>
          </w:p>
        </w:tc>
        <w:tc>
          <w:tcPr>
            <w:tcW w:w="522" w:type="pct"/>
            <w:tcBorders>
              <w:top w:val="nil"/>
              <w:left w:val="nil"/>
              <w:bottom w:val="nil"/>
              <w:right w:val="nil"/>
            </w:tcBorders>
            <w:shd w:val="clear" w:color="auto" w:fill="auto"/>
            <w:vAlign w:val="center"/>
            <w:hideMark/>
          </w:tcPr>
          <w:p w14:paraId="71CFD0C5"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10,012</w:t>
            </w:r>
          </w:p>
        </w:tc>
        <w:tc>
          <w:tcPr>
            <w:tcW w:w="569" w:type="pct"/>
            <w:tcBorders>
              <w:top w:val="nil"/>
              <w:left w:val="single" w:sz="8" w:space="0" w:color="auto"/>
              <w:bottom w:val="nil"/>
              <w:right w:val="single" w:sz="8" w:space="0" w:color="auto"/>
            </w:tcBorders>
            <w:shd w:val="clear" w:color="auto" w:fill="auto"/>
            <w:vAlign w:val="center"/>
            <w:hideMark/>
          </w:tcPr>
          <w:p w14:paraId="4C88F9E5"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0</w:t>
            </w:r>
          </w:p>
        </w:tc>
        <w:tc>
          <w:tcPr>
            <w:tcW w:w="515" w:type="pct"/>
            <w:tcBorders>
              <w:top w:val="nil"/>
              <w:left w:val="nil"/>
              <w:bottom w:val="nil"/>
              <w:right w:val="nil"/>
            </w:tcBorders>
            <w:shd w:val="clear" w:color="auto" w:fill="auto"/>
            <w:vAlign w:val="center"/>
            <w:hideMark/>
          </w:tcPr>
          <w:p w14:paraId="3DE7A86C"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0</w:t>
            </w:r>
          </w:p>
        </w:tc>
        <w:tc>
          <w:tcPr>
            <w:tcW w:w="577" w:type="pct"/>
            <w:tcBorders>
              <w:top w:val="nil"/>
              <w:left w:val="single" w:sz="8" w:space="0" w:color="auto"/>
              <w:bottom w:val="nil"/>
              <w:right w:val="single" w:sz="8" w:space="0" w:color="auto"/>
            </w:tcBorders>
            <w:shd w:val="clear" w:color="auto" w:fill="auto"/>
            <w:vAlign w:val="center"/>
            <w:hideMark/>
          </w:tcPr>
          <w:p w14:paraId="7B351617"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0</w:t>
            </w:r>
          </w:p>
        </w:tc>
      </w:tr>
      <w:tr w:rsidR="00D33F7C" w:rsidRPr="00037B23" w14:paraId="4BD223BA" w14:textId="77777777" w:rsidTr="00E213CE">
        <w:trPr>
          <w:trHeight w:val="225"/>
        </w:trPr>
        <w:tc>
          <w:tcPr>
            <w:tcW w:w="1729" w:type="pct"/>
            <w:tcBorders>
              <w:top w:val="nil"/>
              <w:left w:val="single" w:sz="8" w:space="0" w:color="auto"/>
              <w:bottom w:val="nil"/>
              <w:right w:val="single" w:sz="8" w:space="0" w:color="auto"/>
            </w:tcBorders>
            <w:shd w:val="clear" w:color="000000" w:fill="B4C6E7"/>
            <w:vAlign w:val="center"/>
            <w:hideMark/>
          </w:tcPr>
          <w:p w14:paraId="38B4B28B"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Bolsa Mexicana de Valores</w:t>
            </w:r>
          </w:p>
        </w:tc>
        <w:tc>
          <w:tcPr>
            <w:tcW w:w="569" w:type="pct"/>
            <w:tcBorders>
              <w:top w:val="nil"/>
              <w:left w:val="nil"/>
              <w:bottom w:val="nil"/>
              <w:right w:val="single" w:sz="8" w:space="0" w:color="auto"/>
            </w:tcBorders>
            <w:shd w:val="clear" w:color="auto" w:fill="auto"/>
            <w:vAlign w:val="center"/>
            <w:hideMark/>
          </w:tcPr>
          <w:p w14:paraId="0732466E"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350</w:t>
            </w:r>
          </w:p>
        </w:tc>
        <w:tc>
          <w:tcPr>
            <w:tcW w:w="518" w:type="pct"/>
            <w:tcBorders>
              <w:top w:val="nil"/>
              <w:left w:val="nil"/>
              <w:bottom w:val="nil"/>
              <w:right w:val="single" w:sz="8" w:space="0" w:color="auto"/>
            </w:tcBorders>
            <w:shd w:val="clear" w:color="auto" w:fill="auto"/>
            <w:vAlign w:val="center"/>
            <w:hideMark/>
          </w:tcPr>
          <w:p w14:paraId="2EC4ABD3"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0</w:t>
            </w:r>
          </w:p>
        </w:tc>
        <w:tc>
          <w:tcPr>
            <w:tcW w:w="522" w:type="pct"/>
            <w:tcBorders>
              <w:top w:val="nil"/>
              <w:left w:val="nil"/>
              <w:bottom w:val="nil"/>
              <w:right w:val="nil"/>
            </w:tcBorders>
            <w:shd w:val="clear" w:color="auto" w:fill="auto"/>
            <w:vAlign w:val="center"/>
            <w:hideMark/>
          </w:tcPr>
          <w:p w14:paraId="4A008A87"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3,800</w:t>
            </w:r>
          </w:p>
        </w:tc>
        <w:tc>
          <w:tcPr>
            <w:tcW w:w="569" w:type="pct"/>
            <w:tcBorders>
              <w:top w:val="nil"/>
              <w:left w:val="single" w:sz="8" w:space="0" w:color="auto"/>
              <w:bottom w:val="nil"/>
              <w:right w:val="single" w:sz="8" w:space="0" w:color="auto"/>
            </w:tcBorders>
            <w:shd w:val="clear" w:color="auto" w:fill="auto"/>
            <w:vAlign w:val="center"/>
            <w:hideMark/>
          </w:tcPr>
          <w:p w14:paraId="11CF44D2"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1,000</w:t>
            </w:r>
          </w:p>
        </w:tc>
        <w:tc>
          <w:tcPr>
            <w:tcW w:w="515" w:type="pct"/>
            <w:tcBorders>
              <w:top w:val="nil"/>
              <w:left w:val="nil"/>
              <w:bottom w:val="nil"/>
              <w:right w:val="nil"/>
            </w:tcBorders>
            <w:shd w:val="clear" w:color="auto" w:fill="auto"/>
            <w:vAlign w:val="center"/>
            <w:hideMark/>
          </w:tcPr>
          <w:p w14:paraId="578FF5B8"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0</w:t>
            </w:r>
          </w:p>
        </w:tc>
        <w:tc>
          <w:tcPr>
            <w:tcW w:w="577" w:type="pct"/>
            <w:tcBorders>
              <w:top w:val="nil"/>
              <w:left w:val="single" w:sz="8" w:space="0" w:color="auto"/>
              <w:bottom w:val="nil"/>
              <w:right w:val="single" w:sz="8" w:space="0" w:color="auto"/>
            </w:tcBorders>
            <w:shd w:val="clear" w:color="auto" w:fill="auto"/>
            <w:vAlign w:val="center"/>
            <w:hideMark/>
          </w:tcPr>
          <w:p w14:paraId="48D26DFB"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15,000</w:t>
            </w:r>
          </w:p>
        </w:tc>
      </w:tr>
      <w:tr w:rsidR="00D33F7C" w:rsidRPr="00037B23" w14:paraId="1C7866EB" w14:textId="77777777" w:rsidTr="00E213CE">
        <w:trPr>
          <w:trHeight w:val="225"/>
        </w:trPr>
        <w:tc>
          <w:tcPr>
            <w:tcW w:w="1729" w:type="pct"/>
            <w:tcBorders>
              <w:top w:val="nil"/>
              <w:left w:val="single" w:sz="8" w:space="0" w:color="auto"/>
              <w:bottom w:val="nil"/>
              <w:right w:val="single" w:sz="8" w:space="0" w:color="auto"/>
            </w:tcBorders>
            <w:shd w:val="clear" w:color="000000" w:fill="B4C6E7"/>
            <w:vAlign w:val="center"/>
            <w:hideMark/>
          </w:tcPr>
          <w:p w14:paraId="57B185D6"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Cboe Global Markets</w:t>
            </w:r>
          </w:p>
        </w:tc>
        <w:tc>
          <w:tcPr>
            <w:tcW w:w="569" w:type="pct"/>
            <w:tcBorders>
              <w:top w:val="nil"/>
              <w:left w:val="nil"/>
              <w:bottom w:val="nil"/>
              <w:right w:val="single" w:sz="8" w:space="0" w:color="auto"/>
            </w:tcBorders>
            <w:shd w:val="clear" w:color="auto" w:fill="auto"/>
            <w:vAlign w:val="center"/>
            <w:hideMark/>
          </w:tcPr>
          <w:p w14:paraId="506858D4"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518" w:type="pct"/>
            <w:tcBorders>
              <w:top w:val="nil"/>
              <w:left w:val="nil"/>
              <w:bottom w:val="nil"/>
              <w:right w:val="single" w:sz="8" w:space="0" w:color="auto"/>
            </w:tcBorders>
            <w:shd w:val="clear" w:color="auto" w:fill="auto"/>
            <w:vAlign w:val="center"/>
            <w:hideMark/>
          </w:tcPr>
          <w:p w14:paraId="4E24A10B"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522" w:type="pct"/>
            <w:tcBorders>
              <w:top w:val="nil"/>
              <w:left w:val="nil"/>
              <w:bottom w:val="nil"/>
              <w:right w:val="nil"/>
            </w:tcBorders>
            <w:shd w:val="clear" w:color="auto" w:fill="auto"/>
            <w:vAlign w:val="center"/>
            <w:hideMark/>
          </w:tcPr>
          <w:p w14:paraId="6E430FA4"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569" w:type="pct"/>
            <w:tcBorders>
              <w:top w:val="nil"/>
              <w:left w:val="single" w:sz="8" w:space="0" w:color="auto"/>
              <w:bottom w:val="nil"/>
              <w:right w:val="single" w:sz="8" w:space="0" w:color="auto"/>
            </w:tcBorders>
            <w:shd w:val="clear" w:color="auto" w:fill="auto"/>
            <w:vAlign w:val="center"/>
            <w:hideMark/>
          </w:tcPr>
          <w:p w14:paraId="1DBBEEF5"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115,987,570</w:t>
            </w:r>
          </w:p>
        </w:tc>
        <w:tc>
          <w:tcPr>
            <w:tcW w:w="515" w:type="pct"/>
            <w:tcBorders>
              <w:top w:val="nil"/>
              <w:left w:val="nil"/>
              <w:bottom w:val="nil"/>
              <w:right w:val="nil"/>
            </w:tcBorders>
            <w:shd w:val="clear" w:color="auto" w:fill="auto"/>
            <w:vAlign w:val="center"/>
            <w:hideMark/>
          </w:tcPr>
          <w:p w14:paraId="4DCAE187"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577" w:type="pct"/>
            <w:tcBorders>
              <w:top w:val="nil"/>
              <w:left w:val="single" w:sz="8" w:space="0" w:color="auto"/>
              <w:bottom w:val="nil"/>
              <w:right w:val="single" w:sz="8" w:space="0" w:color="auto"/>
            </w:tcBorders>
            <w:shd w:val="clear" w:color="auto" w:fill="auto"/>
            <w:vAlign w:val="center"/>
            <w:hideMark/>
          </w:tcPr>
          <w:p w14:paraId="7B3ADE8B"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283,105,657</w:t>
            </w:r>
          </w:p>
        </w:tc>
      </w:tr>
      <w:tr w:rsidR="00D33F7C" w:rsidRPr="00037B23" w14:paraId="047580AB" w14:textId="77777777" w:rsidTr="00E213CE">
        <w:trPr>
          <w:trHeight w:val="225"/>
        </w:trPr>
        <w:tc>
          <w:tcPr>
            <w:tcW w:w="1729" w:type="pct"/>
            <w:tcBorders>
              <w:top w:val="nil"/>
              <w:left w:val="single" w:sz="8" w:space="0" w:color="auto"/>
              <w:bottom w:val="nil"/>
              <w:right w:val="single" w:sz="8" w:space="0" w:color="auto"/>
            </w:tcBorders>
            <w:shd w:val="clear" w:color="000000" w:fill="B4C6E7"/>
            <w:vAlign w:val="center"/>
            <w:hideMark/>
          </w:tcPr>
          <w:p w14:paraId="521118EA"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Nasdaq - US</w:t>
            </w:r>
          </w:p>
        </w:tc>
        <w:tc>
          <w:tcPr>
            <w:tcW w:w="569" w:type="pct"/>
            <w:tcBorders>
              <w:top w:val="nil"/>
              <w:left w:val="nil"/>
              <w:bottom w:val="nil"/>
              <w:right w:val="single" w:sz="8" w:space="0" w:color="auto"/>
            </w:tcBorders>
            <w:shd w:val="clear" w:color="auto" w:fill="auto"/>
            <w:vAlign w:val="center"/>
            <w:hideMark/>
          </w:tcPr>
          <w:p w14:paraId="74F5B726"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518" w:type="pct"/>
            <w:tcBorders>
              <w:top w:val="nil"/>
              <w:left w:val="nil"/>
              <w:bottom w:val="nil"/>
              <w:right w:val="single" w:sz="8" w:space="0" w:color="auto"/>
            </w:tcBorders>
            <w:shd w:val="clear" w:color="auto" w:fill="auto"/>
            <w:vAlign w:val="center"/>
            <w:hideMark/>
          </w:tcPr>
          <w:p w14:paraId="11802D76"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522" w:type="pct"/>
            <w:tcBorders>
              <w:top w:val="nil"/>
              <w:left w:val="nil"/>
              <w:bottom w:val="nil"/>
              <w:right w:val="nil"/>
            </w:tcBorders>
            <w:shd w:val="clear" w:color="auto" w:fill="auto"/>
            <w:vAlign w:val="center"/>
            <w:hideMark/>
          </w:tcPr>
          <w:p w14:paraId="7D5CB6B2"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569" w:type="pct"/>
            <w:tcBorders>
              <w:top w:val="nil"/>
              <w:left w:val="single" w:sz="8" w:space="0" w:color="auto"/>
              <w:bottom w:val="nil"/>
              <w:right w:val="single" w:sz="8" w:space="0" w:color="auto"/>
            </w:tcBorders>
            <w:shd w:val="clear" w:color="auto" w:fill="auto"/>
            <w:vAlign w:val="center"/>
            <w:hideMark/>
          </w:tcPr>
          <w:p w14:paraId="68D9B8A8"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177,729,693</w:t>
            </w:r>
          </w:p>
        </w:tc>
        <w:tc>
          <w:tcPr>
            <w:tcW w:w="515" w:type="pct"/>
            <w:tcBorders>
              <w:top w:val="nil"/>
              <w:left w:val="nil"/>
              <w:bottom w:val="nil"/>
              <w:right w:val="nil"/>
            </w:tcBorders>
            <w:shd w:val="clear" w:color="auto" w:fill="auto"/>
            <w:vAlign w:val="center"/>
            <w:hideMark/>
          </w:tcPr>
          <w:p w14:paraId="038DF7C0"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577" w:type="pct"/>
            <w:tcBorders>
              <w:top w:val="nil"/>
              <w:left w:val="single" w:sz="8" w:space="0" w:color="auto"/>
              <w:bottom w:val="nil"/>
              <w:right w:val="single" w:sz="8" w:space="0" w:color="auto"/>
            </w:tcBorders>
            <w:shd w:val="clear" w:color="auto" w:fill="auto"/>
            <w:vAlign w:val="center"/>
            <w:hideMark/>
          </w:tcPr>
          <w:p w14:paraId="786637BF"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r>
      <w:tr w:rsidR="00D33F7C" w:rsidRPr="00037B23" w14:paraId="5B707C43" w14:textId="77777777" w:rsidTr="00E213CE">
        <w:trPr>
          <w:trHeight w:val="225"/>
        </w:trPr>
        <w:tc>
          <w:tcPr>
            <w:tcW w:w="1729" w:type="pct"/>
            <w:tcBorders>
              <w:top w:val="nil"/>
              <w:left w:val="single" w:sz="8" w:space="0" w:color="auto"/>
              <w:bottom w:val="nil"/>
              <w:right w:val="single" w:sz="8" w:space="0" w:color="auto"/>
            </w:tcBorders>
            <w:shd w:val="clear" w:color="000000" w:fill="B4C6E7"/>
            <w:vAlign w:val="center"/>
            <w:hideMark/>
          </w:tcPr>
          <w:p w14:paraId="2AD5D15A"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MIAX Exchange Group</w:t>
            </w:r>
          </w:p>
        </w:tc>
        <w:tc>
          <w:tcPr>
            <w:tcW w:w="569" w:type="pct"/>
            <w:tcBorders>
              <w:top w:val="nil"/>
              <w:left w:val="nil"/>
              <w:bottom w:val="nil"/>
              <w:right w:val="single" w:sz="8" w:space="0" w:color="auto"/>
            </w:tcBorders>
            <w:shd w:val="clear" w:color="auto" w:fill="auto"/>
            <w:vAlign w:val="center"/>
            <w:hideMark/>
          </w:tcPr>
          <w:p w14:paraId="67CD2A22"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518" w:type="pct"/>
            <w:tcBorders>
              <w:top w:val="nil"/>
              <w:left w:val="nil"/>
              <w:bottom w:val="nil"/>
              <w:right w:val="single" w:sz="8" w:space="0" w:color="auto"/>
            </w:tcBorders>
            <w:shd w:val="clear" w:color="auto" w:fill="auto"/>
            <w:vAlign w:val="center"/>
            <w:hideMark/>
          </w:tcPr>
          <w:p w14:paraId="44D63C48"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522" w:type="pct"/>
            <w:tcBorders>
              <w:top w:val="nil"/>
              <w:left w:val="nil"/>
              <w:bottom w:val="nil"/>
              <w:right w:val="nil"/>
            </w:tcBorders>
            <w:shd w:val="clear" w:color="auto" w:fill="auto"/>
            <w:vAlign w:val="center"/>
            <w:hideMark/>
          </w:tcPr>
          <w:p w14:paraId="69D37F81"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569" w:type="pct"/>
            <w:tcBorders>
              <w:top w:val="nil"/>
              <w:left w:val="single" w:sz="8" w:space="0" w:color="auto"/>
              <w:bottom w:val="nil"/>
              <w:right w:val="single" w:sz="8" w:space="0" w:color="auto"/>
            </w:tcBorders>
            <w:shd w:val="clear" w:color="auto" w:fill="auto"/>
            <w:vAlign w:val="center"/>
            <w:hideMark/>
          </w:tcPr>
          <w:p w14:paraId="71CF6089"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68,353,672</w:t>
            </w:r>
          </w:p>
        </w:tc>
        <w:tc>
          <w:tcPr>
            <w:tcW w:w="515" w:type="pct"/>
            <w:tcBorders>
              <w:top w:val="nil"/>
              <w:left w:val="nil"/>
              <w:bottom w:val="nil"/>
              <w:right w:val="nil"/>
            </w:tcBorders>
            <w:shd w:val="clear" w:color="auto" w:fill="auto"/>
            <w:vAlign w:val="center"/>
            <w:hideMark/>
          </w:tcPr>
          <w:p w14:paraId="3BB75E75"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1,440,145</w:t>
            </w:r>
          </w:p>
        </w:tc>
        <w:tc>
          <w:tcPr>
            <w:tcW w:w="577" w:type="pct"/>
            <w:tcBorders>
              <w:top w:val="nil"/>
              <w:left w:val="single" w:sz="8" w:space="0" w:color="auto"/>
              <w:bottom w:val="nil"/>
              <w:right w:val="single" w:sz="8" w:space="0" w:color="auto"/>
            </w:tcBorders>
            <w:shd w:val="clear" w:color="auto" w:fill="auto"/>
            <w:vAlign w:val="center"/>
            <w:hideMark/>
          </w:tcPr>
          <w:p w14:paraId="04AF7D8F"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r>
      <w:tr w:rsidR="00D33F7C" w:rsidRPr="00037B23" w14:paraId="3AED2343" w14:textId="77777777" w:rsidTr="00E213CE">
        <w:trPr>
          <w:trHeight w:val="225"/>
        </w:trPr>
        <w:tc>
          <w:tcPr>
            <w:tcW w:w="1729" w:type="pct"/>
            <w:tcBorders>
              <w:top w:val="nil"/>
              <w:left w:val="single" w:sz="8" w:space="0" w:color="auto"/>
              <w:bottom w:val="nil"/>
              <w:right w:val="single" w:sz="8" w:space="0" w:color="auto"/>
            </w:tcBorders>
            <w:shd w:val="clear" w:color="000000" w:fill="B4C6E7"/>
            <w:vAlign w:val="center"/>
            <w:hideMark/>
          </w:tcPr>
          <w:p w14:paraId="055C01B7"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ASX Australian Securities Exchange</w:t>
            </w:r>
          </w:p>
        </w:tc>
        <w:tc>
          <w:tcPr>
            <w:tcW w:w="569" w:type="pct"/>
            <w:tcBorders>
              <w:top w:val="nil"/>
              <w:left w:val="nil"/>
              <w:bottom w:val="nil"/>
              <w:right w:val="single" w:sz="8" w:space="0" w:color="auto"/>
            </w:tcBorders>
            <w:shd w:val="clear" w:color="auto" w:fill="auto"/>
            <w:vAlign w:val="center"/>
            <w:hideMark/>
          </w:tcPr>
          <w:p w14:paraId="35BA881F"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10,743</w:t>
            </w:r>
          </w:p>
        </w:tc>
        <w:tc>
          <w:tcPr>
            <w:tcW w:w="518" w:type="pct"/>
            <w:tcBorders>
              <w:top w:val="nil"/>
              <w:left w:val="nil"/>
              <w:bottom w:val="nil"/>
              <w:right w:val="single" w:sz="8" w:space="0" w:color="auto"/>
            </w:tcBorders>
            <w:shd w:val="clear" w:color="auto" w:fill="auto"/>
            <w:vAlign w:val="center"/>
            <w:hideMark/>
          </w:tcPr>
          <w:p w14:paraId="5004E168"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44</w:t>
            </w:r>
          </w:p>
        </w:tc>
        <w:tc>
          <w:tcPr>
            <w:tcW w:w="522" w:type="pct"/>
            <w:tcBorders>
              <w:top w:val="nil"/>
              <w:left w:val="nil"/>
              <w:bottom w:val="nil"/>
              <w:right w:val="nil"/>
            </w:tcBorders>
            <w:shd w:val="clear" w:color="auto" w:fill="auto"/>
            <w:vAlign w:val="center"/>
            <w:hideMark/>
          </w:tcPr>
          <w:p w14:paraId="66482BF2"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308,798</w:t>
            </w:r>
          </w:p>
        </w:tc>
        <w:tc>
          <w:tcPr>
            <w:tcW w:w="569" w:type="pct"/>
            <w:tcBorders>
              <w:top w:val="nil"/>
              <w:left w:val="single" w:sz="8" w:space="0" w:color="auto"/>
              <w:bottom w:val="nil"/>
              <w:right w:val="single" w:sz="8" w:space="0" w:color="auto"/>
            </w:tcBorders>
            <w:shd w:val="clear" w:color="auto" w:fill="auto"/>
            <w:vAlign w:val="center"/>
            <w:hideMark/>
          </w:tcPr>
          <w:p w14:paraId="79CAC298"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4,550,945</w:t>
            </w:r>
          </w:p>
        </w:tc>
        <w:tc>
          <w:tcPr>
            <w:tcW w:w="515" w:type="pct"/>
            <w:tcBorders>
              <w:top w:val="nil"/>
              <w:left w:val="nil"/>
              <w:bottom w:val="nil"/>
              <w:right w:val="nil"/>
            </w:tcBorders>
            <w:shd w:val="clear" w:color="auto" w:fill="auto"/>
            <w:vAlign w:val="center"/>
            <w:hideMark/>
          </w:tcPr>
          <w:p w14:paraId="72983FB2"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12,134</w:t>
            </w:r>
          </w:p>
        </w:tc>
        <w:tc>
          <w:tcPr>
            <w:tcW w:w="577" w:type="pct"/>
            <w:tcBorders>
              <w:top w:val="nil"/>
              <w:left w:val="single" w:sz="8" w:space="0" w:color="auto"/>
              <w:bottom w:val="nil"/>
              <w:right w:val="single" w:sz="8" w:space="0" w:color="auto"/>
            </w:tcBorders>
            <w:shd w:val="clear" w:color="auto" w:fill="auto"/>
            <w:vAlign w:val="center"/>
            <w:hideMark/>
          </w:tcPr>
          <w:p w14:paraId="55D080E1"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5,807,125</w:t>
            </w:r>
          </w:p>
        </w:tc>
      </w:tr>
      <w:tr w:rsidR="00D33F7C" w:rsidRPr="00037B23" w14:paraId="020F8ACB" w14:textId="77777777" w:rsidTr="00E213CE">
        <w:trPr>
          <w:trHeight w:val="225"/>
        </w:trPr>
        <w:tc>
          <w:tcPr>
            <w:tcW w:w="1729" w:type="pct"/>
            <w:tcBorders>
              <w:top w:val="nil"/>
              <w:left w:val="single" w:sz="8" w:space="0" w:color="auto"/>
              <w:bottom w:val="nil"/>
              <w:right w:val="single" w:sz="8" w:space="0" w:color="auto"/>
            </w:tcBorders>
            <w:shd w:val="clear" w:color="000000" w:fill="B4C6E7"/>
            <w:vAlign w:val="center"/>
            <w:hideMark/>
          </w:tcPr>
          <w:p w14:paraId="366E8DEB"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Hong Kong Exchanges and Clearing</w:t>
            </w:r>
          </w:p>
        </w:tc>
        <w:tc>
          <w:tcPr>
            <w:tcW w:w="569" w:type="pct"/>
            <w:tcBorders>
              <w:top w:val="nil"/>
              <w:left w:val="nil"/>
              <w:bottom w:val="nil"/>
              <w:right w:val="single" w:sz="8" w:space="0" w:color="auto"/>
            </w:tcBorders>
            <w:shd w:val="clear" w:color="auto" w:fill="auto"/>
            <w:vAlign w:val="center"/>
            <w:hideMark/>
          </w:tcPr>
          <w:p w14:paraId="4A473C46"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168,790</w:t>
            </w:r>
          </w:p>
        </w:tc>
        <w:tc>
          <w:tcPr>
            <w:tcW w:w="518" w:type="pct"/>
            <w:tcBorders>
              <w:top w:val="nil"/>
              <w:left w:val="nil"/>
              <w:bottom w:val="nil"/>
              <w:right w:val="single" w:sz="8" w:space="0" w:color="auto"/>
            </w:tcBorders>
            <w:shd w:val="clear" w:color="auto" w:fill="auto"/>
            <w:vAlign w:val="center"/>
            <w:hideMark/>
          </w:tcPr>
          <w:p w14:paraId="29E02358"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993</w:t>
            </w:r>
          </w:p>
        </w:tc>
        <w:tc>
          <w:tcPr>
            <w:tcW w:w="522" w:type="pct"/>
            <w:tcBorders>
              <w:top w:val="nil"/>
              <w:left w:val="nil"/>
              <w:bottom w:val="nil"/>
              <w:right w:val="nil"/>
            </w:tcBorders>
            <w:shd w:val="clear" w:color="auto" w:fill="auto"/>
            <w:vAlign w:val="center"/>
            <w:hideMark/>
          </w:tcPr>
          <w:p w14:paraId="16B8BF9D"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38,274</w:t>
            </w:r>
          </w:p>
        </w:tc>
        <w:tc>
          <w:tcPr>
            <w:tcW w:w="569" w:type="pct"/>
            <w:tcBorders>
              <w:top w:val="nil"/>
              <w:left w:val="single" w:sz="8" w:space="0" w:color="auto"/>
              <w:bottom w:val="nil"/>
              <w:right w:val="single" w:sz="8" w:space="0" w:color="auto"/>
            </w:tcBorders>
            <w:shd w:val="clear" w:color="auto" w:fill="auto"/>
            <w:vAlign w:val="center"/>
            <w:hideMark/>
          </w:tcPr>
          <w:p w14:paraId="489B98F1"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10,841,532</w:t>
            </w:r>
          </w:p>
        </w:tc>
        <w:tc>
          <w:tcPr>
            <w:tcW w:w="515" w:type="pct"/>
            <w:tcBorders>
              <w:top w:val="nil"/>
              <w:left w:val="nil"/>
              <w:bottom w:val="nil"/>
              <w:right w:val="nil"/>
            </w:tcBorders>
            <w:shd w:val="clear" w:color="auto" w:fill="auto"/>
            <w:vAlign w:val="center"/>
            <w:hideMark/>
          </w:tcPr>
          <w:p w14:paraId="14472427"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62,154</w:t>
            </w:r>
          </w:p>
        </w:tc>
        <w:tc>
          <w:tcPr>
            <w:tcW w:w="577" w:type="pct"/>
            <w:tcBorders>
              <w:top w:val="nil"/>
              <w:left w:val="single" w:sz="8" w:space="0" w:color="auto"/>
              <w:bottom w:val="nil"/>
              <w:right w:val="single" w:sz="8" w:space="0" w:color="auto"/>
            </w:tcBorders>
            <w:shd w:val="clear" w:color="auto" w:fill="auto"/>
            <w:vAlign w:val="center"/>
            <w:hideMark/>
          </w:tcPr>
          <w:p w14:paraId="0842B467"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10,881,395</w:t>
            </w:r>
          </w:p>
        </w:tc>
      </w:tr>
      <w:tr w:rsidR="00D33F7C" w:rsidRPr="00037B23" w14:paraId="40617386" w14:textId="77777777" w:rsidTr="00E213CE">
        <w:trPr>
          <w:trHeight w:val="225"/>
        </w:trPr>
        <w:tc>
          <w:tcPr>
            <w:tcW w:w="1729" w:type="pct"/>
            <w:tcBorders>
              <w:top w:val="nil"/>
              <w:left w:val="single" w:sz="8" w:space="0" w:color="auto"/>
              <w:bottom w:val="nil"/>
              <w:right w:val="single" w:sz="8" w:space="0" w:color="auto"/>
            </w:tcBorders>
            <w:shd w:val="clear" w:color="000000" w:fill="B4C6E7"/>
            <w:vAlign w:val="center"/>
            <w:hideMark/>
          </w:tcPr>
          <w:p w14:paraId="294C4A24"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Japan Exchange Group</w:t>
            </w:r>
          </w:p>
        </w:tc>
        <w:tc>
          <w:tcPr>
            <w:tcW w:w="569" w:type="pct"/>
            <w:tcBorders>
              <w:top w:val="nil"/>
              <w:left w:val="nil"/>
              <w:bottom w:val="nil"/>
              <w:right w:val="single" w:sz="8" w:space="0" w:color="auto"/>
            </w:tcBorders>
            <w:shd w:val="clear" w:color="auto" w:fill="auto"/>
            <w:vAlign w:val="center"/>
            <w:hideMark/>
          </w:tcPr>
          <w:p w14:paraId="6EC509FD"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518" w:type="pct"/>
            <w:tcBorders>
              <w:top w:val="nil"/>
              <w:left w:val="nil"/>
              <w:bottom w:val="nil"/>
              <w:right w:val="single" w:sz="8" w:space="0" w:color="auto"/>
            </w:tcBorders>
            <w:shd w:val="clear" w:color="auto" w:fill="auto"/>
            <w:vAlign w:val="center"/>
            <w:hideMark/>
          </w:tcPr>
          <w:p w14:paraId="181D279F"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522" w:type="pct"/>
            <w:tcBorders>
              <w:top w:val="nil"/>
              <w:left w:val="nil"/>
              <w:bottom w:val="nil"/>
              <w:right w:val="nil"/>
            </w:tcBorders>
            <w:shd w:val="clear" w:color="auto" w:fill="auto"/>
            <w:vAlign w:val="center"/>
            <w:hideMark/>
          </w:tcPr>
          <w:p w14:paraId="3185CA37"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569" w:type="pct"/>
            <w:tcBorders>
              <w:top w:val="nil"/>
              <w:left w:val="single" w:sz="8" w:space="0" w:color="auto"/>
              <w:bottom w:val="nil"/>
              <w:right w:val="single" w:sz="8" w:space="0" w:color="auto"/>
            </w:tcBorders>
            <w:shd w:val="clear" w:color="auto" w:fill="auto"/>
            <w:vAlign w:val="center"/>
            <w:hideMark/>
          </w:tcPr>
          <w:p w14:paraId="74AB7672"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1,865</w:t>
            </w:r>
          </w:p>
        </w:tc>
        <w:tc>
          <w:tcPr>
            <w:tcW w:w="515" w:type="pct"/>
            <w:tcBorders>
              <w:top w:val="nil"/>
              <w:left w:val="nil"/>
              <w:bottom w:val="nil"/>
              <w:right w:val="nil"/>
            </w:tcBorders>
            <w:shd w:val="clear" w:color="auto" w:fill="auto"/>
            <w:vAlign w:val="center"/>
            <w:hideMark/>
          </w:tcPr>
          <w:p w14:paraId="70EBE4C7"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577" w:type="pct"/>
            <w:tcBorders>
              <w:top w:val="nil"/>
              <w:left w:val="single" w:sz="8" w:space="0" w:color="auto"/>
              <w:bottom w:val="nil"/>
              <w:right w:val="single" w:sz="8" w:space="0" w:color="auto"/>
            </w:tcBorders>
            <w:shd w:val="clear" w:color="auto" w:fill="auto"/>
            <w:vAlign w:val="center"/>
            <w:hideMark/>
          </w:tcPr>
          <w:p w14:paraId="24B49FC1"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34,739</w:t>
            </w:r>
          </w:p>
        </w:tc>
      </w:tr>
      <w:tr w:rsidR="00D33F7C" w:rsidRPr="00037B23" w14:paraId="654058E6" w14:textId="77777777" w:rsidTr="00E213CE">
        <w:trPr>
          <w:trHeight w:val="225"/>
        </w:trPr>
        <w:tc>
          <w:tcPr>
            <w:tcW w:w="1729" w:type="pct"/>
            <w:tcBorders>
              <w:top w:val="nil"/>
              <w:left w:val="single" w:sz="8" w:space="0" w:color="auto"/>
              <w:bottom w:val="nil"/>
              <w:right w:val="single" w:sz="8" w:space="0" w:color="auto"/>
            </w:tcBorders>
            <w:shd w:val="clear" w:color="000000" w:fill="B4C6E7"/>
            <w:vAlign w:val="center"/>
            <w:hideMark/>
          </w:tcPr>
          <w:p w14:paraId="7599AF4C"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Korea Exchange</w:t>
            </w:r>
          </w:p>
        </w:tc>
        <w:tc>
          <w:tcPr>
            <w:tcW w:w="569" w:type="pct"/>
            <w:tcBorders>
              <w:top w:val="nil"/>
              <w:left w:val="nil"/>
              <w:bottom w:val="nil"/>
              <w:right w:val="single" w:sz="8" w:space="0" w:color="auto"/>
            </w:tcBorders>
            <w:shd w:val="clear" w:color="auto" w:fill="auto"/>
            <w:vAlign w:val="center"/>
            <w:hideMark/>
          </w:tcPr>
          <w:p w14:paraId="23E6EBB9"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100,445,723</w:t>
            </w:r>
          </w:p>
        </w:tc>
        <w:tc>
          <w:tcPr>
            <w:tcW w:w="518" w:type="pct"/>
            <w:tcBorders>
              <w:top w:val="nil"/>
              <w:left w:val="nil"/>
              <w:bottom w:val="nil"/>
              <w:right w:val="single" w:sz="8" w:space="0" w:color="auto"/>
            </w:tcBorders>
            <w:shd w:val="clear" w:color="auto" w:fill="auto"/>
            <w:vAlign w:val="center"/>
            <w:hideMark/>
          </w:tcPr>
          <w:p w14:paraId="6CEDEE72"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74,873</w:t>
            </w:r>
          </w:p>
        </w:tc>
        <w:tc>
          <w:tcPr>
            <w:tcW w:w="522" w:type="pct"/>
            <w:tcBorders>
              <w:top w:val="nil"/>
              <w:left w:val="nil"/>
              <w:bottom w:val="nil"/>
              <w:right w:val="nil"/>
            </w:tcBorders>
            <w:shd w:val="clear" w:color="auto" w:fill="auto"/>
            <w:vAlign w:val="center"/>
            <w:hideMark/>
          </w:tcPr>
          <w:p w14:paraId="7EE18E3C"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6,846,478</w:t>
            </w:r>
          </w:p>
        </w:tc>
        <w:tc>
          <w:tcPr>
            <w:tcW w:w="569" w:type="pct"/>
            <w:tcBorders>
              <w:top w:val="nil"/>
              <w:left w:val="single" w:sz="8" w:space="0" w:color="auto"/>
              <w:bottom w:val="nil"/>
              <w:right w:val="single" w:sz="8" w:space="0" w:color="auto"/>
            </w:tcBorders>
            <w:shd w:val="clear" w:color="auto" w:fill="auto"/>
            <w:vAlign w:val="center"/>
            <w:hideMark/>
          </w:tcPr>
          <w:p w14:paraId="2E1A99B2"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1,249,462</w:t>
            </w:r>
          </w:p>
        </w:tc>
        <w:tc>
          <w:tcPr>
            <w:tcW w:w="515" w:type="pct"/>
            <w:tcBorders>
              <w:top w:val="nil"/>
              <w:left w:val="nil"/>
              <w:bottom w:val="nil"/>
              <w:right w:val="nil"/>
            </w:tcBorders>
            <w:shd w:val="clear" w:color="auto" w:fill="auto"/>
            <w:vAlign w:val="center"/>
            <w:hideMark/>
          </w:tcPr>
          <w:p w14:paraId="4D870BEB"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577" w:type="pct"/>
            <w:tcBorders>
              <w:top w:val="nil"/>
              <w:left w:val="single" w:sz="8" w:space="0" w:color="auto"/>
              <w:bottom w:val="nil"/>
              <w:right w:val="single" w:sz="8" w:space="0" w:color="auto"/>
            </w:tcBorders>
            <w:shd w:val="clear" w:color="auto" w:fill="auto"/>
            <w:vAlign w:val="center"/>
            <w:hideMark/>
          </w:tcPr>
          <w:p w14:paraId="50E1106F"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163,981</w:t>
            </w:r>
          </w:p>
        </w:tc>
      </w:tr>
      <w:tr w:rsidR="00D33F7C" w:rsidRPr="00037B23" w14:paraId="690797C7" w14:textId="77777777" w:rsidTr="00E213CE">
        <w:trPr>
          <w:trHeight w:val="225"/>
        </w:trPr>
        <w:tc>
          <w:tcPr>
            <w:tcW w:w="1729" w:type="pct"/>
            <w:tcBorders>
              <w:top w:val="nil"/>
              <w:left w:val="single" w:sz="8" w:space="0" w:color="auto"/>
              <w:bottom w:val="nil"/>
              <w:right w:val="single" w:sz="8" w:space="0" w:color="auto"/>
            </w:tcBorders>
            <w:shd w:val="clear" w:color="000000" w:fill="B4C6E7"/>
            <w:vAlign w:val="center"/>
            <w:hideMark/>
          </w:tcPr>
          <w:p w14:paraId="709F62F1"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National Stock Exchange of India</w:t>
            </w:r>
          </w:p>
        </w:tc>
        <w:tc>
          <w:tcPr>
            <w:tcW w:w="569" w:type="pct"/>
            <w:tcBorders>
              <w:top w:val="nil"/>
              <w:left w:val="nil"/>
              <w:bottom w:val="nil"/>
              <w:right w:val="single" w:sz="8" w:space="0" w:color="auto"/>
            </w:tcBorders>
            <w:shd w:val="clear" w:color="auto" w:fill="auto"/>
            <w:vAlign w:val="center"/>
            <w:hideMark/>
          </w:tcPr>
          <w:p w14:paraId="2DA3AD44"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22,345,925</w:t>
            </w:r>
          </w:p>
        </w:tc>
        <w:tc>
          <w:tcPr>
            <w:tcW w:w="518" w:type="pct"/>
            <w:tcBorders>
              <w:top w:val="nil"/>
              <w:left w:val="nil"/>
              <w:bottom w:val="nil"/>
              <w:right w:val="single" w:sz="8" w:space="0" w:color="auto"/>
            </w:tcBorders>
            <w:shd w:val="clear" w:color="auto" w:fill="auto"/>
            <w:vAlign w:val="center"/>
            <w:hideMark/>
          </w:tcPr>
          <w:p w14:paraId="7B3ACAF6"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239,100</w:t>
            </w:r>
          </w:p>
        </w:tc>
        <w:tc>
          <w:tcPr>
            <w:tcW w:w="522" w:type="pct"/>
            <w:tcBorders>
              <w:top w:val="nil"/>
              <w:left w:val="nil"/>
              <w:bottom w:val="nil"/>
              <w:right w:val="nil"/>
            </w:tcBorders>
            <w:shd w:val="clear" w:color="auto" w:fill="auto"/>
            <w:vAlign w:val="center"/>
            <w:hideMark/>
          </w:tcPr>
          <w:p w14:paraId="19894797"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2,016,498</w:t>
            </w:r>
          </w:p>
        </w:tc>
        <w:tc>
          <w:tcPr>
            <w:tcW w:w="569" w:type="pct"/>
            <w:tcBorders>
              <w:top w:val="nil"/>
              <w:left w:val="single" w:sz="8" w:space="0" w:color="auto"/>
              <w:bottom w:val="nil"/>
              <w:right w:val="single" w:sz="8" w:space="0" w:color="auto"/>
            </w:tcBorders>
            <w:shd w:val="clear" w:color="auto" w:fill="auto"/>
            <w:vAlign w:val="center"/>
            <w:hideMark/>
          </w:tcPr>
          <w:p w14:paraId="428C2806"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46,005,316</w:t>
            </w:r>
          </w:p>
        </w:tc>
        <w:tc>
          <w:tcPr>
            <w:tcW w:w="515" w:type="pct"/>
            <w:tcBorders>
              <w:top w:val="nil"/>
              <w:left w:val="nil"/>
              <w:bottom w:val="nil"/>
              <w:right w:val="nil"/>
            </w:tcBorders>
            <w:shd w:val="clear" w:color="auto" w:fill="auto"/>
            <w:vAlign w:val="center"/>
            <w:hideMark/>
          </w:tcPr>
          <w:p w14:paraId="15E8428D"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502,888</w:t>
            </w:r>
          </w:p>
        </w:tc>
        <w:tc>
          <w:tcPr>
            <w:tcW w:w="577" w:type="pct"/>
            <w:tcBorders>
              <w:top w:val="nil"/>
              <w:left w:val="single" w:sz="8" w:space="0" w:color="auto"/>
              <w:bottom w:val="nil"/>
              <w:right w:val="single" w:sz="8" w:space="0" w:color="auto"/>
            </w:tcBorders>
            <w:shd w:val="clear" w:color="auto" w:fill="auto"/>
            <w:vAlign w:val="center"/>
            <w:hideMark/>
          </w:tcPr>
          <w:p w14:paraId="0A4DE2EF"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1,064,214</w:t>
            </w:r>
          </w:p>
        </w:tc>
      </w:tr>
      <w:tr w:rsidR="00D33F7C" w:rsidRPr="00037B23" w14:paraId="7D99326F" w14:textId="77777777" w:rsidTr="00E213CE">
        <w:trPr>
          <w:trHeight w:val="225"/>
        </w:trPr>
        <w:tc>
          <w:tcPr>
            <w:tcW w:w="1729" w:type="pct"/>
            <w:tcBorders>
              <w:top w:val="nil"/>
              <w:left w:val="single" w:sz="8" w:space="0" w:color="auto"/>
              <w:bottom w:val="nil"/>
              <w:right w:val="single" w:sz="8" w:space="0" w:color="auto"/>
            </w:tcBorders>
            <w:shd w:val="clear" w:color="000000" w:fill="B4C6E7"/>
            <w:vAlign w:val="center"/>
            <w:hideMark/>
          </w:tcPr>
          <w:p w14:paraId="6356ACE5"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Singapore Exchange</w:t>
            </w:r>
          </w:p>
        </w:tc>
        <w:tc>
          <w:tcPr>
            <w:tcW w:w="569" w:type="pct"/>
            <w:tcBorders>
              <w:top w:val="nil"/>
              <w:left w:val="nil"/>
              <w:bottom w:val="nil"/>
              <w:right w:val="single" w:sz="8" w:space="0" w:color="auto"/>
            </w:tcBorders>
            <w:shd w:val="clear" w:color="auto" w:fill="auto"/>
            <w:vAlign w:val="center"/>
            <w:hideMark/>
          </w:tcPr>
          <w:p w14:paraId="0F33B3D9"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266,027</w:t>
            </w:r>
          </w:p>
        </w:tc>
        <w:tc>
          <w:tcPr>
            <w:tcW w:w="518" w:type="pct"/>
            <w:tcBorders>
              <w:top w:val="nil"/>
              <w:left w:val="nil"/>
              <w:bottom w:val="nil"/>
              <w:right w:val="single" w:sz="8" w:space="0" w:color="auto"/>
            </w:tcBorders>
            <w:shd w:val="clear" w:color="auto" w:fill="auto"/>
            <w:vAlign w:val="center"/>
            <w:hideMark/>
          </w:tcPr>
          <w:p w14:paraId="4D873976"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522" w:type="pct"/>
            <w:tcBorders>
              <w:top w:val="nil"/>
              <w:left w:val="nil"/>
              <w:bottom w:val="nil"/>
              <w:right w:val="nil"/>
            </w:tcBorders>
            <w:shd w:val="clear" w:color="auto" w:fill="auto"/>
            <w:vAlign w:val="center"/>
            <w:hideMark/>
          </w:tcPr>
          <w:p w14:paraId="57B45575"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39,479</w:t>
            </w:r>
          </w:p>
        </w:tc>
        <w:tc>
          <w:tcPr>
            <w:tcW w:w="569" w:type="pct"/>
            <w:tcBorders>
              <w:top w:val="nil"/>
              <w:left w:val="single" w:sz="8" w:space="0" w:color="auto"/>
              <w:bottom w:val="nil"/>
              <w:right w:val="single" w:sz="8" w:space="0" w:color="auto"/>
            </w:tcBorders>
            <w:shd w:val="clear" w:color="auto" w:fill="auto"/>
            <w:vAlign w:val="center"/>
            <w:hideMark/>
          </w:tcPr>
          <w:p w14:paraId="3C3F516E"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515" w:type="pct"/>
            <w:tcBorders>
              <w:top w:val="nil"/>
              <w:left w:val="nil"/>
              <w:bottom w:val="nil"/>
              <w:right w:val="nil"/>
            </w:tcBorders>
            <w:shd w:val="clear" w:color="auto" w:fill="auto"/>
            <w:vAlign w:val="center"/>
            <w:hideMark/>
          </w:tcPr>
          <w:p w14:paraId="6423C053"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577" w:type="pct"/>
            <w:tcBorders>
              <w:top w:val="nil"/>
              <w:left w:val="single" w:sz="8" w:space="0" w:color="auto"/>
              <w:bottom w:val="nil"/>
              <w:right w:val="single" w:sz="8" w:space="0" w:color="auto"/>
            </w:tcBorders>
            <w:shd w:val="clear" w:color="auto" w:fill="auto"/>
            <w:vAlign w:val="center"/>
            <w:hideMark/>
          </w:tcPr>
          <w:p w14:paraId="4A962869"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r>
      <w:tr w:rsidR="00D33F7C" w:rsidRPr="00037B23" w14:paraId="5263F22E" w14:textId="77777777" w:rsidTr="00E213CE">
        <w:trPr>
          <w:trHeight w:val="225"/>
        </w:trPr>
        <w:tc>
          <w:tcPr>
            <w:tcW w:w="1729" w:type="pct"/>
            <w:tcBorders>
              <w:top w:val="nil"/>
              <w:left w:val="single" w:sz="8" w:space="0" w:color="auto"/>
              <w:bottom w:val="nil"/>
              <w:right w:val="single" w:sz="8" w:space="0" w:color="auto"/>
            </w:tcBorders>
            <w:shd w:val="clear" w:color="000000" w:fill="B4C6E7"/>
            <w:vAlign w:val="center"/>
            <w:hideMark/>
          </w:tcPr>
          <w:p w14:paraId="7930DAE9"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Taiwan Futures Exchange</w:t>
            </w:r>
          </w:p>
        </w:tc>
        <w:tc>
          <w:tcPr>
            <w:tcW w:w="569" w:type="pct"/>
            <w:tcBorders>
              <w:top w:val="nil"/>
              <w:left w:val="nil"/>
              <w:bottom w:val="nil"/>
              <w:right w:val="single" w:sz="8" w:space="0" w:color="auto"/>
            </w:tcBorders>
            <w:shd w:val="clear" w:color="auto" w:fill="auto"/>
            <w:vAlign w:val="center"/>
            <w:hideMark/>
          </w:tcPr>
          <w:p w14:paraId="624B0FF5"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10,567,824</w:t>
            </w:r>
          </w:p>
        </w:tc>
        <w:tc>
          <w:tcPr>
            <w:tcW w:w="518" w:type="pct"/>
            <w:tcBorders>
              <w:top w:val="nil"/>
              <w:left w:val="nil"/>
              <w:bottom w:val="nil"/>
              <w:right w:val="single" w:sz="8" w:space="0" w:color="auto"/>
            </w:tcBorders>
            <w:shd w:val="clear" w:color="auto" w:fill="auto"/>
            <w:vAlign w:val="center"/>
            <w:hideMark/>
          </w:tcPr>
          <w:p w14:paraId="74B018D2"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65,979</w:t>
            </w:r>
          </w:p>
        </w:tc>
        <w:tc>
          <w:tcPr>
            <w:tcW w:w="522" w:type="pct"/>
            <w:tcBorders>
              <w:top w:val="nil"/>
              <w:left w:val="nil"/>
              <w:bottom w:val="nil"/>
              <w:right w:val="nil"/>
            </w:tcBorders>
            <w:shd w:val="clear" w:color="auto" w:fill="auto"/>
            <w:vAlign w:val="center"/>
            <w:hideMark/>
          </w:tcPr>
          <w:p w14:paraId="22B522EE"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461,188</w:t>
            </w:r>
          </w:p>
        </w:tc>
        <w:tc>
          <w:tcPr>
            <w:tcW w:w="569" w:type="pct"/>
            <w:tcBorders>
              <w:top w:val="nil"/>
              <w:left w:val="single" w:sz="8" w:space="0" w:color="auto"/>
              <w:bottom w:val="nil"/>
              <w:right w:val="single" w:sz="8" w:space="0" w:color="auto"/>
            </w:tcBorders>
            <w:shd w:val="clear" w:color="auto" w:fill="auto"/>
            <w:vAlign w:val="center"/>
            <w:hideMark/>
          </w:tcPr>
          <w:p w14:paraId="1A09DB01"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8,831</w:t>
            </w:r>
          </w:p>
        </w:tc>
        <w:tc>
          <w:tcPr>
            <w:tcW w:w="515" w:type="pct"/>
            <w:tcBorders>
              <w:top w:val="nil"/>
              <w:left w:val="nil"/>
              <w:bottom w:val="nil"/>
              <w:right w:val="nil"/>
            </w:tcBorders>
            <w:shd w:val="clear" w:color="auto" w:fill="auto"/>
            <w:vAlign w:val="center"/>
            <w:hideMark/>
          </w:tcPr>
          <w:p w14:paraId="07238757"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98</w:t>
            </w:r>
          </w:p>
        </w:tc>
        <w:tc>
          <w:tcPr>
            <w:tcW w:w="577" w:type="pct"/>
            <w:tcBorders>
              <w:top w:val="nil"/>
              <w:left w:val="single" w:sz="8" w:space="0" w:color="auto"/>
              <w:bottom w:val="nil"/>
              <w:right w:val="single" w:sz="8" w:space="0" w:color="auto"/>
            </w:tcBorders>
            <w:shd w:val="clear" w:color="auto" w:fill="auto"/>
            <w:vAlign w:val="center"/>
            <w:hideMark/>
          </w:tcPr>
          <w:p w14:paraId="790BBD23"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2,979</w:t>
            </w:r>
          </w:p>
        </w:tc>
      </w:tr>
      <w:tr w:rsidR="00D33F7C" w:rsidRPr="00037B23" w14:paraId="33E5092B" w14:textId="77777777" w:rsidTr="00E213CE">
        <w:trPr>
          <w:trHeight w:val="225"/>
        </w:trPr>
        <w:tc>
          <w:tcPr>
            <w:tcW w:w="1729" w:type="pct"/>
            <w:tcBorders>
              <w:top w:val="nil"/>
              <w:left w:val="single" w:sz="8" w:space="0" w:color="auto"/>
              <w:bottom w:val="nil"/>
              <w:right w:val="single" w:sz="8" w:space="0" w:color="auto"/>
            </w:tcBorders>
            <w:shd w:val="clear" w:color="000000" w:fill="B4C6E7"/>
            <w:vAlign w:val="center"/>
            <w:hideMark/>
          </w:tcPr>
          <w:p w14:paraId="5F4EC253"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Thailand Futures Exchange</w:t>
            </w:r>
          </w:p>
        </w:tc>
        <w:tc>
          <w:tcPr>
            <w:tcW w:w="569" w:type="pct"/>
            <w:tcBorders>
              <w:top w:val="nil"/>
              <w:left w:val="nil"/>
              <w:bottom w:val="nil"/>
              <w:right w:val="single" w:sz="8" w:space="0" w:color="auto"/>
            </w:tcBorders>
            <w:shd w:val="clear" w:color="auto" w:fill="auto"/>
            <w:vAlign w:val="center"/>
            <w:hideMark/>
          </w:tcPr>
          <w:p w14:paraId="6B81CE67"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5,352,676</w:t>
            </w:r>
          </w:p>
        </w:tc>
        <w:tc>
          <w:tcPr>
            <w:tcW w:w="518" w:type="pct"/>
            <w:tcBorders>
              <w:top w:val="nil"/>
              <w:left w:val="nil"/>
              <w:bottom w:val="nil"/>
              <w:right w:val="single" w:sz="8" w:space="0" w:color="auto"/>
            </w:tcBorders>
            <w:shd w:val="clear" w:color="auto" w:fill="auto"/>
            <w:vAlign w:val="center"/>
            <w:hideMark/>
          </w:tcPr>
          <w:p w14:paraId="6DD846F7"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522" w:type="pct"/>
            <w:tcBorders>
              <w:top w:val="nil"/>
              <w:left w:val="nil"/>
              <w:bottom w:val="nil"/>
              <w:right w:val="nil"/>
            </w:tcBorders>
            <w:shd w:val="clear" w:color="auto" w:fill="auto"/>
            <w:vAlign w:val="center"/>
            <w:hideMark/>
          </w:tcPr>
          <w:p w14:paraId="1D27742F"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2,565,749</w:t>
            </w:r>
          </w:p>
        </w:tc>
        <w:tc>
          <w:tcPr>
            <w:tcW w:w="569" w:type="pct"/>
            <w:tcBorders>
              <w:top w:val="nil"/>
              <w:left w:val="single" w:sz="8" w:space="0" w:color="auto"/>
              <w:bottom w:val="nil"/>
              <w:right w:val="single" w:sz="8" w:space="0" w:color="auto"/>
            </w:tcBorders>
            <w:shd w:val="clear" w:color="auto" w:fill="auto"/>
            <w:vAlign w:val="center"/>
            <w:hideMark/>
          </w:tcPr>
          <w:p w14:paraId="0DA0EBB2"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515" w:type="pct"/>
            <w:tcBorders>
              <w:top w:val="nil"/>
              <w:left w:val="nil"/>
              <w:bottom w:val="nil"/>
              <w:right w:val="nil"/>
            </w:tcBorders>
            <w:shd w:val="clear" w:color="auto" w:fill="auto"/>
            <w:vAlign w:val="center"/>
            <w:hideMark/>
          </w:tcPr>
          <w:p w14:paraId="717EBD1D"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577" w:type="pct"/>
            <w:tcBorders>
              <w:top w:val="nil"/>
              <w:left w:val="single" w:sz="8" w:space="0" w:color="auto"/>
              <w:bottom w:val="nil"/>
              <w:right w:val="single" w:sz="8" w:space="0" w:color="auto"/>
            </w:tcBorders>
            <w:shd w:val="clear" w:color="auto" w:fill="auto"/>
            <w:vAlign w:val="center"/>
            <w:hideMark/>
          </w:tcPr>
          <w:p w14:paraId="2629FD3E"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r>
      <w:tr w:rsidR="00D33F7C" w:rsidRPr="00037B23" w14:paraId="30C7A237" w14:textId="77777777" w:rsidTr="00E213CE">
        <w:trPr>
          <w:trHeight w:val="225"/>
        </w:trPr>
        <w:tc>
          <w:tcPr>
            <w:tcW w:w="1729" w:type="pct"/>
            <w:tcBorders>
              <w:top w:val="nil"/>
              <w:left w:val="single" w:sz="8" w:space="0" w:color="auto"/>
              <w:bottom w:val="nil"/>
              <w:right w:val="single" w:sz="8" w:space="0" w:color="auto"/>
            </w:tcBorders>
            <w:shd w:val="clear" w:color="000000" w:fill="B4C6E7"/>
            <w:vAlign w:val="center"/>
            <w:hideMark/>
          </w:tcPr>
          <w:p w14:paraId="749D81B2"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Athens Stock Exchange</w:t>
            </w:r>
          </w:p>
        </w:tc>
        <w:tc>
          <w:tcPr>
            <w:tcW w:w="569" w:type="pct"/>
            <w:tcBorders>
              <w:top w:val="nil"/>
              <w:left w:val="nil"/>
              <w:bottom w:val="nil"/>
              <w:right w:val="single" w:sz="8" w:space="0" w:color="auto"/>
            </w:tcBorders>
            <w:shd w:val="clear" w:color="auto" w:fill="auto"/>
            <w:vAlign w:val="center"/>
            <w:hideMark/>
          </w:tcPr>
          <w:p w14:paraId="59858A04"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2,243,110</w:t>
            </w:r>
          </w:p>
        </w:tc>
        <w:tc>
          <w:tcPr>
            <w:tcW w:w="518" w:type="pct"/>
            <w:tcBorders>
              <w:top w:val="nil"/>
              <w:left w:val="nil"/>
              <w:bottom w:val="nil"/>
              <w:right w:val="single" w:sz="8" w:space="0" w:color="auto"/>
            </w:tcBorders>
            <w:shd w:val="clear" w:color="auto" w:fill="auto"/>
            <w:vAlign w:val="center"/>
            <w:hideMark/>
          </w:tcPr>
          <w:p w14:paraId="730C9B22"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220</w:t>
            </w:r>
          </w:p>
        </w:tc>
        <w:tc>
          <w:tcPr>
            <w:tcW w:w="522" w:type="pct"/>
            <w:tcBorders>
              <w:top w:val="nil"/>
              <w:left w:val="nil"/>
              <w:bottom w:val="nil"/>
              <w:right w:val="nil"/>
            </w:tcBorders>
            <w:shd w:val="clear" w:color="auto" w:fill="auto"/>
            <w:vAlign w:val="center"/>
            <w:hideMark/>
          </w:tcPr>
          <w:p w14:paraId="45A865D5"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786,745</w:t>
            </w:r>
          </w:p>
        </w:tc>
        <w:tc>
          <w:tcPr>
            <w:tcW w:w="569" w:type="pct"/>
            <w:tcBorders>
              <w:top w:val="nil"/>
              <w:left w:val="single" w:sz="8" w:space="0" w:color="auto"/>
              <w:bottom w:val="nil"/>
              <w:right w:val="single" w:sz="8" w:space="0" w:color="auto"/>
            </w:tcBorders>
            <w:shd w:val="clear" w:color="auto" w:fill="auto"/>
            <w:vAlign w:val="center"/>
            <w:hideMark/>
          </w:tcPr>
          <w:p w14:paraId="6857673B"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1,720</w:t>
            </w:r>
          </w:p>
        </w:tc>
        <w:tc>
          <w:tcPr>
            <w:tcW w:w="515" w:type="pct"/>
            <w:tcBorders>
              <w:top w:val="nil"/>
              <w:left w:val="nil"/>
              <w:bottom w:val="nil"/>
              <w:right w:val="nil"/>
            </w:tcBorders>
            <w:shd w:val="clear" w:color="auto" w:fill="auto"/>
            <w:vAlign w:val="center"/>
            <w:hideMark/>
          </w:tcPr>
          <w:p w14:paraId="7C202DE1"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2</w:t>
            </w:r>
          </w:p>
        </w:tc>
        <w:tc>
          <w:tcPr>
            <w:tcW w:w="577" w:type="pct"/>
            <w:tcBorders>
              <w:top w:val="nil"/>
              <w:left w:val="single" w:sz="8" w:space="0" w:color="auto"/>
              <w:bottom w:val="nil"/>
              <w:right w:val="single" w:sz="8" w:space="0" w:color="auto"/>
            </w:tcBorders>
            <w:shd w:val="clear" w:color="auto" w:fill="auto"/>
            <w:vAlign w:val="center"/>
            <w:hideMark/>
          </w:tcPr>
          <w:p w14:paraId="798CFCB5"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828</w:t>
            </w:r>
          </w:p>
        </w:tc>
      </w:tr>
      <w:tr w:rsidR="00D33F7C" w:rsidRPr="00037B23" w14:paraId="73C4A835" w14:textId="77777777" w:rsidTr="00E213CE">
        <w:trPr>
          <w:trHeight w:val="225"/>
        </w:trPr>
        <w:tc>
          <w:tcPr>
            <w:tcW w:w="1729" w:type="pct"/>
            <w:tcBorders>
              <w:top w:val="nil"/>
              <w:left w:val="single" w:sz="8" w:space="0" w:color="auto"/>
              <w:bottom w:val="nil"/>
              <w:right w:val="single" w:sz="8" w:space="0" w:color="auto"/>
            </w:tcBorders>
            <w:shd w:val="clear" w:color="000000" w:fill="B4C6E7"/>
            <w:vAlign w:val="center"/>
            <w:hideMark/>
          </w:tcPr>
          <w:p w14:paraId="75A6F88F"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BME Spanish Exchanges</w:t>
            </w:r>
          </w:p>
        </w:tc>
        <w:tc>
          <w:tcPr>
            <w:tcW w:w="569" w:type="pct"/>
            <w:tcBorders>
              <w:top w:val="nil"/>
              <w:left w:val="nil"/>
              <w:bottom w:val="nil"/>
              <w:right w:val="single" w:sz="8" w:space="0" w:color="auto"/>
            </w:tcBorders>
            <w:shd w:val="clear" w:color="auto" w:fill="auto"/>
            <w:vAlign w:val="center"/>
            <w:hideMark/>
          </w:tcPr>
          <w:p w14:paraId="219A8B53"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2,078,847</w:t>
            </w:r>
          </w:p>
        </w:tc>
        <w:tc>
          <w:tcPr>
            <w:tcW w:w="518" w:type="pct"/>
            <w:tcBorders>
              <w:top w:val="nil"/>
              <w:left w:val="nil"/>
              <w:bottom w:val="nil"/>
              <w:right w:val="single" w:sz="8" w:space="0" w:color="auto"/>
            </w:tcBorders>
            <w:shd w:val="clear" w:color="auto" w:fill="auto"/>
            <w:vAlign w:val="center"/>
            <w:hideMark/>
          </w:tcPr>
          <w:p w14:paraId="40DFAEEB"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857</w:t>
            </w:r>
          </w:p>
        </w:tc>
        <w:tc>
          <w:tcPr>
            <w:tcW w:w="522" w:type="pct"/>
            <w:tcBorders>
              <w:top w:val="nil"/>
              <w:left w:val="nil"/>
              <w:bottom w:val="nil"/>
              <w:right w:val="nil"/>
            </w:tcBorders>
            <w:shd w:val="clear" w:color="auto" w:fill="auto"/>
            <w:vAlign w:val="center"/>
            <w:hideMark/>
          </w:tcPr>
          <w:p w14:paraId="604636F3"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1,583,334</w:t>
            </w:r>
          </w:p>
        </w:tc>
        <w:tc>
          <w:tcPr>
            <w:tcW w:w="569" w:type="pct"/>
            <w:tcBorders>
              <w:top w:val="nil"/>
              <w:left w:val="single" w:sz="8" w:space="0" w:color="auto"/>
              <w:bottom w:val="nil"/>
              <w:right w:val="single" w:sz="8" w:space="0" w:color="auto"/>
            </w:tcBorders>
            <w:shd w:val="clear" w:color="auto" w:fill="auto"/>
            <w:vAlign w:val="center"/>
            <w:hideMark/>
          </w:tcPr>
          <w:p w14:paraId="00B6F05B"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948,274</w:t>
            </w:r>
          </w:p>
        </w:tc>
        <w:tc>
          <w:tcPr>
            <w:tcW w:w="515" w:type="pct"/>
            <w:tcBorders>
              <w:top w:val="nil"/>
              <w:left w:val="nil"/>
              <w:bottom w:val="nil"/>
              <w:right w:val="nil"/>
            </w:tcBorders>
            <w:shd w:val="clear" w:color="auto" w:fill="auto"/>
            <w:vAlign w:val="center"/>
            <w:hideMark/>
          </w:tcPr>
          <w:p w14:paraId="052F9201"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958</w:t>
            </w:r>
          </w:p>
        </w:tc>
        <w:tc>
          <w:tcPr>
            <w:tcW w:w="577" w:type="pct"/>
            <w:tcBorders>
              <w:top w:val="nil"/>
              <w:left w:val="single" w:sz="8" w:space="0" w:color="auto"/>
              <w:bottom w:val="nil"/>
              <w:right w:val="single" w:sz="8" w:space="0" w:color="auto"/>
            </w:tcBorders>
            <w:shd w:val="clear" w:color="auto" w:fill="auto"/>
            <w:vAlign w:val="center"/>
            <w:hideMark/>
          </w:tcPr>
          <w:p w14:paraId="0D00D3A9"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7,322,439</w:t>
            </w:r>
          </w:p>
        </w:tc>
      </w:tr>
      <w:tr w:rsidR="00D33F7C" w:rsidRPr="00037B23" w14:paraId="0AC38B29" w14:textId="77777777" w:rsidTr="00E213CE">
        <w:trPr>
          <w:trHeight w:val="225"/>
        </w:trPr>
        <w:tc>
          <w:tcPr>
            <w:tcW w:w="1729" w:type="pct"/>
            <w:tcBorders>
              <w:top w:val="nil"/>
              <w:left w:val="single" w:sz="8" w:space="0" w:color="auto"/>
              <w:bottom w:val="nil"/>
              <w:right w:val="single" w:sz="8" w:space="0" w:color="auto"/>
            </w:tcBorders>
            <w:shd w:val="clear" w:color="000000" w:fill="B4C6E7"/>
            <w:vAlign w:val="center"/>
            <w:hideMark/>
          </w:tcPr>
          <w:p w14:paraId="5A75E176"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Borsa Istanbul</w:t>
            </w:r>
          </w:p>
        </w:tc>
        <w:tc>
          <w:tcPr>
            <w:tcW w:w="569" w:type="pct"/>
            <w:tcBorders>
              <w:top w:val="nil"/>
              <w:left w:val="nil"/>
              <w:bottom w:val="nil"/>
              <w:right w:val="single" w:sz="8" w:space="0" w:color="auto"/>
            </w:tcBorders>
            <w:shd w:val="clear" w:color="auto" w:fill="auto"/>
            <w:vAlign w:val="center"/>
            <w:hideMark/>
          </w:tcPr>
          <w:p w14:paraId="7757409C"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97,287,362</w:t>
            </w:r>
          </w:p>
        </w:tc>
        <w:tc>
          <w:tcPr>
            <w:tcW w:w="518" w:type="pct"/>
            <w:tcBorders>
              <w:top w:val="nil"/>
              <w:left w:val="nil"/>
              <w:bottom w:val="nil"/>
              <w:right w:val="single" w:sz="8" w:space="0" w:color="auto"/>
            </w:tcBorders>
            <w:shd w:val="clear" w:color="auto" w:fill="auto"/>
            <w:vAlign w:val="center"/>
            <w:hideMark/>
          </w:tcPr>
          <w:p w14:paraId="69568B38"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9,892</w:t>
            </w:r>
          </w:p>
        </w:tc>
        <w:tc>
          <w:tcPr>
            <w:tcW w:w="522" w:type="pct"/>
            <w:tcBorders>
              <w:top w:val="nil"/>
              <w:left w:val="nil"/>
              <w:bottom w:val="nil"/>
              <w:right w:val="nil"/>
            </w:tcBorders>
            <w:shd w:val="clear" w:color="auto" w:fill="auto"/>
            <w:vAlign w:val="center"/>
            <w:hideMark/>
          </w:tcPr>
          <w:p w14:paraId="3827C893"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9,796,722</w:t>
            </w:r>
          </w:p>
        </w:tc>
        <w:tc>
          <w:tcPr>
            <w:tcW w:w="569" w:type="pct"/>
            <w:tcBorders>
              <w:top w:val="nil"/>
              <w:left w:val="single" w:sz="8" w:space="0" w:color="auto"/>
              <w:bottom w:val="nil"/>
              <w:right w:val="single" w:sz="8" w:space="0" w:color="auto"/>
            </w:tcBorders>
            <w:shd w:val="clear" w:color="auto" w:fill="auto"/>
            <w:vAlign w:val="center"/>
            <w:hideMark/>
          </w:tcPr>
          <w:p w14:paraId="69467216"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767,965</w:t>
            </w:r>
          </w:p>
        </w:tc>
        <w:tc>
          <w:tcPr>
            <w:tcW w:w="515" w:type="pct"/>
            <w:tcBorders>
              <w:top w:val="nil"/>
              <w:left w:val="nil"/>
              <w:bottom w:val="nil"/>
              <w:right w:val="nil"/>
            </w:tcBorders>
            <w:shd w:val="clear" w:color="auto" w:fill="auto"/>
            <w:vAlign w:val="center"/>
            <w:hideMark/>
          </w:tcPr>
          <w:p w14:paraId="4E93A928"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74</w:t>
            </w:r>
          </w:p>
        </w:tc>
        <w:tc>
          <w:tcPr>
            <w:tcW w:w="577" w:type="pct"/>
            <w:tcBorders>
              <w:top w:val="nil"/>
              <w:left w:val="single" w:sz="8" w:space="0" w:color="auto"/>
              <w:bottom w:val="nil"/>
              <w:right w:val="single" w:sz="8" w:space="0" w:color="auto"/>
            </w:tcBorders>
            <w:shd w:val="clear" w:color="auto" w:fill="auto"/>
            <w:vAlign w:val="center"/>
            <w:hideMark/>
          </w:tcPr>
          <w:p w14:paraId="11CD4457"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1,063,524</w:t>
            </w:r>
          </w:p>
        </w:tc>
      </w:tr>
      <w:tr w:rsidR="00D33F7C" w:rsidRPr="00037B23" w14:paraId="13F6DC26" w14:textId="77777777" w:rsidTr="00E213CE">
        <w:trPr>
          <w:trHeight w:val="225"/>
        </w:trPr>
        <w:tc>
          <w:tcPr>
            <w:tcW w:w="1729" w:type="pct"/>
            <w:tcBorders>
              <w:top w:val="nil"/>
              <w:left w:val="single" w:sz="8" w:space="0" w:color="auto"/>
              <w:bottom w:val="nil"/>
              <w:right w:val="single" w:sz="8" w:space="0" w:color="auto"/>
            </w:tcBorders>
            <w:shd w:val="clear" w:color="000000" w:fill="B4C6E7"/>
            <w:vAlign w:val="center"/>
            <w:hideMark/>
          </w:tcPr>
          <w:p w14:paraId="0ABE574D"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Budapest Stock Exchange</w:t>
            </w:r>
          </w:p>
        </w:tc>
        <w:tc>
          <w:tcPr>
            <w:tcW w:w="569" w:type="pct"/>
            <w:tcBorders>
              <w:top w:val="nil"/>
              <w:left w:val="nil"/>
              <w:bottom w:val="nil"/>
              <w:right w:val="single" w:sz="8" w:space="0" w:color="auto"/>
            </w:tcBorders>
            <w:shd w:val="clear" w:color="auto" w:fill="auto"/>
            <w:vAlign w:val="center"/>
            <w:hideMark/>
          </w:tcPr>
          <w:p w14:paraId="4327C950"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9,217</w:t>
            </w:r>
          </w:p>
        </w:tc>
        <w:tc>
          <w:tcPr>
            <w:tcW w:w="518" w:type="pct"/>
            <w:tcBorders>
              <w:top w:val="nil"/>
              <w:left w:val="nil"/>
              <w:bottom w:val="nil"/>
              <w:right w:val="single" w:sz="8" w:space="0" w:color="auto"/>
            </w:tcBorders>
            <w:shd w:val="clear" w:color="auto" w:fill="auto"/>
            <w:vAlign w:val="center"/>
            <w:hideMark/>
          </w:tcPr>
          <w:p w14:paraId="6862DF92"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64</w:t>
            </w:r>
          </w:p>
        </w:tc>
        <w:tc>
          <w:tcPr>
            <w:tcW w:w="522" w:type="pct"/>
            <w:tcBorders>
              <w:top w:val="nil"/>
              <w:left w:val="nil"/>
              <w:bottom w:val="nil"/>
              <w:right w:val="nil"/>
            </w:tcBorders>
            <w:shd w:val="clear" w:color="auto" w:fill="auto"/>
            <w:vAlign w:val="center"/>
            <w:hideMark/>
          </w:tcPr>
          <w:p w14:paraId="3427D841"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7,702</w:t>
            </w:r>
          </w:p>
        </w:tc>
        <w:tc>
          <w:tcPr>
            <w:tcW w:w="569" w:type="pct"/>
            <w:tcBorders>
              <w:top w:val="nil"/>
              <w:left w:val="single" w:sz="8" w:space="0" w:color="auto"/>
              <w:bottom w:val="nil"/>
              <w:right w:val="single" w:sz="8" w:space="0" w:color="auto"/>
            </w:tcBorders>
            <w:shd w:val="clear" w:color="auto" w:fill="auto"/>
            <w:vAlign w:val="center"/>
            <w:hideMark/>
          </w:tcPr>
          <w:p w14:paraId="77A004E2"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0</w:t>
            </w:r>
          </w:p>
        </w:tc>
        <w:tc>
          <w:tcPr>
            <w:tcW w:w="515" w:type="pct"/>
            <w:tcBorders>
              <w:top w:val="nil"/>
              <w:left w:val="nil"/>
              <w:bottom w:val="nil"/>
              <w:right w:val="nil"/>
            </w:tcBorders>
            <w:shd w:val="clear" w:color="auto" w:fill="auto"/>
            <w:vAlign w:val="center"/>
            <w:hideMark/>
          </w:tcPr>
          <w:p w14:paraId="50E8590C"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0</w:t>
            </w:r>
          </w:p>
        </w:tc>
        <w:tc>
          <w:tcPr>
            <w:tcW w:w="577" w:type="pct"/>
            <w:tcBorders>
              <w:top w:val="nil"/>
              <w:left w:val="single" w:sz="8" w:space="0" w:color="auto"/>
              <w:bottom w:val="nil"/>
              <w:right w:val="single" w:sz="8" w:space="0" w:color="auto"/>
            </w:tcBorders>
            <w:shd w:val="clear" w:color="auto" w:fill="auto"/>
            <w:vAlign w:val="center"/>
            <w:hideMark/>
          </w:tcPr>
          <w:p w14:paraId="7CAD0071"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0</w:t>
            </w:r>
          </w:p>
        </w:tc>
      </w:tr>
      <w:tr w:rsidR="00D33F7C" w:rsidRPr="00037B23" w14:paraId="16E7B4C8" w14:textId="77777777" w:rsidTr="00E213CE">
        <w:trPr>
          <w:trHeight w:val="225"/>
        </w:trPr>
        <w:tc>
          <w:tcPr>
            <w:tcW w:w="1729" w:type="pct"/>
            <w:tcBorders>
              <w:top w:val="nil"/>
              <w:left w:val="single" w:sz="8" w:space="0" w:color="auto"/>
              <w:bottom w:val="nil"/>
              <w:right w:val="single" w:sz="8" w:space="0" w:color="auto"/>
            </w:tcBorders>
            <w:shd w:val="clear" w:color="000000" w:fill="B4C6E7"/>
            <w:vAlign w:val="center"/>
            <w:hideMark/>
          </w:tcPr>
          <w:p w14:paraId="00686344"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Deutsche Boerse AG</w:t>
            </w:r>
          </w:p>
        </w:tc>
        <w:tc>
          <w:tcPr>
            <w:tcW w:w="569" w:type="pct"/>
            <w:tcBorders>
              <w:top w:val="nil"/>
              <w:left w:val="nil"/>
              <w:bottom w:val="nil"/>
              <w:right w:val="single" w:sz="8" w:space="0" w:color="auto"/>
            </w:tcBorders>
            <w:shd w:val="clear" w:color="auto" w:fill="auto"/>
            <w:vAlign w:val="center"/>
            <w:hideMark/>
          </w:tcPr>
          <w:p w14:paraId="3FB4E9CA"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9,592,194</w:t>
            </w:r>
          </w:p>
        </w:tc>
        <w:tc>
          <w:tcPr>
            <w:tcW w:w="518" w:type="pct"/>
            <w:tcBorders>
              <w:top w:val="nil"/>
              <w:left w:val="nil"/>
              <w:bottom w:val="nil"/>
              <w:right w:val="single" w:sz="8" w:space="0" w:color="auto"/>
            </w:tcBorders>
            <w:shd w:val="clear" w:color="auto" w:fill="auto"/>
            <w:vAlign w:val="center"/>
            <w:hideMark/>
          </w:tcPr>
          <w:p w14:paraId="1A79CC2B"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52,917</w:t>
            </w:r>
          </w:p>
        </w:tc>
        <w:tc>
          <w:tcPr>
            <w:tcW w:w="522" w:type="pct"/>
            <w:tcBorders>
              <w:top w:val="nil"/>
              <w:left w:val="nil"/>
              <w:bottom w:val="nil"/>
              <w:right w:val="nil"/>
            </w:tcBorders>
            <w:shd w:val="clear" w:color="auto" w:fill="auto"/>
            <w:vAlign w:val="center"/>
            <w:hideMark/>
          </w:tcPr>
          <w:p w14:paraId="4D9A510E"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9,177,644</w:t>
            </w:r>
          </w:p>
        </w:tc>
        <w:tc>
          <w:tcPr>
            <w:tcW w:w="569" w:type="pct"/>
            <w:tcBorders>
              <w:top w:val="nil"/>
              <w:left w:val="single" w:sz="8" w:space="0" w:color="auto"/>
              <w:bottom w:val="nil"/>
              <w:right w:val="single" w:sz="8" w:space="0" w:color="auto"/>
            </w:tcBorders>
            <w:shd w:val="clear" w:color="auto" w:fill="auto"/>
            <w:vAlign w:val="center"/>
            <w:hideMark/>
          </w:tcPr>
          <w:p w14:paraId="34247235"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16,494,192</w:t>
            </w:r>
          </w:p>
        </w:tc>
        <w:tc>
          <w:tcPr>
            <w:tcW w:w="515" w:type="pct"/>
            <w:tcBorders>
              <w:top w:val="nil"/>
              <w:left w:val="nil"/>
              <w:bottom w:val="nil"/>
              <w:right w:val="nil"/>
            </w:tcBorders>
            <w:shd w:val="clear" w:color="auto" w:fill="auto"/>
            <w:vAlign w:val="center"/>
            <w:hideMark/>
          </w:tcPr>
          <w:p w14:paraId="753E3936"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73,865</w:t>
            </w:r>
          </w:p>
        </w:tc>
        <w:tc>
          <w:tcPr>
            <w:tcW w:w="577" w:type="pct"/>
            <w:tcBorders>
              <w:top w:val="nil"/>
              <w:left w:val="single" w:sz="8" w:space="0" w:color="auto"/>
              <w:bottom w:val="nil"/>
              <w:right w:val="single" w:sz="8" w:space="0" w:color="auto"/>
            </w:tcBorders>
            <w:shd w:val="clear" w:color="auto" w:fill="auto"/>
            <w:vAlign w:val="center"/>
            <w:hideMark/>
          </w:tcPr>
          <w:p w14:paraId="6F25C446"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68,891,681</w:t>
            </w:r>
          </w:p>
        </w:tc>
      </w:tr>
      <w:tr w:rsidR="00D33F7C" w:rsidRPr="00037B23" w14:paraId="7D418BBC" w14:textId="77777777" w:rsidTr="00E213CE">
        <w:trPr>
          <w:trHeight w:val="225"/>
        </w:trPr>
        <w:tc>
          <w:tcPr>
            <w:tcW w:w="1729" w:type="pct"/>
            <w:tcBorders>
              <w:top w:val="nil"/>
              <w:left w:val="single" w:sz="8" w:space="0" w:color="auto"/>
              <w:bottom w:val="nil"/>
              <w:right w:val="single" w:sz="8" w:space="0" w:color="auto"/>
            </w:tcBorders>
            <w:shd w:val="clear" w:color="000000" w:fill="B4C6E7"/>
            <w:vAlign w:val="center"/>
            <w:hideMark/>
          </w:tcPr>
          <w:p w14:paraId="520F202A"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Euronext</w:t>
            </w:r>
          </w:p>
        </w:tc>
        <w:tc>
          <w:tcPr>
            <w:tcW w:w="569" w:type="pct"/>
            <w:tcBorders>
              <w:top w:val="nil"/>
              <w:left w:val="nil"/>
              <w:bottom w:val="nil"/>
              <w:right w:val="single" w:sz="8" w:space="0" w:color="auto"/>
            </w:tcBorders>
            <w:shd w:val="clear" w:color="auto" w:fill="auto"/>
            <w:vAlign w:val="center"/>
            <w:hideMark/>
          </w:tcPr>
          <w:p w14:paraId="2951DE59"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3,099,957</w:t>
            </w:r>
          </w:p>
        </w:tc>
        <w:tc>
          <w:tcPr>
            <w:tcW w:w="518" w:type="pct"/>
            <w:tcBorders>
              <w:top w:val="nil"/>
              <w:left w:val="nil"/>
              <w:bottom w:val="nil"/>
              <w:right w:val="single" w:sz="8" w:space="0" w:color="auto"/>
            </w:tcBorders>
            <w:shd w:val="clear" w:color="auto" w:fill="auto"/>
            <w:vAlign w:val="center"/>
            <w:hideMark/>
          </w:tcPr>
          <w:p w14:paraId="44CBD62C"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14,740</w:t>
            </w:r>
          </w:p>
        </w:tc>
        <w:tc>
          <w:tcPr>
            <w:tcW w:w="522" w:type="pct"/>
            <w:tcBorders>
              <w:top w:val="nil"/>
              <w:left w:val="nil"/>
              <w:bottom w:val="nil"/>
              <w:right w:val="nil"/>
            </w:tcBorders>
            <w:shd w:val="clear" w:color="auto" w:fill="auto"/>
            <w:vAlign w:val="center"/>
            <w:hideMark/>
          </w:tcPr>
          <w:p w14:paraId="5AE427A8"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2,516,372</w:t>
            </w:r>
          </w:p>
        </w:tc>
        <w:tc>
          <w:tcPr>
            <w:tcW w:w="569" w:type="pct"/>
            <w:tcBorders>
              <w:top w:val="nil"/>
              <w:left w:val="single" w:sz="8" w:space="0" w:color="auto"/>
              <w:bottom w:val="nil"/>
              <w:right w:val="single" w:sz="8" w:space="0" w:color="auto"/>
            </w:tcBorders>
            <w:shd w:val="clear" w:color="auto" w:fill="auto"/>
            <w:vAlign w:val="center"/>
            <w:hideMark/>
          </w:tcPr>
          <w:p w14:paraId="7DD2316B"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7,183,781</w:t>
            </w:r>
          </w:p>
        </w:tc>
        <w:tc>
          <w:tcPr>
            <w:tcW w:w="515" w:type="pct"/>
            <w:tcBorders>
              <w:top w:val="nil"/>
              <w:left w:val="nil"/>
              <w:bottom w:val="nil"/>
              <w:right w:val="nil"/>
            </w:tcBorders>
            <w:shd w:val="clear" w:color="auto" w:fill="auto"/>
            <w:vAlign w:val="center"/>
            <w:hideMark/>
          </w:tcPr>
          <w:p w14:paraId="03BECA77"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32,636</w:t>
            </w:r>
          </w:p>
        </w:tc>
        <w:tc>
          <w:tcPr>
            <w:tcW w:w="577" w:type="pct"/>
            <w:tcBorders>
              <w:top w:val="nil"/>
              <w:left w:val="single" w:sz="8" w:space="0" w:color="auto"/>
              <w:bottom w:val="nil"/>
              <w:right w:val="single" w:sz="8" w:space="0" w:color="auto"/>
            </w:tcBorders>
            <w:shd w:val="clear" w:color="auto" w:fill="auto"/>
            <w:vAlign w:val="center"/>
            <w:hideMark/>
          </w:tcPr>
          <w:p w14:paraId="4969DC9F"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21,906,737</w:t>
            </w:r>
          </w:p>
        </w:tc>
      </w:tr>
      <w:tr w:rsidR="00D33F7C" w:rsidRPr="00037B23" w14:paraId="7DAF4E08" w14:textId="77777777" w:rsidTr="00E213CE">
        <w:trPr>
          <w:trHeight w:val="225"/>
        </w:trPr>
        <w:tc>
          <w:tcPr>
            <w:tcW w:w="1729" w:type="pct"/>
            <w:tcBorders>
              <w:top w:val="nil"/>
              <w:left w:val="single" w:sz="8" w:space="0" w:color="auto"/>
              <w:bottom w:val="nil"/>
              <w:right w:val="single" w:sz="8" w:space="0" w:color="auto"/>
            </w:tcBorders>
            <w:shd w:val="clear" w:color="000000" w:fill="B4C6E7"/>
            <w:vAlign w:val="center"/>
            <w:hideMark/>
          </w:tcPr>
          <w:p w14:paraId="569AB28B"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Moscow Exchange</w:t>
            </w:r>
          </w:p>
        </w:tc>
        <w:tc>
          <w:tcPr>
            <w:tcW w:w="569" w:type="pct"/>
            <w:tcBorders>
              <w:top w:val="nil"/>
              <w:left w:val="nil"/>
              <w:bottom w:val="nil"/>
              <w:right w:val="single" w:sz="8" w:space="0" w:color="auto"/>
            </w:tcBorders>
            <w:shd w:val="clear" w:color="auto" w:fill="auto"/>
            <w:vAlign w:val="center"/>
            <w:hideMark/>
          </w:tcPr>
          <w:p w14:paraId="07C05318"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19,103,377</w:t>
            </w:r>
          </w:p>
        </w:tc>
        <w:tc>
          <w:tcPr>
            <w:tcW w:w="518" w:type="pct"/>
            <w:tcBorders>
              <w:top w:val="nil"/>
              <w:left w:val="nil"/>
              <w:bottom w:val="nil"/>
              <w:right w:val="single" w:sz="8" w:space="0" w:color="auto"/>
            </w:tcBorders>
            <w:shd w:val="clear" w:color="auto" w:fill="auto"/>
            <w:vAlign w:val="center"/>
            <w:hideMark/>
          </w:tcPr>
          <w:p w14:paraId="784075F7"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5,324</w:t>
            </w:r>
          </w:p>
        </w:tc>
        <w:tc>
          <w:tcPr>
            <w:tcW w:w="522" w:type="pct"/>
            <w:tcBorders>
              <w:top w:val="nil"/>
              <w:left w:val="nil"/>
              <w:bottom w:val="nil"/>
              <w:right w:val="nil"/>
            </w:tcBorders>
            <w:shd w:val="clear" w:color="auto" w:fill="auto"/>
            <w:vAlign w:val="center"/>
            <w:hideMark/>
          </w:tcPr>
          <w:p w14:paraId="5BFA720D"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2,640,626</w:t>
            </w:r>
          </w:p>
        </w:tc>
        <w:tc>
          <w:tcPr>
            <w:tcW w:w="569" w:type="pct"/>
            <w:tcBorders>
              <w:top w:val="nil"/>
              <w:left w:val="single" w:sz="8" w:space="0" w:color="auto"/>
              <w:bottom w:val="nil"/>
              <w:right w:val="single" w:sz="8" w:space="0" w:color="auto"/>
            </w:tcBorders>
            <w:shd w:val="clear" w:color="auto" w:fill="auto"/>
            <w:vAlign w:val="center"/>
            <w:hideMark/>
          </w:tcPr>
          <w:p w14:paraId="31F6372A"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183,962</w:t>
            </w:r>
          </w:p>
        </w:tc>
        <w:tc>
          <w:tcPr>
            <w:tcW w:w="515" w:type="pct"/>
            <w:tcBorders>
              <w:top w:val="nil"/>
              <w:left w:val="nil"/>
              <w:bottom w:val="nil"/>
              <w:right w:val="nil"/>
            </w:tcBorders>
            <w:shd w:val="clear" w:color="auto" w:fill="auto"/>
            <w:vAlign w:val="center"/>
            <w:hideMark/>
          </w:tcPr>
          <w:p w14:paraId="4DAF02F3"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60</w:t>
            </w:r>
          </w:p>
        </w:tc>
        <w:tc>
          <w:tcPr>
            <w:tcW w:w="577" w:type="pct"/>
            <w:tcBorders>
              <w:top w:val="nil"/>
              <w:left w:val="single" w:sz="8" w:space="0" w:color="auto"/>
              <w:bottom w:val="nil"/>
              <w:right w:val="single" w:sz="8" w:space="0" w:color="auto"/>
            </w:tcBorders>
            <w:shd w:val="clear" w:color="auto" w:fill="auto"/>
            <w:vAlign w:val="center"/>
            <w:hideMark/>
          </w:tcPr>
          <w:p w14:paraId="4E110310"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602,000</w:t>
            </w:r>
          </w:p>
        </w:tc>
      </w:tr>
      <w:tr w:rsidR="00D33F7C" w:rsidRPr="00037B23" w14:paraId="4CD5B0DB" w14:textId="77777777" w:rsidTr="00E213CE">
        <w:trPr>
          <w:trHeight w:val="225"/>
        </w:trPr>
        <w:tc>
          <w:tcPr>
            <w:tcW w:w="1729" w:type="pct"/>
            <w:tcBorders>
              <w:top w:val="nil"/>
              <w:left w:val="single" w:sz="8" w:space="0" w:color="auto"/>
              <w:bottom w:val="nil"/>
              <w:right w:val="single" w:sz="8" w:space="0" w:color="auto"/>
            </w:tcBorders>
            <w:shd w:val="clear" w:color="000000" w:fill="B4C6E7"/>
            <w:vAlign w:val="center"/>
            <w:hideMark/>
          </w:tcPr>
          <w:p w14:paraId="49518536"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Nasdaq Nordic and Baltics</w:t>
            </w:r>
          </w:p>
        </w:tc>
        <w:tc>
          <w:tcPr>
            <w:tcW w:w="569" w:type="pct"/>
            <w:tcBorders>
              <w:top w:val="nil"/>
              <w:left w:val="nil"/>
              <w:bottom w:val="nil"/>
              <w:right w:val="single" w:sz="8" w:space="0" w:color="auto"/>
            </w:tcBorders>
            <w:shd w:val="clear" w:color="auto" w:fill="auto"/>
            <w:vAlign w:val="center"/>
            <w:hideMark/>
          </w:tcPr>
          <w:p w14:paraId="57704FA4"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22,117</w:t>
            </w:r>
          </w:p>
        </w:tc>
        <w:tc>
          <w:tcPr>
            <w:tcW w:w="518" w:type="pct"/>
            <w:tcBorders>
              <w:top w:val="nil"/>
              <w:left w:val="nil"/>
              <w:bottom w:val="nil"/>
              <w:right w:val="single" w:sz="8" w:space="0" w:color="auto"/>
            </w:tcBorders>
            <w:shd w:val="clear" w:color="auto" w:fill="auto"/>
            <w:vAlign w:val="center"/>
            <w:hideMark/>
          </w:tcPr>
          <w:p w14:paraId="0AAC3D6B"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24</w:t>
            </w:r>
          </w:p>
        </w:tc>
        <w:tc>
          <w:tcPr>
            <w:tcW w:w="522" w:type="pct"/>
            <w:tcBorders>
              <w:top w:val="nil"/>
              <w:left w:val="nil"/>
              <w:bottom w:val="nil"/>
              <w:right w:val="nil"/>
            </w:tcBorders>
            <w:shd w:val="clear" w:color="auto" w:fill="auto"/>
            <w:vAlign w:val="center"/>
            <w:hideMark/>
          </w:tcPr>
          <w:p w14:paraId="0CBCE87F"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143,539</w:t>
            </w:r>
          </w:p>
        </w:tc>
        <w:tc>
          <w:tcPr>
            <w:tcW w:w="569" w:type="pct"/>
            <w:tcBorders>
              <w:top w:val="nil"/>
              <w:left w:val="single" w:sz="8" w:space="0" w:color="auto"/>
              <w:bottom w:val="nil"/>
              <w:right w:val="single" w:sz="8" w:space="0" w:color="auto"/>
            </w:tcBorders>
            <w:shd w:val="clear" w:color="auto" w:fill="auto"/>
            <w:vAlign w:val="center"/>
            <w:hideMark/>
          </w:tcPr>
          <w:p w14:paraId="46301392"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1,235,784</w:t>
            </w:r>
          </w:p>
        </w:tc>
        <w:tc>
          <w:tcPr>
            <w:tcW w:w="515" w:type="pct"/>
            <w:tcBorders>
              <w:top w:val="nil"/>
              <w:left w:val="nil"/>
              <w:bottom w:val="nil"/>
              <w:right w:val="nil"/>
            </w:tcBorders>
            <w:shd w:val="clear" w:color="auto" w:fill="auto"/>
            <w:vAlign w:val="center"/>
            <w:hideMark/>
          </w:tcPr>
          <w:p w14:paraId="3D6BB429"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2,951</w:t>
            </w:r>
          </w:p>
        </w:tc>
        <w:tc>
          <w:tcPr>
            <w:tcW w:w="577" w:type="pct"/>
            <w:tcBorders>
              <w:top w:val="nil"/>
              <w:left w:val="single" w:sz="8" w:space="0" w:color="auto"/>
              <w:bottom w:val="nil"/>
              <w:right w:val="single" w:sz="8" w:space="0" w:color="auto"/>
            </w:tcBorders>
            <w:shd w:val="clear" w:color="auto" w:fill="auto"/>
            <w:vAlign w:val="center"/>
            <w:hideMark/>
          </w:tcPr>
          <w:p w14:paraId="67EB66DA"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4,645,640</w:t>
            </w:r>
          </w:p>
        </w:tc>
      </w:tr>
      <w:tr w:rsidR="00D33F7C" w:rsidRPr="00037B23" w14:paraId="0D4668D4" w14:textId="77777777" w:rsidTr="00E213CE">
        <w:trPr>
          <w:trHeight w:val="225"/>
        </w:trPr>
        <w:tc>
          <w:tcPr>
            <w:tcW w:w="1729" w:type="pct"/>
            <w:tcBorders>
              <w:top w:val="nil"/>
              <w:left w:val="single" w:sz="8" w:space="0" w:color="auto"/>
              <w:bottom w:val="nil"/>
              <w:right w:val="single" w:sz="8" w:space="0" w:color="auto"/>
            </w:tcBorders>
            <w:shd w:val="clear" w:color="000000" w:fill="B4C6E7"/>
            <w:vAlign w:val="center"/>
            <w:hideMark/>
          </w:tcPr>
          <w:p w14:paraId="3CEE9E78"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Tehran Stock Exchange</w:t>
            </w:r>
          </w:p>
        </w:tc>
        <w:tc>
          <w:tcPr>
            <w:tcW w:w="569" w:type="pct"/>
            <w:tcBorders>
              <w:top w:val="nil"/>
              <w:left w:val="nil"/>
              <w:bottom w:val="nil"/>
              <w:right w:val="single" w:sz="8" w:space="0" w:color="auto"/>
            </w:tcBorders>
            <w:shd w:val="clear" w:color="auto" w:fill="auto"/>
            <w:vAlign w:val="center"/>
            <w:hideMark/>
          </w:tcPr>
          <w:p w14:paraId="2942446D"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518" w:type="pct"/>
            <w:tcBorders>
              <w:top w:val="nil"/>
              <w:left w:val="nil"/>
              <w:bottom w:val="nil"/>
              <w:right w:val="single" w:sz="8" w:space="0" w:color="auto"/>
            </w:tcBorders>
            <w:shd w:val="clear" w:color="auto" w:fill="auto"/>
            <w:vAlign w:val="center"/>
            <w:hideMark/>
          </w:tcPr>
          <w:p w14:paraId="6E47D379"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522" w:type="pct"/>
            <w:tcBorders>
              <w:top w:val="nil"/>
              <w:left w:val="nil"/>
              <w:bottom w:val="nil"/>
              <w:right w:val="nil"/>
            </w:tcBorders>
            <w:shd w:val="clear" w:color="auto" w:fill="auto"/>
            <w:vAlign w:val="center"/>
            <w:hideMark/>
          </w:tcPr>
          <w:p w14:paraId="5488CCE8"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569" w:type="pct"/>
            <w:tcBorders>
              <w:top w:val="nil"/>
              <w:left w:val="single" w:sz="8" w:space="0" w:color="auto"/>
              <w:bottom w:val="nil"/>
              <w:right w:val="single" w:sz="8" w:space="0" w:color="auto"/>
            </w:tcBorders>
            <w:shd w:val="clear" w:color="auto" w:fill="auto"/>
            <w:vAlign w:val="center"/>
            <w:hideMark/>
          </w:tcPr>
          <w:p w14:paraId="1F29B52D"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3,511,752</w:t>
            </w:r>
          </w:p>
        </w:tc>
        <w:tc>
          <w:tcPr>
            <w:tcW w:w="515" w:type="pct"/>
            <w:tcBorders>
              <w:top w:val="nil"/>
              <w:left w:val="nil"/>
              <w:bottom w:val="nil"/>
              <w:right w:val="nil"/>
            </w:tcBorders>
            <w:shd w:val="clear" w:color="auto" w:fill="auto"/>
            <w:vAlign w:val="center"/>
            <w:hideMark/>
          </w:tcPr>
          <w:p w14:paraId="1E185179"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239</w:t>
            </w:r>
          </w:p>
        </w:tc>
        <w:tc>
          <w:tcPr>
            <w:tcW w:w="577" w:type="pct"/>
            <w:tcBorders>
              <w:top w:val="nil"/>
              <w:left w:val="single" w:sz="8" w:space="0" w:color="auto"/>
              <w:bottom w:val="nil"/>
              <w:right w:val="single" w:sz="8" w:space="0" w:color="auto"/>
            </w:tcBorders>
            <w:shd w:val="clear" w:color="auto" w:fill="auto"/>
            <w:vAlign w:val="center"/>
            <w:hideMark/>
          </w:tcPr>
          <w:p w14:paraId="25FA456F"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r>
      <w:tr w:rsidR="00D33F7C" w:rsidRPr="00037B23" w14:paraId="3E6609C8" w14:textId="77777777" w:rsidTr="00E213CE">
        <w:trPr>
          <w:trHeight w:val="225"/>
        </w:trPr>
        <w:tc>
          <w:tcPr>
            <w:tcW w:w="1729" w:type="pct"/>
            <w:tcBorders>
              <w:top w:val="nil"/>
              <w:left w:val="single" w:sz="8" w:space="0" w:color="auto"/>
              <w:bottom w:val="nil"/>
              <w:right w:val="single" w:sz="8" w:space="0" w:color="auto"/>
            </w:tcBorders>
            <w:shd w:val="clear" w:color="000000" w:fill="B4C6E7"/>
            <w:vAlign w:val="center"/>
            <w:hideMark/>
          </w:tcPr>
          <w:p w14:paraId="613034A7"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Tel-Aviv Stock Exchange</w:t>
            </w:r>
          </w:p>
        </w:tc>
        <w:tc>
          <w:tcPr>
            <w:tcW w:w="569" w:type="pct"/>
            <w:tcBorders>
              <w:top w:val="nil"/>
              <w:left w:val="nil"/>
              <w:bottom w:val="nil"/>
              <w:right w:val="single" w:sz="8" w:space="0" w:color="auto"/>
            </w:tcBorders>
            <w:shd w:val="clear" w:color="auto" w:fill="auto"/>
            <w:vAlign w:val="center"/>
            <w:hideMark/>
          </w:tcPr>
          <w:p w14:paraId="1160C7E2"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518" w:type="pct"/>
            <w:tcBorders>
              <w:top w:val="nil"/>
              <w:left w:val="nil"/>
              <w:bottom w:val="nil"/>
              <w:right w:val="single" w:sz="8" w:space="0" w:color="auto"/>
            </w:tcBorders>
            <w:shd w:val="clear" w:color="auto" w:fill="auto"/>
            <w:vAlign w:val="center"/>
            <w:hideMark/>
          </w:tcPr>
          <w:p w14:paraId="48E0DB14"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522" w:type="pct"/>
            <w:tcBorders>
              <w:top w:val="nil"/>
              <w:left w:val="nil"/>
              <w:bottom w:val="nil"/>
              <w:right w:val="nil"/>
            </w:tcBorders>
            <w:shd w:val="clear" w:color="auto" w:fill="auto"/>
            <w:vAlign w:val="center"/>
            <w:hideMark/>
          </w:tcPr>
          <w:p w14:paraId="75416E05"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569" w:type="pct"/>
            <w:tcBorders>
              <w:top w:val="nil"/>
              <w:left w:val="single" w:sz="8" w:space="0" w:color="auto"/>
              <w:bottom w:val="nil"/>
              <w:right w:val="single" w:sz="8" w:space="0" w:color="auto"/>
            </w:tcBorders>
            <w:shd w:val="clear" w:color="auto" w:fill="auto"/>
            <w:vAlign w:val="center"/>
            <w:hideMark/>
          </w:tcPr>
          <w:p w14:paraId="6A26BB43"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127,390</w:t>
            </w:r>
          </w:p>
        </w:tc>
        <w:tc>
          <w:tcPr>
            <w:tcW w:w="515" w:type="pct"/>
            <w:tcBorders>
              <w:top w:val="nil"/>
              <w:left w:val="nil"/>
              <w:bottom w:val="nil"/>
              <w:right w:val="nil"/>
            </w:tcBorders>
            <w:shd w:val="clear" w:color="auto" w:fill="auto"/>
            <w:vAlign w:val="center"/>
            <w:hideMark/>
          </w:tcPr>
          <w:p w14:paraId="6AEAE682"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0</w:t>
            </w:r>
          </w:p>
        </w:tc>
        <w:tc>
          <w:tcPr>
            <w:tcW w:w="577" w:type="pct"/>
            <w:tcBorders>
              <w:top w:val="nil"/>
              <w:left w:val="single" w:sz="8" w:space="0" w:color="auto"/>
              <w:bottom w:val="nil"/>
              <w:right w:val="single" w:sz="8" w:space="0" w:color="auto"/>
            </w:tcBorders>
            <w:shd w:val="clear" w:color="auto" w:fill="auto"/>
            <w:vAlign w:val="center"/>
            <w:hideMark/>
          </w:tcPr>
          <w:p w14:paraId="5099FC04"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100,314</w:t>
            </w:r>
          </w:p>
        </w:tc>
      </w:tr>
      <w:tr w:rsidR="00D33F7C" w:rsidRPr="00037B23" w14:paraId="2CDE8932" w14:textId="77777777" w:rsidTr="00E213CE">
        <w:trPr>
          <w:trHeight w:val="225"/>
        </w:trPr>
        <w:tc>
          <w:tcPr>
            <w:tcW w:w="1729" w:type="pct"/>
            <w:tcBorders>
              <w:top w:val="nil"/>
              <w:left w:val="single" w:sz="8" w:space="0" w:color="auto"/>
              <w:bottom w:val="nil"/>
              <w:right w:val="single" w:sz="8" w:space="0" w:color="auto"/>
            </w:tcBorders>
            <w:shd w:val="clear" w:color="000000" w:fill="B4C6E7"/>
            <w:vAlign w:val="center"/>
            <w:hideMark/>
          </w:tcPr>
          <w:p w14:paraId="6B921FCF"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Warsaw Stock Exchange</w:t>
            </w:r>
          </w:p>
        </w:tc>
        <w:tc>
          <w:tcPr>
            <w:tcW w:w="569" w:type="pct"/>
            <w:tcBorders>
              <w:top w:val="nil"/>
              <w:left w:val="nil"/>
              <w:bottom w:val="nil"/>
              <w:right w:val="single" w:sz="8" w:space="0" w:color="auto"/>
            </w:tcBorders>
            <w:shd w:val="clear" w:color="auto" w:fill="auto"/>
            <w:vAlign w:val="center"/>
            <w:hideMark/>
          </w:tcPr>
          <w:p w14:paraId="5FDB4674"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185,050</w:t>
            </w:r>
          </w:p>
        </w:tc>
        <w:tc>
          <w:tcPr>
            <w:tcW w:w="518" w:type="pct"/>
            <w:tcBorders>
              <w:top w:val="nil"/>
              <w:left w:val="nil"/>
              <w:bottom w:val="nil"/>
              <w:right w:val="single" w:sz="8" w:space="0" w:color="auto"/>
            </w:tcBorders>
            <w:shd w:val="clear" w:color="auto" w:fill="auto"/>
            <w:vAlign w:val="center"/>
            <w:hideMark/>
          </w:tcPr>
          <w:p w14:paraId="7A2AAC86"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426</w:t>
            </w:r>
          </w:p>
        </w:tc>
        <w:tc>
          <w:tcPr>
            <w:tcW w:w="522" w:type="pct"/>
            <w:tcBorders>
              <w:top w:val="nil"/>
              <w:left w:val="nil"/>
              <w:bottom w:val="nil"/>
              <w:right w:val="nil"/>
            </w:tcBorders>
            <w:shd w:val="clear" w:color="auto" w:fill="auto"/>
            <w:vAlign w:val="center"/>
            <w:hideMark/>
          </w:tcPr>
          <w:p w14:paraId="52298F75"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54,279</w:t>
            </w:r>
          </w:p>
        </w:tc>
        <w:tc>
          <w:tcPr>
            <w:tcW w:w="569" w:type="pct"/>
            <w:tcBorders>
              <w:top w:val="nil"/>
              <w:left w:val="single" w:sz="8" w:space="0" w:color="auto"/>
              <w:bottom w:val="nil"/>
              <w:right w:val="single" w:sz="8" w:space="0" w:color="auto"/>
            </w:tcBorders>
            <w:shd w:val="clear" w:color="auto" w:fill="auto"/>
            <w:vAlign w:val="center"/>
            <w:hideMark/>
          </w:tcPr>
          <w:p w14:paraId="1F71623C"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0</w:t>
            </w:r>
          </w:p>
        </w:tc>
        <w:tc>
          <w:tcPr>
            <w:tcW w:w="515" w:type="pct"/>
            <w:tcBorders>
              <w:top w:val="nil"/>
              <w:left w:val="nil"/>
              <w:bottom w:val="nil"/>
              <w:right w:val="nil"/>
            </w:tcBorders>
            <w:shd w:val="clear" w:color="auto" w:fill="auto"/>
            <w:vAlign w:val="center"/>
            <w:hideMark/>
          </w:tcPr>
          <w:p w14:paraId="5BD24C65"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0</w:t>
            </w:r>
          </w:p>
        </w:tc>
        <w:tc>
          <w:tcPr>
            <w:tcW w:w="577" w:type="pct"/>
            <w:tcBorders>
              <w:top w:val="nil"/>
              <w:left w:val="single" w:sz="8" w:space="0" w:color="auto"/>
              <w:bottom w:val="nil"/>
              <w:right w:val="single" w:sz="8" w:space="0" w:color="auto"/>
            </w:tcBorders>
            <w:shd w:val="clear" w:color="auto" w:fill="auto"/>
            <w:vAlign w:val="center"/>
            <w:hideMark/>
          </w:tcPr>
          <w:p w14:paraId="2DC9AC2A"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0</w:t>
            </w:r>
          </w:p>
        </w:tc>
      </w:tr>
      <w:tr w:rsidR="00D33F7C" w:rsidRPr="00037B23" w14:paraId="424EF9DC" w14:textId="77777777" w:rsidTr="00E213CE">
        <w:trPr>
          <w:trHeight w:val="236"/>
        </w:trPr>
        <w:tc>
          <w:tcPr>
            <w:tcW w:w="1729" w:type="pct"/>
            <w:tcBorders>
              <w:top w:val="nil"/>
              <w:left w:val="single" w:sz="8" w:space="0" w:color="auto"/>
              <w:bottom w:val="nil"/>
              <w:right w:val="single" w:sz="8" w:space="0" w:color="auto"/>
            </w:tcBorders>
            <w:shd w:val="clear" w:color="000000" w:fill="B4C6E7"/>
            <w:vAlign w:val="center"/>
            <w:hideMark/>
          </w:tcPr>
          <w:p w14:paraId="70421702"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Dubai Gold and Commodities Exchange</w:t>
            </w:r>
          </w:p>
        </w:tc>
        <w:tc>
          <w:tcPr>
            <w:tcW w:w="569" w:type="pct"/>
            <w:tcBorders>
              <w:top w:val="nil"/>
              <w:left w:val="nil"/>
              <w:bottom w:val="nil"/>
              <w:right w:val="single" w:sz="8" w:space="0" w:color="auto"/>
            </w:tcBorders>
            <w:shd w:val="clear" w:color="auto" w:fill="auto"/>
            <w:vAlign w:val="center"/>
            <w:hideMark/>
          </w:tcPr>
          <w:p w14:paraId="32798B62"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1,169</w:t>
            </w:r>
          </w:p>
        </w:tc>
        <w:tc>
          <w:tcPr>
            <w:tcW w:w="518" w:type="pct"/>
            <w:tcBorders>
              <w:top w:val="nil"/>
              <w:left w:val="nil"/>
              <w:bottom w:val="nil"/>
              <w:right w:val="single" w:sz="8" w:space="0" w:color="auto"/>
            </w:tcBorders>
            <w:shd w:val="clear" w:color="auto" w:fill="auto"/>
            <w:vAlign w:val="center"/>
            <w:hideMark/>
          </w:tcPr>
          <w:p w14:paraId="7BE4F88D"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3</w:t>
            </w:r>
          </w:p>
        </w:tc>
        <w:tc>
          <w:tcPr>
            <w:tcW w:w="522" w:type="pct"/>
            <w:tcBorders>
              <w:top w:val="nil"/>
              <w:left w:val="nil"/>
              <w:bottom w:val="nil"/>
              <w:right w:val="nil"/>
            </w:tcBorders>
            <w:shd w:val="clear" w:color="auto" w:fill="auto"/>
            <w:vAlign w:val="center"/>
            <w:hideMark/>
          </w:tcPr>
          <w:p w14:paraId="1A204424"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182</w:t>
            </w:r>
          </w:p>
        </w:tc>
        <w:tc>
          <w:tcPr>
            <w:tcW w:w="569" w:type="pct"/>
            <w:tcBorders>
              <w:top w:val="nil"/>
              <w:left w:val="single" w:sz="8" w:space="0" w:color="auto"/>
              <w:bottom w:val="nil"/>
              <w:right w:val="single" w:sz="8" w:space="0" w:color="auto"/>
            </w:tcBorders>
            <w:shd w:val="clear" w:color="auto" w:fill="auto"/>
            <w:vAlign w:val="center"/>
            <w:hideMark/>
          </w:tcPr>
          <w:p w14:paraId="62E2E9ED"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515" w:type="pct"/>
            <w:tcBorders>
              <w:top w:val="nil"/>
              <w:left w:val="nil"/>
              <w:bottom w:val="nil"/>
              <w:right w:val="nil"/>
            </w:tcBorders>
            <w:shd w:val="clear" w:color="auto" w:fill="auto"/>
            <w:vAlign w:val="center"/>
            <w:hideMark/>
          </w:tcPr>
          <w:p w14:paraId="36350290"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577" w:type="pct"/>
            <w:tcBorders>
              <w:top w:val="nil"/>
              <w:left w:val="single" w:sz="8" w:space="0" w:color="auto"/>
              <w:bottom w:val="nil"/>
              <w:right w:val="single" w:sz="8" w:space="0" w:color="auto"/>
            </w:tcBorders>
            <w:shd w:val="clear" w:color="auto" w:fill="auto"/>
            <w:vAlign w:val="center"/>
            <w:hideMark/>
          </w:tcPr>
          <w:p w14:paraId="2AB02382"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r>
      <w:tr w:rsidR="00D33F7C" w:rsidRPr="00037B23" w14:paraId="0C157835" w14:textId="77777777" w:rsidTr="00E213CE">
        <w:trPr>
          <w:trHeight w:val="236"/>
        </w:trPr>
        <w:tc>
          <w:tcPr>
            <w:tcW w:w="1729" w:type="pct"/>
            <w:tcBorders>
              <w:top w:val="single" w:sz="8" w:space="0" w:color="auto"/>
              <w:left w:val="single" w:sz="8" w:space="0" w:color="auto"/>
              <w:bottom w:val="single" w:sz="8" w:space="0" w:color="auto"/>
              <w:right w:val="nil"/>
            </w:tcBorders>
            <w:shd w:val="clear" w:color="000000" w:fill="D9E1F2"/>
            <w:vAlign w:val="center"/>
            <w:hideMark/>
          </w:tcPr>
          <w:p w14:paraId="6AD43946" w14:textId="77777777" w:rsidR="00D33F7C" w:rsidRPr="00037B23" w:rsidRDefault="00D33F7C" w:rsidP="00E213CE">
            <w:pPr>
              <w:rPr>
                <w:rFonts w:ascii="Garamond" w:eastAsia="Times New Roman" w:hAnsi="Garamond" w:cs="Calibri"/>
                <w:b/>
                <w:bCs/>
                <w:color w:val="000000"/>
                <w:sz w:val="20"/>
                <w:szCs w:val="20"/>
                <w:lang w:val="en-IN" w:eastAsia="en-IN" w:bidi="hi-IN"/>
              </w:rPr>
            </w:pPr>
            <w:r w:rsidRPr="00037B23">
              <w:rPr>
                <w:rFonts w:ascii="Garamond" w:eastAsia="Times New Roman" w:hAnsi="Garamond" w:cs="Calibri"/>
                <w:b/>
                <w:bCs/>
                <w:color w:val="000000"/>
                <w:sz w:val="20"/>
                <w:szCs w:val="20"/>
                <w:lang w:val="en-IN" w:eastAsia="en-IN" w:bidi="hi-IN"/>
              </w:rPr>
              <w:t>Grand Total</w:t>
            </w:r>
          </w:p>
        </w:tc>
        <w:tc>
          <w:tcPr>
            <w:tcW w:w="569" w:type="pct"/>
            <w:tcBorders>
              <w:top w:val="single" w:sz="8" w:space="0" w:color="auto"/>
              <w:left w:val="nil"/>
              <w:bottom w:val="single" w:sz="8" w:space="0" w:color="auto"/>
              <w:right w:val="nil"/>
            </w:tcBorders>
            <w:shd w:val="clear" w:color="000000" w:fill="D9E1F2"/>
            <w:vAlign w:val="bottom"/>
            <w:hideMark/>
          </w:tcPr>
          <w:p w14:paraId="6AA60FCA" w14:textId="77777777" w:rsidR="00D33F7C" w:rsidRPr="00037B23" w:rsidRDefault="00D33F7C" w:rsidP="00E213CE">
            <w:pPr>
              <w:jc w:val="right"/>
              <w:rPr>
                <w:rFonts w:ascii="Garamond" w:eastAsia="Times New Roman" w:hAnsi="Garamond" w:cs="Calibri"/>
                <w:b/>
                <w:bCs/>
                <w:color w:val="000000"/>
                <w:sz w:val="20"/>
                <w:szCs w:val="20"/>
                <w:lang w:val="en-IN" w:eastAsia="en-IN" w:bidi="hi-IN"/>
              </w:rPr>
            </w:pPr>
            <w:r w:rsidRPr="00037B23">
              <w:rPr>
                <w:rFonts w:ascii="Garamond" w:eastAsia="Times New Roman" w:hAnsi="Garamond" w:cs="Calibri"/>
                <w:b/>
                <w:bCs/>
                <w:color w:val="000000"/>
                <w:sz w:val="20"/>
                <w:szCs w:val="20"/>
                <w:lang w:val="en-IN" w:eastAsia="en-IN" w:bidi="hi-IN"/>
              </w:rPr>
              <w:t xml:space="preserve"> 315,472,233</w:t>
            </w:r>
          </w:p>
        </w:tc>
        <w:tc>
          <w:tcPr>
            <w:tcW w:w="518" w:type="pct"/>
            <w:tcBorders>
              <w:top w:val="single" w:sz="8" w:space="0" w:color="auto"/>
              <w:left w:val="nil"/>
              <w:bottom w:val="single" w:sz="8" w:space="0" w:color="auto"/>
              <w:right w:val="nil"/>
            </w:tcBorders>
            <w:shd w:val="clear" w:color="000000" w:fill="D9E1F2"/>
            <w:vAlign w:val="bottom"/>
            <w:hideMark/>
          </w:tcPr>
          <w:p w14:paraId="7FB89ECE" w14:textId="77777777" w:rsidR="00D33F7C" w:rsidRPr="00037B23" w:rsidRDefault="00D33F7C" w:rsidP="00E213CE">
            <w:pPr>
              <w:jc w:val="right"/>
              <w:rPr>
                <w:rFonts w:ascii="Garamond" w:eastAsia="Times New Roman" w:hAnsi="Garamond" w:cs="Calibri"/>
                <w:b/>
                <w:bCs/>
                <w:color w:val="000000"/>
                <w:sz w:val="20"/>
                <w:szCs w:val="20"/>
                <w:lang w:val="en-IN" w:eastAsia="en-IN" w:bidi="hi-IN"/>
              </w:rPr>
            </w:pPr>
            <w:r w:rsidRPr="00037B23">
              <w:rPr>
                <w:rFonts w:ascii="Garamond" w:eastAsia="Times New Roman" w:hAnsi="Garamond" w:cs="Calibri"/>
                <w:b/>
                <w:bCs/>
                <w:color w:val="000000"/>
                <w:sz w:val="20"/>
                <w:szCs w:val="20"/>
                <w:lang w:val="en-IN" w:eastAsia="en-IN" w:bidi="hi-IN"/>
              </w:rPr>
              <w:t xml:space="preserve"> 465,672</w:t>
            </w:r>
          </w:p>
        </w:tc>
        <w:tc>
          <w:tcPr>
            <w:tcW w:w="522" w:type="pct"/>
            <w:tcBorders>
              <w:top w:val="single" w:sz="8" w:space="0" w:color="auto"/>
              <w:left w:val="nil"/>
              <w:bottom w:val="single" w:sz="8" w:space="0" w:color="auto"/>
              <w:right w:val="nil"/>
            </w:tcBorders>
            <w:shd w:val="clear" w:color="000000" w:fill="D9E1F2"/>
            <w:vAlign w:val="bottom"/>
            <w:hideMark/>
          </w:tcPr>
          <w:p w14:paraId="68B150A6" w14:textId="77777777" w:rsidR="00D33F7C" w:rsidRPr="00037B23" w:rsidRDefault="00D33F7C" w:rsidP="00E213CE">
            <w:pPr>
              <w:jc w:val="right"/>
              <w:rPr>
                <w:rFonts w:ascii="Garamond" w:eastAsia="Times New Roman" w:hAnsi="Garamond" w:cs="Calibri"/>
                <w:b/>
                <w:bCs/>
                <w:color w:val="000000"/>
                <w:sz w:val="20"/>
                <w:szCs w:val="20"/>
                <w:lang w:val="en-IN" w:eastAsia="en-IN" w:bidi="hi-IN"/>
              </w:rPr>
            </w:pPr>
            <w:r w:rsidRPr="00037B23">
              <w:rPr>
                <w:rFonts w:ascii="Garamond" w:eastAsia="Times New Roman" w:hAnsi="Garamond" w:cs="Calibri"/>
                <w:b/>
                <w:bCs/>
                <w:color w:val="000000"/>
                <w:sz w:val="20"/>
                <w:szCs w:val="20"/>
                <w:lang w:val="en-IN" w:eastAsia="en-IN" w:bidi="hi-IN"/>
              </w:rPr>
              <w:t xml:space="preserve"> 73,112,983</w:t>
            </w:r>
          </w:p>
        </w:tc>
        <w:tc>
          <w:tcPr>
            <w:tcW w:w="569" w:type="pct"/>
            <w:tcBorders>
              <w:top w:val="single" w:sz="8" w:space="0" w:color="auto"/>
              <w:left w:val="nil"/>
              <w:bottom w:val="single" w:sz="8" w:space="0" w:color="auto"/>
              <w:right w:val="nil"/>
            </w:tcBorders>
            <w:shd w:val="clear" w:color="000000" w:fill="D9E1F2"/>
            <w:vAlign w:val="bottom"/>
            <w:hideMark/>
          </w:tcPr>
          <w:p w14:paraId="756FEE68" w14:textId="77777777" w:rsidR="00D33F7C" w:rsidRPr="00037B23" w:rsidRDefault="00D33F7C" w:rsidP="00E213CE">
            <w:pPr>
              <w:jc w:val="right"/>
              <w:rPr>
                <w:rFonts w:ascii="Garamond" w:eastAsia="Times New Roman" w:hAnsi="Garamond" w:cs="Calibri"/>
                <w:b/>
                <w:bCs/>
                <w:color w:val="000000"/>
                <w:sz w:val="20"/>
                <w:szCs w:val="20"/>
                <w:lang w:val="en-IN" w:eastAsia="en-IN" w:bidi="hi-IN"/>
              </w:rPr>
            </w:pPr>
            <w:r w:rsidRPr="00037B23">
              <w:rPr>
                <w:rFonts w:ascii="Garamond" w:eastAsia="Times New Roman" w:hAnsi="Garamond" w:cs="Calibri"/>
                <w:b/>
                <w:bCs/>
                <w:color w:val="000000"/>
                <w:sz w:val="20"/>
                <w:szCs w:val="20"/>
                <w:lang w:val="en-IN" w:eastAsia="en-IN" w:bidi="hi-IN"/>
              </w:rPr>
              <w:t xml:space="preserve"> 613,780,054</w:t>
            </w:r>
          </w:p>
        </w:tc>
        <w:tc>
          <w:tcPr>
            <w:tcW w:w="515" w:type="pct"/>
            <w:tcBorders>
              <w:top w:val="single" w:sz="8" w:space="0" w:color="auto"/>
              <w:left w:val="nil"/>
              <w:bottom w:val="single" w:sz="8" w:space="0" w:color="auto"/>
              <w:right w:val="nil"/>
            </w:tcBorders>
            <w:shd w:val="clear" w:color="000000" w:fill="D9E1F2"/>
            <w:vAlign w:val="bottom"/>
            <w:hideMark/>
          </w:tcPr>
          <w:p w14:paraId="621A0085" w14:textId="77777777" w:rsidR="00D33F7C" w:rsidRPr="00037B23" w:rsidRDefault="00D33F7C" w:rsidP="00E213CE">
            <w:pPr>
              <w:jc w:val="right"/>
              <w:rPr>
                <w:rFonts w:ascii="Garamond" w:eastAsia="Times New Roman" w:hAnsi="Garamond" w:cs="Calibri"/>
                <w:b/>
                <w:bCs/>
                <w:color w:val="000000"/>
                <w:sz w:val="20"/>
                <w:szCs w:val="20"/>
                <w:lang w:val="en-IN" w:eastAsia="en-IN" w:bidi="hi-IN"/>
              </w:rPr>
            </w:pPr>
            <w:r w:rsidRPr="00037B23">
              <w:rPr>
                <w:rFonts w:ascii="Garamond" w:eastAsia="Times New Roman" w:hAnsi="Garamond" w:cs="Calibri"/>
                <w:b/>
                <w:bCs/>
                <w:color w:val="000000"/>
                <w:sz w:val="20"/>
                <w:szCs w:val="20"/>
                <w:lang w:val="en-IN" w:eastAsia="en-IN" w:bidi="hi-IN"/>
              </w:rPr>
              <w:t xml:space="preserve"> 2,181,414</w:t>
            </w:r>
          </w:p>
        </w:tc>
        <w:tc>
          <w:tcPr>
            <w:tcW w:w="577" w:type="pct"/>
            <w:tcBorders>
              <w:top w:val="single" w:sz="8" w:space="0" w:color="auto"/>
              <w:left w:val="nil"/>
              <w:bottom w:val="single" w:sz="8" w:space="0" w:color="auto"/>
              <w:right w:val="single" w:sz="8" w:space="0" w:color="auto"/>
            </w:tcBorders>
            <w:shd w:val="clear" w:color="000000" w:fill="D9E1F2"/>
            <w:vAlign w:val="bottom"/>
            <w:hideMark/>
          </w:tcPr>
          <w:p w14:paraId="1A92C828" w14:textId="77777777" w:rsidR="00D33F7C" w:rsidRPr="00037B23" w:rsidRDefault="00D33F7C" w:rsidP="00E213CE">
            <w:pPr>
              <w:jc w:val="right"/>
              <w:rPr>
                <w:rFonts w:ascii="Garamond" w:eastAsia="Times New Roman" w:hAnsi="Garamond" w:cs="Calibri"/>
                <w:b/>
                <w:bCs/>
                <w:color w:val="000000"/>
                <w:sz w:val="20"/>
                <w:szCs w:val="20"/>
                <w:lang w:val="en-IN" w:eastAsia="en-IN" w:bidi="hi-IN"/>
              </w:rPr>
            </w:pPr>
            <w:r w:rsidRPr="00037B23">
              <w:rPr>
                <w:rFonts w:ascii="Garamond" w:eastAsia="Times New Roman" w:hAnsi="Garamond" w:cs="Calibri"/>
                <w:b/>
                <w:bCs/>
                <w:color w:val="000000"/>
                <w:sz w:val="20"/>
                <w:szCs w:val="20"/>
                <w:lang w:val="en-IN" w:eastAsia="en-IN" w:bidi="hi-IN"/>
              </w:rPr>
              <w:t xml:space="preserve"> 452,460,304</w:t>
            </w:r>
          </w:p>
        </w:tc>
      </w:tr>
    </w:tbl>
    <w:p w14:paraId="2EB13C48" w14:textId="77777777" w:rsidR="00D33F7C" w:rsidRPr="00E25198" w:rsidRDefault="00D33F7C" w:rsidP="00D33F7C">
      <w:pPr>
        <w:tabs>
          <w:tab w:val="left" w:pos="3306"/>
          <w:tab w:val="left" w:pos="4629"/>
          <w:tab w:val="left" w:pos="5685"/>
          <w:tab w:val="left" w:pos="6835"/>
          <w:tab w:val="left" w:pos="7999"/>
          <w:tab w:val="left" w:pos="9070"/>
        </w:tabs>
        <w:spacing w:line="23" w:lineRule="atLeast"/>
        <w:rPr>
          <w:rFonts w:ascii="Garamond" w:eastAsia="Times New Roman" w:hAnsi="Garamond" w:cs="Calibri"/>
          <w:color w:val="000000"/>
          <w:sz w:val="20"/>
          <w:szCs w:val="20"/>
          <w:lang w:val="en-IN" w:eastAsia="en-IN"/>
        </w:rPr>
      </w:pPr>
      <w:r w:rsidRPr="00E25198">
        <w:rPr>
          <w:rFonts w:ascii="Garamond" w:hAnsi="Garamond"/>
          <w:bCs/>
          <w:sz w:val="18"/>
          <w:szCs w:val="18"/>
        </w:rPr>
        <w:t>NA: Not Available</w:t>
      </w:r>
    </w:p>
    <w:p w14:paraId="60626461" w14:textId="77777777" w:rsidR="00D33F7C" w:rsidRPr="00E25198" w:rsidRDefault="00D33F7C" w:rsidP="00D33F7C">
      <w:pPr>
        <w:tabs>
          <w:tab w:val="left" w:pos="3306"/>
          <w:tab w:val="left" w:pos="4629"/>
          <w:tab w:val="left" w:pos="5685"/>
          <w:tab w:val="left" w:pos="6835"/>
          <w:tab w:val="left" w:pos="7999"/>
          <w:tab w:val="left" w:pos="9070"/>
        </w:tabs>
        <w:spacing w:line="23" w:lineRule="atLeast"/>
        <w:rPr>
          <w:rFonts w:ascii="Garamond" w:hAnsi="Garamond"/>
          <w:bCs/>
          <w:sz w:val="18"/>
          <w:szCs w:val="18"/>
        </w:rPr>
      </w:pPr>
      <w:r w:rsidRPr="00E25198">
        <w:rPr>
          <w:rFonts w:ascii="Garamond" w:hAnsi="Garamond"/>
          <w:bCs/>
          <w:sz w:val="18"/>
          <w:szCs w:val="18"/>
        </w:rPr>
        <w:t>Source: World Federation of Exchanges</w:t>
      </w:r>
    </w:p>
    <w:p w14:paraId="39B1CF5B" w14:textId="77777777" w:rsidR="00D33F7C" w:rsidRPr="00E25198" w:rsidRDefault="00D33F7C" w:rsidP="00D33F7C">
      <w:pPr>
        <w:rPr>
          <w:rFonts w:ascii="Garamond" w:eastAsia="Times New Roman" w:hAnsi="Garamond"/>
          <w:bCs/>
          <w:sz w:val="22"/>
          <w:szCs w:val="22"/>
          <w:lang w:val="en-US"/>
        </w:rPr>
      </w:pPr>
    </w:p>
    <w:p w14:paraId="756CA208" w14:textId="77777777" w:rsidR="00D33F7C" w:rsidRPr="00E25198" w:rsidRDefault="00D33F7C" w:rsidP="00D33F7C">
      <w:pPr>
        <w:rPr>
          <w:rFonts w:ascii="Garamond" w:eastAsia="Times New Roman" w:hAnsi="Garamond"/>
          <w:bCs/>
          <w:sz w:val="22"/>
          <w:szCs w:val="22"/>
          <w:lang w:val="en-US"/>
        </w:rPr>
      </w:pPr>
      <w:r w:rsidRPr="00E25198">
        <w:rPr>
          <w:rFonts w:ascii="Garamond" w:eastAsia="Times New Roman" w:hAnsi="Garamond"/>
          <w:bCs/>
          <w:sz w:val="22"/>
          <w:szCs w:val="22"/>
          <w:lang w:val="en-US"/>
        </w:rPr>
        <w:br w:type="page"/>
      </w:r>
    </w:p>
    <w:p w14:paraId="63911426" w14:textId="77777777" w:rsidR="00D33F7C" w:rsidRPr="00E25198" w:rsidRDefault="00D33F7C" w:rsidP="00D33F7C">
      <w:pPr>
        <w:spacing w:line="23" w:lineRule="atLeast"/>
        <w:rPr>
          <w:rFonts w:ascii="Garamond" w:eastAsia="Times New Roman" w:hAnsi="Garamond"/>
          <w:b/>
          <w:bCs/>
          <w:szCs w:val="22"/>
          <w:lang w:val="en-US"/>
        </w:rPr>
      </w:pPr>
      <w:r w:rsidRPr="00E25198">
        <w:rPr>
          <w:rFonts w:ascii="Garamond" w:eastAsia="Times New Roman" w:hAnsi="Garamond"/>
          <w:b/>
          <w:bCs/>
          <w:szCs w:val="22"/>
          <w:lang w:val="en-US"/>
        </w:rPr>
        <w:lastRenderedPageBreak/>
        <w:t xml:space="preserve">Table A5: Index Futures and Index Options Traded in Major Exchanges </w:t>
      </w:r>
    </w:p>
    <w:p w14:paraId="4FBEF0C3" w14:textId="77777777" w:rsidR="00D33F7C" w:rsidRPr="00E25198" w:rsidRDefault="00D33F7C" w:rsidP="00D33F7C">
      <w:pPr>
        <w:spacing w:line="23" w:lineRule="atLeast"/>
        <w:ind w:right="-177"/>
        <w:jc w:val="right"/>
        <w:rPr>
          <w:rFonts w:ascii="Garamond" w:eastAsia="Times New Roman" w:hAnsi="Garamond"/>
          <w:bCs/>
          <w:sz w:val="22"/>
          <w:szCs w:val="22"/>
          <w:lang w:val="en-US"/>
        </w:rPr>
      </w:pPr>
      <w:r w:rsidRPr="00E25198">
        <w:rPr>
          <w:rFonts w:ascii="Garamond" w:hAnsi="Garamond"/>
          <w:bCs/>
          <w:sz w:val="22"/>
          <w:szCs w:val="22"/>
        </w:rPr>
        <w:t>Notional Turnover in (USD million)</w:t>
      </w:r>
    </w:p>
    <w:tbl>
      <w:tblPr>
        <w:tblW w:w="10254" w:type="dxa"/>
        <w:tblInd w:w="113" w:type="dxa"/>
        <w:tblLook w:val="04A0" w:firstRow="1" w:lastRow="0" w:firstColumn="1" w:lastColumn="0" w:noHBand="0" w:noVBand="1"/>
      </w:tblPr>
      <w:tblGrid>
        <w:gridCol w:w="3438"/>
        <w:gridCol w:w="1164"/>
        <w:gridCol w:w="1105"/>
        <w:gridCol w:w="1106"/>
        <w:gridCol w:w="1229"/>
        <w:gridCol w:w="1105"/>
        <w:gridCol w:w="1107"/>
      </w:tblGrid>
      <w:tr w:rsidR="00D33F7C" w:rsidRPr="00037B23" w14:paraId="09E1AB86" w14:textId="77777777" w:rsidTr="00E213CE">
        <w:trPr>
          <w:trHeight w:val="248"/>
        </w:trPr>
        <w:tc>
          <w:tcPr>
            <w:tcW w:w="3555" w:type="dxa"/>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14:paraId="6B274573" w14:textId="77777777" w:rsidR="00D33F7C" w:rsidRPr="00037B23" w:rsidRDefault="00D33F7C" w:rsidP="00E213CE">
            <w:pPr>
              <w:jc w:val="center"/>
              <w:rPr>
                <w:rFonts w:ascii="Garamond" w:eastAsia="Times New Roman" w:hAnsi="Garamond" w:cs="Calibri"/>
                <w:b/>
                <w:bCs/>
                <w:color w:val="000000"/>
                <w:sz w:val="20"/>
                <w:szCs w:val="20"/>
                <w:lang w:val="en-IN" w:eastAsia="en-IN" w:bidi="hi-IN"/>
              </w:rPr>
            </w:pPr>
            <w:r w:rsidRPr="00037B23">
              <w:rPr>
                <w:rFonts w:ascii="Garamond" w:eastAsia="Times New Roman" w:hAnsi="Garamond" w:cs="Calibri"/>
                <w:b/>
                <w:bCs/>
                <w:color w:val="000000"/>
                <w:sz w:val="20"/>
                <w:szCs w:val="20"/>
                <w:lang w:val="en-IN" w:eastAsia="en-IN" w:bidi="hi-IN"/>
              </w:rPr>
              <w:t>Exchange</w:t>
            </w:r>
          </w:p>
        </w:tc>
        <w:tc>
          <w:tcPr>
            <w:tcW w:w="6699" w:type="dxa"/>
            <w:gridSpan w:val="6"/>
            <w:tcBorders>
              <w:top w:val="single" w:sz="4" w:space="0" w:color="auto"/>
              <w:left w:val="nil"/>
              <w:bottom w:val="single" w:sz="4" w:space="0" w:color="auto"/>
              <w:right w:val="single" w:sz="4" w:space="0" w:color="auto"/>
            </w:tcBorders>
            <w:shd w:val="clear" w:color="000000" w:fill="B4C6E7"/>
            <w:vAlign w:val="center"/>
            <w:hideMark/>
          </w:tcPr>
          <w:p w14:paraId="5CA03A19" w14:textId="77777777" w:rsidR="00D33F7C" w:rsidRPr="00037B23" w:rsidRDefault="00D33F7C" w:rsidP="00E213CE">
            <w:pPr>
              <w:jc w:val="center"/>
              <w:rPr>
                <w:rFonts w:ascii="Garamond" w:eastAsia="Times New Roman" w:hAnsi="Garamond" w:cs="Calibri"/>
                <w:b/>
                <w:bCs/>
                <w:color w:val="000000"/>
                <w:sz w:val="20"/>
                <w:szCs w:val="20"/>
                <w:lang w:val="en-IN" w:eastAsia="en-IN" w:bidi="hi-IN"/>
              </w:rPr>
            </w:pPr>
            <w:r w:rsidRPr="00037B23">
              <w:rPr>
                <w:rFonts w:ascii="Garamond" w:eastAsia="Times New Roman" w:hAnsi="Garamond" w:cs="Calibri"/>
                <w:b/>
                <w:bCs/>
                <w:color w:val="000000"/>
                <w:sz w:val="20"/>
                <w:szCs w:val="20"/>
                <w:lang w:val="en-IN" w:eastAsia="en-IN" w:bidi="hi-IN"/>
              </w:rPr>
              <w:t>May-21</w:t>
            </w:r>
          </w:p>
        </w:tc>
      </w:tr>
      <w:tr w:rsidR="00D33F7C" w:rsidRPr="00037B23" w14:paraId="25DC8853" w14:textId="77777777" w:rsidTr="00E213CE">
        <w:trPr>
          <w:trHeight w:val="248"/>
        </w:trPr>
        <w:tc>
          <w:tcPr>
            <w:tcW w:w="3555" w:type="dxa"/>
            <w:vMerge/>
            <w:tcBorders>
              <w:top w:val="single" w:sz="4" w:space="0" w:color="auto"/>
              <w:left w:val="single" w:sz="4" w:space="0" w:color="auto"/>
              <w:bottom w:val="single" w:sz="4" w:space="0" w:color="auto"/>
              <w:right w:val="single" w:sz="4" w:space="0" w:color="auto"/>
            </w:tcBorders>
            <w:vAlign w:val="center"/>
            <w:hideMark/>
          </w:tcPr>
          <w:p w14:paraId="317DF05F" w14:textId="77777777" w:rsidR="00D33F7C" w:rsidRPr="00037B23" w:rsidRDefault="00D33F7C" w:rsidP="00E213CE">
            <w:pPr>
              <w:rPr>
                <w:rFonts w:ascii="Garamond" w:eastAsia="Times New Roman" w:hAnsi="Garamond" w:cs="Calibri"/>
                <w:b/>
                <w:bCs/>
                <w:color w:val="000000"/>
                <w:sz w:val="20"/>
                <w:szCs w:val="20"/>
                <w:lang w:val="en-IN" w:eastAsia="en-IN" w:bidi="hi-IN"/>
              </w:rPr>
            </w:pPr>
          </w:p>
        </w:tc>
        <w:tc>
          <w:tcPr>
            <w:tcW w:w="3326" w:type="dxa"/>
            <w:gridSpan w:val="3"/>
            <w:tcBorders>
              <w:top w:val="single" w:sz="4" w:space="0" w:color="auto"/>
              <w:left w:val="nil"/>
              <w:bottom w:val="single" w:sz="4" w:space="0" w:color="auto"/>
              <w:right w:val="single" w:sz="4" w:space="0" w:color="000000"/>
            </w:tcBorders>
            <w:shd w:val="clear" w:color="000000" w:fill="B4C6E7"/>
            <w:vAlign w:val="center"/>
            <w:hideMark/>
          </w:tcPr>
          <w:p w14:paraId="477B4B4C" w14:textId="77777777" w:rsidR="00D33F7C" w:rsidRPr="00037B23" w:rsidRDefault="00D33F7C" w:rsidP="00E213CE">
            <w:pPr>
              <w:jc w:val="center"/>
              <w:rPr>
                <w:rFonts w:ascii="Garamond" w:eastAsia="Times New Roman" w:hAnsi="Garamond" w:cs="Calibri"/>
                <w:b/>
                <w:bCs/>
                <w:color w:val="000000"/>
                <w:sz w:val="20"/>
                <w:szCs w:val="20"/>
                <w:lang w:val="en-IN" w:eastAsia="en-IN" w:bidi="hi-IN"/>
              </w:rPr>
            </w:pPr>
            <w:r w:rsidRPr="00037B23">
              <w:rPr>
                <w:rFonts w:ascii="Garamond" w:eastAsia="Times New Roman" w:hAnsi="Garamond" w:cs="Calibri"/>
                <w:b/>
                <w:bCs/>
                <w:color w:val="000000"/>
                <w:sz w:val="20"/>
                <w:szCs w:val="20"/>
                <w:lang w:val="en-IN" w:eastAsia="en-IN" w:bidi="hi-IN"/>
              </w:rPr>
              <w:t>Stock Index Futures</w:t>
            </w:r>
          </w:p>
        </w:tc>
        <w:tc>
          <w:tcPr>
            <w:tcW w:w="3372" w:type="dxa"/>
            <w:gridSpan w:val="3"/>
            <w:tcBorders>
              <w:top w:val="single" w:sz="4" w:space="0" w:color="auto"/>
              <w:left w:val="single" w:sz="4" w:space="0" w:color="auto"/>
              <w:bottom w:val="single" w:sz="4" w:space="0" w:color="auto"/>
              <w:right w:val="single" w:sz="4" w:space="0" w:color="000000"/>
            </w:tcBorders>
            <w:shd w:val="clear" w:color="000000" w:fill="B4C6E7"/>
            <w:vAlign w:val="center"/>
            <w:hideMark/>
          </w:tcPr>
          <w:p w14:paraId="600473D4" w14:textId="77777777" w:rsidR="00D33F7C" w:rsidRPr="00037B23" w:rsidRDefault="00D33F7C" w:rsidP="00E213CE">
            <w:pPr>
              <w:jc w:val="center"/>
              <w:rPr>
                <w:rFonts w:ascii="Garamond" w:eastAsia="Times New Roman" w:hAnsi="Garamond" w:cs="Calibri"/>
                <w:b/>
                <w:bCs/>
                <w:color w:val="000000"/>
                <w:sz w:val="20"/>
                <w:szCs w:val="20"/>
                <w:lang w:val="en-IN" w:eastAsia="en-IN" w:bidi="hi-IN"/>
              </w:rPr>
            </w:pPr>
            <w:r w:rsidRPr="00037B23">
              <w:rPr>
                <w:rFonts w:ascii="Garamond" w:eastAsia="Times New Roman" w:hAnsi="Garamond" w:cs="Calibri"/>
                <w:b/>
                <w:bCs/>
                <w:color w:val="000000"/>
                <w:sz w:val="20"/>
                <w:szCs w:val="20"/>
                <w:lang w:val="en-IN" w:eastAsia="en-IN" w:bidi="hi-IN"/>
              </w:rPr>
              <w:t>Stock Index Options</w:t>
            </w:r>
          </w:p>
        </w:tc>
      </w:tr>
      <w:tr w:rsidR="00D33F7C" w:rsidRPr="00037B23" w14:paraId="68A78627" w14:textId="77777777" w:rsidTr="00E213CE">
        <w:trPr>
          <w:trHeight w:val="645"/>
        </w:trPr>
        <w:tc>
          <w:tcPr>
            <w:tcW w:w="3555" w:type="dxa"/>
            <w:vMerge/>
            <w:tcBorders>
              <w:top w:val="single" w:sz="4" w:space="0" w:color="auto"/>
              <w:left w:val="single" w:sz="4" w:space="0" w:color="auto"/>
              <w:bottom w:val="single" w:sz="4" w:space="0" w:color="auto"/>
              <w:right w:val="single" w:sz="4" w:space="0" w:color="auto"/>
            </w:tcBorders>
            <w:vAlign w:val="center"/>
            <w:hideMark/>
          </w:tcPr>
          <w:p w14:paraId="186698BE" w14:textId="77777777" w:rsidR="00D33F7C" w:rsidRPr="00037B23" w:rsidRDefault="00D33F7C" w:rsidP="00E213CE">
            <w:pPr>
              <w:rPr>
                <w:rFonts w:ascii="Garamond" w:eastAsia="Times New Roman" w:hAnsi="Garamond" w:cs="Calibri"/>
                <w:b/>
                <w:bCs/>
                <w:color w:val="000000"/>
                <w:sz w:val="20"/>
                <w:szCs w:val="20"/>
                <w:lang w:val="en-IN" w:eastAsia="en-IN" w:bidi="hi-IN"/>
              </w:rPr>
            </w:pPr>
          </w:p>
        </w:tc>
        <w:tc>
          <w:tcPr>
            <w:tcW w:w="1110" w:type="dxa"/>
            <w:tcBorders>
              <w:top w:val="single" w:sz="4" w:space="0" w:color="auto"/>
              <w:left w:val="nil"/>
              <w:bottom w:val="single" w:sz="4" w:space="0" w:color="auto"/>
              <w:right w:val="single" w:sz="4" w:space="0" w:color="auto"/>
            </w:tcBorders>
            <w:shd w:val="clear" w:color="000000" w:fill="B4C6E7"/>
            <w:vAlign w:val="center"/>
            <w:hideMark/>
          </w:tcPr>
          <w:p w14:paraId="32FE7A87" w14:textId="77777777" w:rsidR="00D33F7C" w:rsidRPr="00037B23" w:rsidRDefault="00D33F7C" w:rsidP="00E213CE">
            <w:pPr>
              <w:jc w:val="center"/>
              <w:rPr>
                <w:rFonts w:ascii="Garamond" w:eastAsia="Times New Roman" w:hAnsi="Garamond" w:cs="Calibri"/>
                <w:b/>
                <w:bCs/>
                <w:color w:val="000000"/>
                <w:sz w:val="20"/>
                <w:szCs w:val="20"/>
                <w:lang w:val="en-IN" w:eastAsia="en-IN" w:bidi="hi-IN"/>
              </w:rPr>
            </w:pPr>
            <w:r w:rsidRPr="00037B23">
              <w:rPr>
                <w:rFonts w:ascii="Garamond" w:eastAsia="Times New Roman" w:hAnsi="Garamond" w:cs="Calibri"/>
                <w:b/>
                <w:bCs/>
                <w:color w:val="000000"/>
                <w:sz w:val="20"/>
                <w:szCs w:val="20"/>
                <w:lang w:val="en-IN" w:eastAsia="en-IN" w:bidi="hi-IN"/>
              </w:rPr>
              <w:t>Number of</w:t>
            </w:r>
            <w:r w:rsidRPr="00037B23">
              <w:rPr>
                <w:rFonts w:ascii="Garamond" w:eastAsia="Times New Roman" w:hAnsi="Garamond" w:cs="Calibri"/>
                <w:b/>
                <w:bCs/>
                <w:color w:val="000000"/>
                <w:sz w:val="20"/>
                <w:szCs w:val="20"/>
                <w:lang w:val="en-IN" w:eastAsia="en-IN" w:bidi="hi-IN"/>
              </w:rPr>
              <w:br/>
              <w:t>Contracts Traded</w:t>
            </w:r>
          </w:p>
        </w:tc>
        <w:tc>
          <w:tcPr>
            <w:tcW w:w="1108" w:type="dxa"/>
            <w:tcBorders>
              <w:top w:val="single" w:sz="4" w:space="0" w:color="auto"/>
              <w:left w:val="nil"/>
              <w:bottom w:val="single" w:sz="4" w:space="0" w:color="auto"/>
              <w:right w:val="single" w:sz="4" w:space="0" w:color="auto"/>
            </w:tcBorders>
            <w:shd w:val="clear" w:color="000000" w:fill="B4C6E7"/>
            <w:vAlign w:val="center"/>
            <w:hideMark/>
          </w:tcPr>
          <w:p w14:paraId="67AF6E26" w14:textId="77777777" w:rsidR="00D33F7C" w:rsidRPr="00037B23" w:rsidRDefault="00D33F7C" w:rsidP="00E213CE">
            <w:pPr>
              <w:jc w:val="center"/>
              <w:rPr>
                <w:rFonts w:ascii="Garamond" w:eastAsia="Times New Roman" w:hAnsi="Garamond" w:cs="Calibri"/>
                <w:b/>
                <w:bCs/>
                <w:color w:val="000000"/>
                <w:sz w:val="20"/>
                <w:szCs w:val="20"/>
                <w:lang w:val="en-IN" w:eastAsia="en-IN" w:bidi="hi-IN"/>
              </w:rPr>
            </w:pPr>
            <w:r w:rsidRPr="00037B23">
              <w:rPr>
                <w:rFonts w:ascii="Garamond" w:eastAsia="Times New Roman" w:hAnsi="Garamond" w:cs="Calibri"/>
                <w:b/>
                <w:bCs/>
                <w:color w:val="000000"/>
                <w:sz w:val="20"/>
                <w:szCs w:val="20"/>
                <w:lang w:val="en-IN" w:eastAsia="en-IN" w:bidi="hi-IN"/>
              </w:rPr>
              <w:t>Notional</w:t>
            </w:r>
            <w:r w:rsidRPr="00037B23">
              <w:rPr>
                <w:rFonts w:ascii="Garamond" w:eastAsia="Times New Roman" w:hAnsi="Garamond" w:cs="Calibri"/>
                <w:b/>
                <w:bCs/>
                <w:color w:val="000000"/>
                <w:sz w:val="20"/>
                <w:szCs w:val="20"/>
                <w:lang w:val="en-IN" w:eastAsia="en-IN" w:bidi="hi-IN"/>
              </w:rPr>
              <w:br/>
              <w:t>Turnover</w:t>
            </w:r>
          </w:p>
        </w:tc>
        <w:tc>
          <w:tcPr>
            <w:tcW w:w="1108" w:type="dxa"/>
            <w:tcBorders>
              <w:top w:val="single" w:sz="4" w:space="0" w:color="auto"/>
              <w:left w:val="nil"/>
              <w:bottom w:val="single" w:sz="4" w:space="0" w:color="auto"/>
              <w:right w:val="single" w:sz="4" w:space="0" w:color="auto"/>
            </w:tcBorders>
            <w:shd w:val="clear" w:color="000000" w:fill="B4C6E7"/>
            <w:vAlign w:val="center"/>
            <w:hideMark/>
          </w:tcPr>
          <w:p w14:paraId="5021913A" w14:textId="77777777" w:rsidR="00D33F7C" w:rsidRPr="00037B23" w:rsidRDefault="00D33F7C" w:rsidP="00E213CE">
            <w:pPr>
              <w:jc w:val="center"/>
              <w:rPr>
                <w:rFonts w:ascii="Garamond" w:eastAsia="Times New Roman" w:hAnsi="Garamond" w:cs="Calibri"/>
                <w:b/>
                <w:bCs/>
                <w:color w:val="000000"/>
                <w:sz w:val="20"/>
                <w:szCs w:val="20"/>
                <w:lang w:val="en-IN" w:eastAsia="en-IN" w:bidi="hi-IN"/>
              </w:rPr>
            </w:pPr>
            <w:r w:rsidRPr="00037B23">
              <w:rPr>
                <w:rFonts w:ascii="Garamond" w:eastAsia="Times New Roman" w:hAnsi="Garamond" w:cs="Calibri"/>
                <w:b/>
                <w:bCs/>
                <w:color w:val="000000"/>
                <w:sz w:val="20"/>
                <w:szCs w:val="20"/>
                <w:lang w:val="en-IN" w:eastAsia="en-IN" w:bidi="hi-IN"/>
              </w:rPr>
              <w:t>Open</w:t>
            </w:r>
            <w:r w:rsidRPr="00037B23">
              <w:rPr>
                <w:rFonts w:ascii="Garamond" w:eastAsia="Times New Roman" w:hAnsi="Garamond" w:cs="Calibri"/>
                <w:b/>
                <w:bCs/>
                <w:color w:val="000000"/>
                <w:sz w:val="20"/>
                <w:szCs w:val="20"/>
                <w:lang w:val="en-IN" w:eastAsia="en-IN" w:bidi="hi-IN"/>
              </w:rPr>
              <w:br/>
              <w:t>Interest</w:t>
            </w:r>
          </w:p>
        </w:tc>
        <w:tc>
          <w:tcPr>
            <w:tcW w:w="1156" w:type="dxa"/>
            <w:tcBorders>
              <w:top w:val="single" w:sz="4" w:space="0" w:color="auto"/>
              <w:left w:val="nil"/>
              <w:bottom w:val="single" w:sz="4" w:space="0" w:color="auto"/>
              <w:right w:val="single" w:sz="4" w:space="0" w:color="auto"/>
            </w:tcBorders>
            <w:shd w:val="clear" w:color="000000" w:fill="B4C6E7"/>
            <w:vAlign w:val="center"/>
            <w:hideMark/>
          </w:tcPr>
          <w:p w14:paraId="32CD4DB7" w14:textId="77777777" w:rsidR="00D33F7C" w:rsidRPr="00037B23" w:rsidRDefault="00D33F7C" w:rsidP="00E213CE">
            <w:pPr>
              <w:jc w:val="center"/>
              <w:rPr>
                <w:rFonts w:ascii="Garamond" w:eastAsia="Times New Roman" w:hAnsi="Garamond" w:cs="Calibri"/>
                <w:b/>
                <w:bCs/>
                <w:color w:val="000000"/>
                <w:sz w:val="20"/>
                <w:szCs w:val="20"/>
                <w:lang w:val="en-IN" w:eastAsia="en-IN" w:bidi="hi-IN"/>
              </w:rPr>
            </w:pPr>
            <w:r w:rsidRPr="00037B23">
              <w:rPr>
                <w:rFonts w:ascii="Garamond" w:eastAsia="Times New Roman" w:hAnsi="Garamond" w:cs="Calibri"/>
                <w:b/>
                <w:bCs/>
                <w:color w:val="000000"/>
                <w:sz w:val="20"/>
                <w:szCs w:val="20"/>
                <w:lang w:val="en-IN" w:eastAsia="en-IN" w:bidi="hi-IN"/>
              </w:rPr>
              <w:t>Number of</w:t>
            </w:r>
            <w:r w:rsidRPr="00037B23">
              <w:rPr>
                <w:rFonts w:ascii="Garamond" w:eastAsia="Times New Roman" w:hAnsi="Garamond" w:cs="Calibri"/>
                <w:b/>
                <w:bCs/>
                <w:color w:val="000000"/>
                <w:sz w:val="20"/>
                <w:szCs w:val="20"/>
                <w:lang w:val="en-IN" w:eastAsia="en-IN" w:bidi="hi-IN"/>
              </w:rPr>
              <w:br/>
              <w:t>Contracts Traded</w:t>
            </w:r>
          </w:p>
        </w:tc>
        <w:tc>
          <w:tcPr>
            <w:tcW w:w="1108" w:type="dxa"/>
            <w:tcBorders>
              <w:top w:val="single" w:sz="4" w:space="0" w:color="auto"/>
              <w:left w:val="nil"/>
              <w:bottom w:val="single" w:sz="4" w:space="0" w:color="auto"/>
              <w:right w:val="single" w:sz="4" w:space="0" w:color="auto"/>
            </w:tcBorders>
            <w:shd w:val="clear" w:color="000000" w:fill="B4C6E7"/>
            <w:vAlign w:val="center"/>
            <w:hideMark/>
          </w:tcPr>
          <w:p w14:paraId="092B31B0" w14:textId="77777777" w:rsidR="00D33F7C" w:rsidRPr="00037B23" w:rsidRDefault="00D33F7C" w:rsidP="00E213CE">
            <w:pPr>
              <w:jc w:val="center"/>
              <w:rPr>
                <w:rFonts w:ascii="Garamond" w:eastAsia="Times New Roman" w:hAnsi="Garamond" w:cs="Calibri"/>
                <w:b/>
                <w:bCs/>
                <w:color w:val="000000"/>
                <w:sz w:val="20"/>
                <w:szCs w:val="20"/>
                <w:lang w:val="en-IN" w:eastAsia="en-IN" w:bidi="hi-IN"/>
              </w:rPr>
            </w:pPr>
            <w:r w:rsidRPr="00037B23">
              <w:rPr>
                <w:rFonts w:ascii="Garamond" w:eastAsia="Times New Roman" w:hAnsi="Garamond" w:cs="Calibri"/>
                <w:b/>
                <w:bCs/>
                <w:color w:val="000000"/>
                <w:sz w:val="20"/>
                <w:szCs w:val="20"/>
                <w:lang w:val="en-IN" w:eastAsia="en-IN" w:bidi="hi-IN"/>
              </w:rPr>
              <w:t>Notional</w:t>
            </w:r>
            <w:r w:rsidRPr="00037B23">
              <w:rPr>
                <w:rFonts w:ascii="Garamond" w:eastAsia="Times New Roman" w:hAnsi="Garamond" w:cs="Calibri"/>
                <w:b/>
                <w:bCs/>
                <w:color w:val="000000"/>
                <w:sz w:val="20"/>
                <w:szCs w:val="20"/>
                <w:lang w:val="en-IN" w:eastAsia="en-IN" w:bidi="hi-IN"/>
              </w:rPr>
              <w:br/>
              <w:t>Turnover</w:t>
            </w:r>
          </w:p>
        </w:tc>
        <w:tc>
          <w:tcPr>
            <w:tcW w:w="1108" w:type="dxa"/>
            <w:tcBorders>
              <w:top w:val="single" w:sz="4" w:space="0" w:color="auto"/>
              <w:left w:val="nil"/>
              <w:bottom w:val="single" w:sz="4" w:space="0" w:color="auto"/>
              <w:right w:val="single" w:sz="4" w:space="0" w:color="auto"/>
            </w:tcBorders>
            <w:shd w:val="clear" w:color="000000" w:fill="B4C6E7"/>
            <w:vAlign w:val="center"/>
            <w:hideMark/>
          </w:tcPr>
          <w:p w14:paraId="591DD5FF" w14:textId="77777777" w:rsidR="00D33F7C" w:rsidRPr="00037B23" w:rsidRDefault="00D33F7C" w:rsidP="00E213CE">
            <w:pPr>
              <w:jc w:val="center"/>
              <w:rPr>
                <w:rFonts w:ascii="Garamond" w:eastAsia="Times New Roman" w:hAnsi="Garamond" w:cs="Calibri"/>
                <w:b/>
                <w:bCs/>
                <w:color w:val="000000"/>
                <w:sz w:val="20"/>
                <w:szCs w:val="20"/>
                <w:lang w:val="en-IN" w:eastAsia="en-IN" w:bidi="hi-IN"/>
              </w:rPr>
            </w:pPr>
            <w:r w:rsidRPr="00037B23">
              <w:rPr>
                <w:rFonts w:ascii="Garamond" w:eastAsia="Times New Roman" w:hAnsi="Garamond" w:cs="Calibri"/>
                <w:b/>
                <w:bCs/>
                <w:color w:val="000000"/>
                <w:sz w:val="20"/>
                <w:szCs w:val="20"/>
                <w:lang w:val="en-IN" w:eastAsia="en-IN" w:bidi="hi-IN"/>
              </w:rPr>
              <w:t>Open</w:t>
            </w:r>
            <w:r w:rsidRPr="00037B23">
              <w:rPr>
                <w:rFonts w:ascii="Garamond" w:eastAsia="Times New Roman" w:hAnsi="Garamond" w:cs="Calibri"/>
                <w:b/>
                <w:bCs/>
                <w:color w:val="000000"/>
                <w:sz w:val="20"/>
                <w:szCs w:val="20"/>
                <w:lang w:val="en-IN" w:eastAsia="en-IN" w:bidi="hi-IN"/>
              </w:rPr>
              <w:br/>
              <w:t>Interest</w:t>
            </w:r>
          </w:p>
        </w:tc>
      </w:tr>
      <w:tr w:rsidR="00D33F7C" w:rsidRPr="00037B23" w14:paraId="3B567F26" w14:textId="77777777" w:rsidTr="00E213CE">
        <w:trPr>
          <w:trHeight w:val="248"/>
        </w:trPr>
        <w:tc>
          <w:tcPr>
            <w:tcW w:w="3555" w:type="dxa"/>
            <w:tcBorders>
              <w:top w:val="nil"/>
              <w:left w:val="single" w:sz="4" w:space="0" w:color="auto"/>
              <w:bottom w:val="nil"/>
              <w:right w:val="nil"/>
            </w:tcBorders>
            <w:shd w:val="clear" w:color="000000" w:fill="B4C6E7"/>
            <w:vAlign w:val="center"/>
            <w:hideMark/>
          </w:tcPr>
          <w:p w14:paraId="7DD2834B"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B3 - Brasil Bolsa Balcão</w:t>
            </w:r>
          </w:p>
        </w:tc>
        <w:tc>
          <w:tcPr>
            <w:tcW w:w="1110" w:type="dxa"/>
            <w:tcBorders>
              <w:top w:val="single" w:sz="8" w:space="0" w:color="auto"/>
              <w:left w:val="single" w:sz="8" w:space="0" w:color="auto"/>
              <w:bottom w:val="nil"/>
              <w:right w:val="single" w:sz="8" w:space="0" w:color="auto"/>
            </w:tcBorders>
            <w:shd w:val="clear" w:color="auto" w:fill="auto"/>
            <w:vAlign w:val="center"/>
            <w:hideMark/>
          </w:tcPr>
          <w:p w14:paraId="1003E17D"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324,939,722</w:t>
            </w:r>
          </w:p>
        </w:tc>
        <w:tc>
          <w:tcPr>
            <w:tcW w:w="1108" w:type="dxa"/>
            <w:tcBorders>
              <w:top w:val="single" w:sz="8" w:space="0" w:color="auto"/>
              <w:left w:val="nil"/>
              <w:bottom w:val="nil"/>
              <w:right w:val="single" w:sz="8" w:space="0" w:color="auto"/>
            </w:tcBorders>
            <w:shd w:val="clear" w:color="auto" w:fill="auto"/>
            <w:vAlign w:val="center"/>
            <w:hideMark/>
          </w:tcPr>
          <w:p w14:paraId="7FEE3B05"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1,578,406</w:t>
            </w:r>
          </w:p>
        </w:tc>
        <w:tc>
          <w:tcPr>
            <w:tcW w:w="1108" w:type="dxa"/>
            <w:tcBorders>
              <w:top w:val="single" w:sz="8" w:space="0" w:color="auto"/>
              <w:left w:val="nil"/>
              <w:bottom w:val="nil"/>
              <w:right w:val="single" w:sz="8" w:space="0" w:color="auto"/>
            </w:tcBorders>
            <w:shd w:val="clear" w:color="auto" w:fill="auto"/>
            <w:vAlign w:val="center"/>
            <w:hideMark/>
          </w:tcPr>
          <w:p w14:paraId="715B1B03"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1,484,913</w:t>
            </w:r>
          </w:p>
        </w:tc>
        <w:tc>
          <w:tcPr>
            <w:tcW w:w="1156" w:type="dxa"/>
            <w:tcBorders>
              <w:top w:val="single" w:sz="8" w:space="0" w:color="auto"/>
              <w:left w:val="nil"/>
              <w:bottom w:val="nil"/>
              <w:right w:val="single" w:sz="8" w:space="0" w:color="auto"/>
            </w:tcBorders>
            <w:shd w:val="clear" w:color="auto" w:fill="auto"/>
            <w:vAlign w:val="center"/>
            <w:hideMark/>
          </w:tcPr>
          <w:p w14:paraId="4F282705"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3,903,763</w:t>
            </w:r>
          </w:p>
        </w:tc>
        <w:tc>
          <w:tcPr>
            <w:tcW w:w="1108" w:type="dxa"/>
            <w:tcBorders>
              <w:top w:val="single" w:sz="8" w:space="0" w:color="auto"/>
              <w:left w:val="nil"/>
              <w:bottom w:val="nil"/>
              <w:right w:val="single" w:sz="8" w:space="0" w:color="auto"/>
            </w:tcBorders>
            <w:shd w:val="clear" w:color="auto" w:fill="auto"/>
            <w:vAlign w:val="center"/>
            <w:hideMark/>
          </w:tcPr>
          <w:p w14:paraId="526DB811"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6,013</w:t>
            </w:r>
          </w:p>
        </w:tc>
        <w:tc>
          <w:tcPr>
            <w:tcW w:w="1108" w:type="dxa"/>
            <w:tcBorders>
              <w:top w:val="single" w:sz="8" w:space="0" w:color="auto"/>
              <w:left w:val="nil"/>
              <w:bottom w:val="nil"/>
              <w:right w:val="single" w:sz="8" w:space="0" w:color="auto"/>
            </w:tcBorders>
            <w:shd w:val="clear" w:color="auto" w:fill="auto"/>
            <w:vAlign w:val="center"/>
            <w:hideMark/>
          </w:tcPr>
          <w:p w14:paraId="563B486E"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585,206</w:t>
            </w:r>
          </w:p>
        </w:tc>
      </w:tr>
      <w:tr w:rsidR="00D33F7C" w:rsidRPr="00037B23" w14:paraId="7806696D" w14:textId="77777777" w:rsidTr="00E213CE">
        <w:trPr>
          <w:trHeight w:val="248"/>
        </w:trPr>
        <w:tc>
          <w:tcPr>
            <w:tcW w:w="3555" w:type="dxa"/>
            <w:tcBorders>
              <w:top w:val="nil"/>
              <w:left w:val="single" w:sz="4" w:space="0" w:color="auto"/>
              <w:bottom w:val="nil"/>
              <w:right w:val="nil"/>
            </w:tcBorders>
            <w:shd w:val="clear" w:color="000000" w:fill="B4C6E7"/>
            <w:vAlign w:val="center"/>
            <w:hideMark/>
          </w:tcPr>
          <w:p w14:paraId="0058B0D2"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Bolsa de Valores de Colombia</w:t>
            </w:r>
          </w:p>
        </w:tc>
        <w:tc>
          <w:tcPr>
            <w:tcW w:w="1110" w:type="dxa"/>
            <w:tcBorders>
              <w:top w:val="nil"/>
              <w:left w:val="single" w:sz="8" w:space="0" w:color="auto"/>
              <w:bottom w:val="nil"/>
              <w:right w:val="single" w:sz="8" w:space="0" w:color="auto"/>
            </w:tcBorders>
            <w:shd w:val="clear" w:color="auto" w:fill="auto"/>
            <w:vAlign w:val="center"/>
            <w:hideMark/>
          </w:tcPr>
          <w:p w14:paraId="65841DDC"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4,570</w:t>
            </w:r>
          </w:p>
        </w:tc>
        <w:tc>
          <w:tcPr>
            <w:tcW w:w="1108" w:type="dxa"/>
            <w:tcBorders>
              <w:top w:val="nil"/>
              <w:left w:val="nil"/>
              <w:bottom w:val="nil"/>
              <w:right w:val="single" w:sz="8" w:space="0" w:color="auto"/>
            </w:tcBorders>
            <w:shd w:val="clear" w:color="auto" w:fill="auto"/>
            <w:vAlign w:val="center"/>
            <w:hideMark/>
          </w:tcPr>
          <w:p w14:paraId="187A7C42"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4</w:t>
            </w:r>
          </w:p>
        </w:tc>
        <w:tc>
          <w:tcPr>
            <w:tcW w:w="1108" w:type="dxa"/>
            <w:tcBorders>
              <w:top w:val="nil"/>
              <w:left w:val="nil"/>
              <w:bottom w:val="nil"/>
              <w:right w:val="single" w:sz="8" w:space="0" w:color="auto"/>
            </w:tcBorders>
            <w:shd w:val="clear" w:color="auto" w:fill="auto"/>
            <w:vAlign w:val="center"/>
            <w:hideMark/>
          </w:tcPr>
          <w:p w14:paraId="2DFDB117"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5,125</w:t>
            </w:r>
          </w:p>
        </w:tc>
        <w:tc>
          <w:tcPr>
            <w:tcW w:w="1156" w:type="dxa"/>
            <w:tcBorders>
              <w:top w:val="nil"/>
              <w:left w:val="nil"/>
              <w:bottom w:val="nil"/>
              <w:right w:val="single" w:sz="8" w:space="0" w:color="auto"/>
            </w:tcBorders>
            <w:shd w:val="clear" w:color="auto" w:fill="auto"/>
            <w:vAlign w:val="center"/>
            <w:hideMark/>
          </w:tcPr>
          <w:p w14:paraId="787F9346"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1108" w:type="dxa"/>
            <w:tcBorders>
              <w:top w:val="nil"/>
              <w:left w:val="nil"/>
              <w:bottom w:val="nil"/>
              <w:right w:val="single" w:sz="8" w:space="0" w:color="auto"/>
            </w:tcBorders>
            <w:shd w:val="clear" w:color="auto" w:fill="auto"/>
            <w:vAlign w:val="center"/>
            <w:hideMark/>
          </w:tcPr>
          <w:p w14:paraId="5141CF0D"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1108" w:type="dxa"/>
            <w:tcBorders>
              <w:top w:val="nil"/>
              <w:left w:val="nil"/>
              <w:bottom w:val="nil"/>
              <w:right w:val="single" w:sz="8" w:space="0" w:color="auto"/>
            </w:tcBorders>
            <w:shd w:val="clear" w:color="auto" w:fill="auto"/>
            <w:vAlign w:val="center"/>
            <w:hideMark/>
          </w:tcPr>
          <w:p w14:paraId="64B111D8"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r>
      <w:tr w:rsidR="00D33F7C" w:rsidRPr="00037B23" w14:paraId="500C4224" w14:textId="77777777" w:rsidTr="00E213CE">
        <w:trPr>
          <w:trHeight w:val="248"/>
        </w:trPr>
        <w:tc>
          <w:tcPr>
            <w:tcW w:w="3555" w:type="dxa"/>
            <w:tcBorders>
              <w:top w:val="nil"/>
              <w:left w:val="single" w:sz="4" w:space="0" w:color="auto"/>
              <w:bottom w:val="nil"/>
              <w:right w:val="nil"/>
            </w:tcBorders>
            <w:shd w:val="clear" w:color="000000" w:fill="B4C6E7"/>
            <w:vAlign w:val="center"/>
            <w:hideMark/>
          </w:tcPr>
          <w:p w14:paraId="29077243"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Bolsa Mexicana de Valores</w:t>
            </w:r>
          </w:p>
        </w:tc>
        <w:tc>
          <w:tcPr>
            <w:tcW w:w="1110" w:type="dxa"/>
            <w:tcBorders>
              <w:top w:val="nil"/>
              <w:left w:val="single" w:sz="8" w:space="0" w:color="auto"/>
              <w:bottom w:val="nil"/>
              <w:right w:val="single" w:sz="8" w:space="0" w:color="auto"/>
            </w:tcBorders>
            <w:shd w:val="clear" w:color="auto" w:fill="auto"/>
            <w:vAlign w:val="center"/>
            <w:hideMark/>
          </w:tcPr>
          <w:p w14:paraId="1DB72AF7"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15,373</w:t>
            </w:r>
          </w:p>
        </w:tc>
        <w:tc>
          <w:tcPr>
            <w:tcW w:w="1108" w:type="dxa"/>
            <w:tcBorders>
              <w:top w:val="nil"/>
              <w:left w:val="nil"/>
              <w:bottom w:val="nil"/>
              <w:right w:val="single" w:sz="8" w:space="0" w:color="auto"/>
            </w:tcBorders>
            <w:shd w:val="clear" w:color="auto" w:fill="auto"/>
            <w:vAlign w:val="center"/>
            <w:hideMark/>
          </w:tcPr>
          <w:p w14:paraId="16F8092B"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374</w:t>
            </w:r>
          </w:p>
        </w:tc>
        <w:tc>
          <w:tcPr>
            <w:tcW w:w="1108" w:type="dxa"/>
            <w:tcBorders>
              <w:top w:val="nil"/>
              <w:left w:val="nil"/>
              <w:bottom w:val="nil"/>
              <w:right w:val="single" w:sz="8" w:space="0" w:color="auto"/>
            </w:tcBorders>
            <w:shd w:val="clear" w:color="auto" w:fill="auto"/>
            <w:vAlign w:val="center"/>
            <w:hideMark/>
          </w:tcPr>
          <w:p w14:paraId="44847C61"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18,420</w:t>
            </w:r>
          </w:p>
        </w:tc>
        <w:tc>
          <w:tcPr>
            <w:tcW w:w="1156" w:type="dxa"/>
            <w:tcBorders>
              <w:top w:val="nil"/>
              <w:left w:val="nil"/>
              <w:bottom w:val="nil"/>
              <w:right w:val="single" w:sz="8" w:space="0" w:color="auto"/>
            </w:tcBorders>
            <w:shd w:val="clear" w:color="auto" w:fill="auto"/>
            <w:vAlign w:val="center"/>
            <w:hideMark/>
          </w:tcPr>
          <w:p w14:paraId="29A47333"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261</w:t>
            </w:r>
          </w:p>
        </w:tc>
        <w:tc>
          <w:tcPr>
            <w:tcW w:w="1108" w:type="dxa"/>
            <w:tcBorders>
              <w:top w:val="nil"/>
              <w:left w:val="nil"/>
              <w:bottom w:val="nil"/>
              <w:right w:val="single" w:sz="8" w:space="0" w:color="auto"/>
            </w:tcBorders>
            <w:shd w:val="clear" w:color="auto" w:fill="auto"/>
            <w:vAlign w:val="center"/>
            <w:hideMark/>
          </w:tcPr>
          <w:p w14:paraId="24E43CD4"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7</w:t>
            </w:r>
          </w:p>
        </w:tc>
        <w:tc>
          <w:tcPr>
            <w:tcW w:w="1108" w:type="dxa"/>
            <w:tcBorders>
              <w:top w:val="nil"/>
              <w:left w:val="nil"/>
              <w:bottom w:val="nil"/>
              <w:right w:val="single" w:sz="8" w:space="0" w:color="auto"/>
            </w:tcBorders>
            <w:shd w:val="clear" w:color="auto" w:fill="auto"/>
            <w:vAlign w:val="center"/>
            <w:hideMark/>
          </w:tcPr>
          <w:p w14:paraId="62FE4790"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358</w:t>
            </w:r>
          </w:p>
        </w:tc>
      </w:tr>
      <w:tr w:rsidR="00D33F7C" w:rsidRPr="00037B23" w14:paraId="0F2F0D27" w14:textId="77777777" w:rsidTr="00E213CE">
        <w:trPr>
          <w:trHeight w:val="248"/>
        </w:trPr>
        <w:tc>
          <w:tcPr>
            <w:tcW w:w="3555" w:type="dxa"/>
            <w:tcBorders>
              <w:top w:val="nil"/>
              <w:left w:val="single" w:sz="4" w:space="0" w:color="auto"/>
              <w:bottom w:val="nil"/>
              <w:right w:val="nil"/>
            </w:tcBorders>
            <w:shd w:val="clear" w:color="000000" w:fill="B4C6E7"/>
            <w:vAlign w:val="center"/>
            <w:hideMark/>
          </w:tcPr>
          <w:p w14:paraId="01524F53"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Cboe Global Markets</w:t>
            </w:r>
          </w:p>
        </w:tc>
        <w:tc>
          <w:tcPr>
            <w:tcW w:w="1110" w:type="dxa"/>
            <w:tcBorders>
              <w:top w:val="nil"/>
              <w:left w:val="single" w:sz="8" w:space="0" w:color="auto"/>
              <w:bottom w:val="nil"/>
              <w:right w:val="single" w:sz="8" w:space="0" w:color="auto"/>
            </w:tcBorders>
            <w:shd w:val="clear" w:color="auto" w:fill="auto"/>
            <w:vAlign w:val="center"/>
            <w:hideMark/>
          </w:tcPr>
          <w:p w14:paraId="4DB9DA60"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1108" w:type="dxa"/>
            <w:tcBorders>
              <w:top w:val="nil"/>
              <w:left w:val="nil"/>
              <w:bottom w:val="nil"/>
              <w:right w:val="single" w:sz="8" w:space="0" w:color="auto"/>
            </w:tcBorders>
            <w:shd w:val="clear" w:color="auto" w:fill="auto"/>
            <w:vAlign w:val="center"/>
            <w:hideMark/>
          </w:tcPr>
          <w:p w14:paraId="6DFB69B1"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1108" w:type="dxa"/>
            <w:tcBorders>
              <w:top w:val="nil"/>
              <w:left w:val="nil"/>
              <w:bottom w:val="nil"/>
              <w:right w:val="single" w:sz="8" w:space="0" w:color="auto"/>
            </w:tcBorders>
            <w:shd w:val="clear" w:color="auto" w:fill="auto"/>
            <w:vAlign w:val="center"/>
            <w:hideMark/>
          </w:tcPr>
          <w:p w14:paraId="6112A848"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1156" w:type="dxa"/>
            <w:tcBorders>
              <w:top w:val="nil"/>
              <w:left w:val="nil"/>
              <w:bottom w:val="nil"/>
              <w:right w:val="single" w:sz="8" w:space="0" w:color="auto"/>
            </w:tcBorders>
            <w:shd w:val="clear" w:color="auto" w:fill="auto"/>
            <w:vAlign w:val="center"/>
            <w:hideMark/>
          </w:tcPr>
          <w:p w14:paraId="23CEAB19"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39,975,754</w:t>
            </w:r>
          </w:p>
        </w:tc>
        <w:tc>
          <w:tcPr>
            <w:tcW w:w="1108" w:type="dxa"/>
            <w:tcBorders>
              <w:top w:val="nil"/>
              <w:left w:val="nil"/>
              <w:bottom w:val="nil"/>
              <w:right w:val="single" w:sz="8" w:space="0" w:color="auto"/>
            </w:tcBorders>
            <w:shd w:val="clear" w:color="auto" w:fill="auto"/>
            <w:vAlign w:val="center"/>
            <w:hideMark/>
          </w:tcPr>
          <w:p w14:paraId="4A86A8DC"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1108" w:type="dxa"/>
            <w:tcBorders>
              <w:top w:val="nil"/>
              <w:left w:val="nil"/>
              <w:bottom w:val="nil"/>
              <w:right w:val="single" w:sz="8" w:space="0" w:color="auto"/>
            </w:tcBorders>
            <w:shd w:val="clear" w:color="auto" w:fill="auto"/>
            <w:vAlign w:val="center"/>
            <w:hideMark/>
          </w:tcPr>
          <w:p w14:paraId="2B08E467"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24,933,302</w:t>
            </w:r>
          </w:p>
        </w:tc>
      </w:tr>
      <w:tr w:rsidR="00D33F7C" w:rsidRPr="00037B23" w14:paraId="6F48DC65" w14:textId="77777777" w:rsidTr="00E213CE">
        <w:trPr>
          <w:trHeight w:val="248"/>
        </w:trPr>
        <w:tc>
          <w:tcPr>
            <w:tcW w:w="3555" w:type="dxa"/>
            <w:tcBorders>
              <w:top w:val="nil"/>
              <w:left w:val="single" w:sz="4" w:space="0" w:color="auto"/>
              <w:bottom w:val="nil"/>
              <w:right w:val="nil"/>
            </w:tcBorders>
            <w:shd w:val="clear" w:color="000000" w:fill="B4C6E7"/>
            <w:vAlign w:val="center"/>
            <w:hideMark/>
          </w:tcPr>
          <w:p w14:paraId="1B183A75"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Nasdaq - US</w:t>
            </w:r>
          </w:p>
        </w:tc>
        <w:tc>
          <w:tcPr>
            <w:tcW w:w="1110" w:type="dxa"/>
            <w:tcBorders>
              <w:top w:val="nil"/>
              <w:left w:val="single" w:sz="8" w:space="0" w:color="auto"/>
              <w:bottom w:val="nil"/>
              <w:right w:val="single" w:sz="8" w:space="0" w:color="auto"/>
            </w:tcBorders>
            <w:shd w:val="clear" w:color="auto" w:fill="auto"/>
            <w:vAlign w:val="center"/>
            <w:hideMark/>
          </w:tcPr>
          <w:p w14:paraId="0B875135"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1108" w:type="dxa"/>
            <w:tcBorders>
              <w:top w:val="nil"/>
              <w:left w:val="nil"/>
              <w:bottom w:val="nil"/>
              <w:right w:val="single" w:sz="8" w:space="0" w:color="auto"/>
            </w:tcBorders>
            <w:shd w:val="clear" w:color="auto" w:fill="auto"/>
            <w:vAlign w:val="center"/>
            <w:hideMark/>
          </w:tcPr>
          <w:p w14:paraId="6143024B"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1108" w:type="dxa"/>
            <w:tcBorders>
              <w:top w:val="nil"/>
              <w:left w:val="nil"/>
              <w:bottom w:val="nil"/>
              <w:right w:val="single" w:sz="8" w:space="0" w:color="auto"/>
            </w:tcBorders>
            <w:shd w:val="clear" w:color="auto" w:fill="auto"/>
            <w:vAlign w:val="center"/>
            <w:hideMark/>
          </w:tcPr>
          <w:p w14:paraId="62BBDF3F"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1156" w:type="dxa"/>
            <w:tcBorders>
              <w:top w:val="nil"/>
              <w:left w:val="nil"/>
              <w:bottom w:val="nil"/>
              <w:right w:val="single" w:sz="8" w:space="0" w:color="auto"/>
            </w:tcBorders>
            <w:shd w:val="clear" w:color="auto" w:fill="auto"/>
            <w:vAlign w:val="center"/>
            <w:hideMark/>
          </w:tcPr>
          <w:p w14:paraId="5C705238"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551,610</w:t>
            </w:r>
          </w:p>
        </w:tc>
        <w:tc>
          <w:tcPr>
            <w:tcW w:w="1108" w:type="dxa"/>
            <w:tcBorders>
              <w:top w:val="nil"/>
              <w:left w:val="nil"/>
              <w:bottom w:val="nil"/>
              <w:right w:val="single" w:sz="8" w:space="0" w:color="auto"/>
            </w:tcBorders>
            <w:shd w:val="clear" w:color="auto" w:fill="auto"/>
            <w:vAlign w:val="center"/>
            <w:hideMark/>
          </w:tcPr>
          <w:p w14:paraId="5C0F227B"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1108" w:type="dxa"/>
            <w:tcBorders>
              <w:top w:val="nil"/>
              <w:left w:val="nil"/>
              <w:bottom w:val="nil"/>
              <w:right w:val="single" w:sz="8" w:space="0" w:color="auto"/>
            </w:tcBorders>
            <w:shd w:val="clear" w:color="auto" w:fill="auto"/>
            <w:vAlign w:val="center"/>
            <w:hideMark/>
          </w:tcPr>
          <w:p w14:paraId="4BAAB75A"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r>
      <w:tr w:rsidR="00D33F7C" w:rsidRPr="00037B23" w14:paraId="2037BB2A" w14:textId="77777777" w:rsidTr="00E213CE">
        <w:trPr>
          <w:trHeight w:val="248"/>
        </w:trPr>
        <w:tc>
          <w:tcPr>
            <w:tcW w:w="3555" w:type="dxa"/>
            <w:tcBorders>
              <w:top w:val="nil"/>
              <w:left w:val="single" w:sz="4" w:space="0" w:color="auto"/>
              <w:bottom w:val="nil"/>
              <w:right w:val="nil"/>
            </w:tcBorders>
            <w:shd w:val="clear" w:color="000000" w:fill="B4C6E7"/>
            <w:vAlign w:val="center"/>
            <w:hideMark/>
          </w:tcPr>
          <w:p w14:paraId="593C13B0"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MIAX Exchange Group</w:t>
            </w:r>
          </w:p>
        </w:tc>
        <w:tc>
          <w:tcPr>
            <w:tcW w:w="1110" w:type="dxa"/>
            <w:tcBorders>
              <w:top w:val="nil"/>
              <w:left w:val="single" w:sz="8" w:space="0" w:color="auto"/>
              <w:bottom w:val="nil"/>
              <w:right w:val="single" w:sz="8" w:space="0" w:color="auto"/>
            </w:tcBorders>
            <w:shd w:val="clear" w:color="auto" w:fill="auto"/>
            <w:vAlign w:val="center"/>
            <w:hideMark/>
          </w:tcPr>
          <w:p w14:paraId="70CC30A9"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1108" w:type="dxa"/>
            <w:tcBorders>
              <w:top w:val="nil"/>
              <w:left w:val="nil"/>
              <w:bottom w:val="nil"/>
              <w:right w:val="single" w:sz="8" w:space="0" w:color="auto"/>
            </w:tcBorders>
            <w:shd w:val="clear" w:color="auto" w:fill="auto"/>
            <w:vAlign w:val="center"/>
            <w:hideMark/>
          </w:tcPr>
          <w:p w14:paraId="6473A88C"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1108" w:type="dxa"/>
            <w:tcBorders>
              <w:top w:val="nil"/>
              <w:left w:val="nil"/>
              <w:bottom w:val="nil"/>
              <w:right w:val="single" w:sz="8" w:space="0" w:color="auto"/>
            </w:tcBorders>
            <w:shd w:val="clear" w:color="auto" w:fill="auto"/>
            <w:vAlign w:val="center"/>
            <w:hideMark/>
          </w:tcPr>
          <w:p w14:paraId="4415E517"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1156" w:type="dxa"/>
            <w:tcBorders>
              <w:top w:val="nil"/>
              <w:left w:val="nil"/>
              <w:bottom w:val="nil"/>
              <w:right w:val="single" w:sz="8" w:space="0" w:color="auto"/>
            </w:tcBorders>
            <w:shd w:val="clear" w:color="auto" w:fill="auto"/>
            <w:vAlign w:val="center"/>
            <w:hideMark/>
          </w:tcPr>
          <w:p w14:paraId="17028238"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4,506</w:t>
            </w:r>
          </w:p>
        </w:tc>
        <w:tc>
          <w:tcPr>
            <w:tcW w:w="1108" w:type="dxa"/>
            <w:tcBorders>
              <w:top w:val="nil"/>
              <w:left w:val="nil"/>
              <w:bottom w:val="nil"/>
              <w:right w:val="single" w:sz="8" w:space="0" w:color="auto"/>
            </w:tcBorders>
            <w:shd w:val="clear" w:color="auto" w:fill="auto"/>
            <w:vAlign w:val="center"/>
            <w:hideMark/>
          </w:tcPr>
          <w:p w14:paraId="564A502C"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12</w:t>
            </w:r>
          </w:p>
        </w:tc>
        <w:tc>
          <w:tcPr>
            <w:tcW w:w="1108" w:type="dxa"/>
            <w:tcBorders>
              <w:top w:val="nil"/>
              <w:left w:val="nil"/>
              <w:bottom w:val="nil"/>
              <w:right w:val="single" w:sz="8" w:space="0" w:color="auto"/>
            </w:tcBorders>
            <w:shd w:val="clear" w:color="auto" w:fill="auto"/>
            <w:vAlign w:val="center"/>
            <w:hideMark/>
          </w:tcPr>
          <w:p w14:paraId="7BF279CE"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r>
      <w:tr w:rsidR="00D33F7C" w:rsidRPr="00037B23" w14:paraId="6C24F692" w14:textId="77777777" w:rsidTr="00E213CE">
        <w:trPr>
          <w:trHeight w:val="248"/>
        </w:trPr>
        <w:tc>
          <w:tcPr>
            <w:tcW w:w="3555" w:type="dxa"/>
            <w:tcBorders>
              <w:top w:val="nil"/>
              <w:left w:val="single" w:sz="4" w:space="0" w:color="auto"/>
              <w:bottom w:val="nil"/>
              <w:right w:val="nil"/>
            </w:tcBorders>
            <w:shd w:val="clear" w:color="000000" w:fill="B4C6E7"/>
            <w:vAlign w:val="center"/>
            <w:hideMark/>
          </w:tcPr>
          <w:p w14:paraId="15140052"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Matba Rofex</w:t>
            </w:r>
          </w:p>
        </w:tc>
        <w:tc>
          <w:tcPr>
            <w:tcW w:w="1110" w:type="dxa"/>
            <w:tcBorders>
              <w:top w:val="nil"/>
              <w:left w:val="single" w:sz="8" w:space="0" w:color="auto"/>
              <w:bottom w:val="nil"/>
              <w:right w:val="single" w:sz="8" w:space="0" w:color="auto"/>
            </w:tcBorders>
            <w:shd w:val="clear" w:color="auto" w:fill="auto"/>
            <w:vAlign w:val="center"/>
            <w:hideMark/>
          </w:tcPr>
          <w:p w14:paraId="3B5CF6E6"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60,254</w:t>
            </w:r>
          </w:p>
        </w:tc>
        <w:tc>
          <w:tcPr>
            <w:tcW w:w="1108" w:type="dxa"/>
            <w:tcBorders>
              <w:top w:val="nil"/>
              <w:left w:val="nil"/>
              <w:bottom w:val="nil"/>
              <w:right w:val="single" w:sz="8" w:space="0" w:color="auto"/>
            </w:tcBorders>
            <w:shd w:val="clear" w:color="auto" w:fill="auto"/>
            <w:vAlign w:val="center"/>
            <w:hideMark/>
          </w:tcPr>
          <w:p w14:paraId="7878965D"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48</w:t>
            </w:r>
          </w:p>
        </w:tc>
        <w:tc>
          <w:tcPr>
            <w:tcW w:w="1108" w:type="dxa"/>
            <w:tcBorders>
              <w:top w:val="nil"/>
              <w:left w:val="nil"/>
              <w:bottom w:val="nil"/>
              <w:right w:val="single" w:sz="8" w:space="0" w:color="auto"/>
            </w:tcBorders>
            <w:shd w:val="clear" w:color="auto" w:fill="auto"/>
            <w:vAlign w:val="center"/>
            <w:hideMark/>
          </w:tcPr>
          <w:p w14:paraId="452D728F"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3,199</w:t>
            </w:r>
          </w:p>
        </w:tc>
        <w:tc>
          <w:tcPr>
            <w:tcW w:w="1156" w:type="dxa"/>
            <w:tcBorders>
              <w:top w:val="nil"/>
              <w:left w:val="nil"/>
              <w:bottom w:val="nil"/>
              <w:right w:val="single" w:sz="8" w:space="0" w:color="auto"/>
            </w:tcBorders>
            <w:shd w:val="clear" w:color="auto" w:fill="auto"/>
            <w:vAlign w:val="center"/>
            <w:hideMark/>
          </w:tcPr>
          <w:p w14:paraId="7B90ACB1"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487</w:t>
            </w:r>
          </w:p>
        </w:tc>
        <w:tc>
          <w:tcPr>
            <w:tcW w:w="1108" w:type="dxa"/>
            <w:tcBorders>
              <w:top w:val="nil"/>
              <w:left w:val="nil"/>
              <w:bottom w:val="nil"/>
              <w:right w:val="single" w:sz="8" w:space="0" w:color="auto"/>
            </w:tcBorders>
            <w:shd w:val="clear" w:color="auto" w:fill="auto"/>
            <w:vAlign w:val="center"/>
            <w:hideMark/>
          </w:tcPr>
          <w:p w14:paraId="783DECD9"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0</w:t>
            </w:r>
          </w:p>
        </w:tc>
        <w:tc>
          <w:tcPr>
            <w:tcW w:w="1108" w:type="dxa"/>
            <w:tcBorders>
              <w:top w:val="nil"/>
              <w:left w:val="nil"/>
              <w:bottom w:val="nil"/>
              <w:right w:val="single" w:sz="8" w:space="0" w:color="auto"/>
            </w:tcBorders>
            <w:shd w:val="clear" w:color="auto" w:fill="auto"/>
            <w:vAlign w:val="center"/>
            <w:hideMark/>
          </w:tcPr>
          <w:p w14:paraId="7AB4260F"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174</w:t>
            </w:r>
          </w:p>
        </w:tc>
      </w:tr>
      <w:tr w:rsidR="00D33F7C" w:rsidRPr="00037B23" w14:paraId="14DEEFE5" w14:textId="77777777" w:rsidTr="00E213CE">
        <w:trPr>
          <w:trHeight w:val="248"/>
        </w:trPr>
        <w:tc>
          <w:tcPr>
            <w:tcW w:w="3555" w:type="dxa"/>
            <w:tcBorders>
              <w:top w:val="nil"/>
              <w:left w:val="single" w:sz="4" w:space="0" w:color="auto"/>
              <w:bottom w:val="nil"/>
              <w:right w:val="nil"/>
            </w:tcBorders>
            <w:shd w:val="clear" w:color="000000" w:fill="B4C6E7"/>
            <w:vAlign w:val="center"/>
            <w:hideMark/>
          </w:tcPr>
          <w:p w14:paraId="6114393F"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CME Group</w:t>
            </w:r>
          </w:p>
        </w:tc>
        <w:tc>
          <w:tcPr>
            <w:tcW w:w="1110" w:type="dxa"/>
            <w:tcBorders>
              <w:top w:val="nil"/>
              <w:left w:val="single" w:sz="8" w:space="0" w:color="auto"/>
              <w:bottom w:val="nil"/>
              <w:right w:val="single" w:sz="8" w:space="0" w:color="auto"/>
            </w:tcBorders>
            <w:shd w:val="clear" w:color="auto" w:fill="auto"/>
            <w:vAlign w:val="center"/>
            <w:hideMark/>
          </w:tcPr>
          <w:p w14:paraId="5FE5099D"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97,150,859</w:t>
            </w:r>
          </w:p>
        </w:tc>
        <w:tc>
          <w:tcPr>
            <w:tcW w:w="1108" w:type="dxa"/>
            <w:tcBorders>
              <w:top w:val="nil"/>
              <w:left w:val="nil"/>
              <w:bottom w:val="nil"/>
              <w:right w:val="single" w:sz="8" w:space="0" w:color="auto"/>
            </w:tcBorders>
            <w:shd w:val="clear" w:color="auto" w:fill="auto"/>
            <w:vAlign w:val="center"/>
            <w:hideMark/>
          </w:tcPr>
          <w:p w14:paraId="70AEC32B"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11,949,567</w:t>
            </w:r>
          </w:p>
        </w:tc>
        <w:tc>
          <w:tcPr>
            <w:tcW w:w="1108" w:type="dxa"/>
            <w:tcBorders>
              <w:top w:val="nil"/>
              <w:left w:val="nil"/>
              <w:bottom w:val="nil"/>
              <w:right w:val="single" w:sz="8" w:space="0" w:color="auto"/>
            </w:tcBorders>
            <w:shd w:val="clear" w:color="auto" w:fill="auto"/>
            <w:vAlign w:val="center"/>
            <w:hideMark/>
          </w:tcPr>
          <w:p w14:paraId="7B82417A"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5,003,675</w:t>
            </w:r>
          </w:p>
        </w:tc>
        <w:tc>
          <w:tcPr>
            <w:tcW w:w="1156" w:type="dxa"/>
            <w:tcBorders>
              <w:top w:val="nil"/>
              <w:left w:val="nil"/>
              <w:bottom w:val="nil"/>
              <w:right w:val="single" w:sz="8" w:space="0" w:color="auto"/>
            </w:tcBorders>
            <w:shd w:val="clear" w:color="auto" w:fill="auto"/>
            <w:vAlign w:val="center"/>
            <w:hideMark/>
          </w:tcPr>
          <w:p w14:paraId="4F16E513"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14,821,186</w:t>
            </w:r>
          </w:p>
        </w:tc>
        <w:tc>
          <w:tcPr>
            <w:tcW w:w="1108" w:type="dxa"/>
            <w:tcBorders>
              <w:top w:val="nil"/>
              <w:left w:val="nil"/>
              <w:bottom w:val="nil"/>
              <w:right w:val="single" w:sz="8" w:space="0" w:color="auto"/>
            </w:tcBorders>
            <w:shd w:val="clear" w:color="auto" w:fill="auto"/>
            <w:vAlign w:val="center"/>
            <w:hideMark/>
          </w:tcPr>
          <w:p w14:paraId="3C5ED834"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3,363,089</w:t>
            </w:r>
          </w:p>
        </w:tc>
        <w:tc>
          <w:tcPr>
            <w:tcW w:w="1108" w:type="dxa"/>
            <w:tcBorders>
              <w:top w:val="nil"/>
              <w:left w:val="nil"/>
              <w:bottom w:val="nil"/>
              <w:right w:val="single" w:sz="8" w:space="0" w:color="auto"/>
            </w:tcBorders>
            <w:shd w:val="clear" w:color="auto" w:fill="auto"/>
            <w:vAlign w:val="center"/>
            <w:hideMark/>
          </w:tcPr>
          <w:p w14:paraId="1D99159D"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2,908,138</w:t>
            </w:r>
          </w:p>
        </w:tc>
      </w:tr>
      <w:tr w:rsidR="00D33F7C" w:rsidRPr="00037B23" w14:paraId="2AF4D31A" w14:textId="77777777" w:rsidTr="00E213CE">
        <w:trPr>
          <w:trHeight w:val="248"/>
        </w:trPr>
        <w:tc>
          <w:tcPr>
            <w:tcW w:w="3555" w:type="dxa"/>
            <w:tcBorders>
              <w:top w:val="nil"/>
              <w:left w:val="single" w:sz="4" w:space="0" w:color="auto"/>
              <w:bottom w:val="nil"/>
              <w:right w:val="nil"/>
            </w:tcBorders>
            <w:shd w:val="clear" w:color="000000" w:fill="B4C6E7"/>
            <w:vAlign w:val="center"/>
            <w:hideMark/>
          </w:tcPr>
          <w:p w14:paraId="47A5DF16"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Cboe Futures Exchange</w:t>
            </w:r>
          </w:p>
        </w:tc>
        <w:tc>
          <w:tcPr>
            <w:tcW w:w="1110" w:type="dxa"/>
            <w:tcBorders>
              <w:top w:val="nil"/>
              <w:left w:val="single" w:sz="8" w:space="0" w:color="auto"/>
              <w:bottom w:val="nil"/>
              <w:right w:val="single" w:sz="8" w:space="0" w:color="auto"/>
            </w:tcBorders>
            <w:shd w:val="clear" w:color="auto" w:fill="auto"/>
            <w:vAlign w:val="center"/>
            <w:hideMark/>
          </w:tcPr>
          <w:p w14:paraId="416C1FFD"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5,328,326</w:t>
            </w:r>
          </w:p>
        </w:tc>
        <w:tc>
          <w:tcPr>
            <w:tcW w:w="1108" w:type="dxa"/>
            <w:tcBorders>
              <w:top w:val="nil"/>
              <w:left w:val="nil"/>
              <w:bottom w:val="nil"/>
              <w:right w:val="single" w:sz="8" w:space="0" w:color="auto"/>
            </w:tcBorders>
            <w:shd w:val="clear" w:color="auto" w:fill="auto"/>
            <w:vAlign w:val="center"/>
            <w:hideMark/>
          </w:tcPr>
          <w:p w14:paraId="6C14144F"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1108" w:type="dxa"/>
            <w:tcBorders>
              <w:top w:val="nil"/>
              <w:left w:val="nil"/>
              <w:bottom w:val="nil"/>
              <w:right w:val="single" w:sz="8" w:space="0" w:color="auto"/>
            </w:tcBorders>
            <w:shd w:val="clear" w:color="auto" w:fill="auto"/>
            <w:vAlign w:val="center"/>
            <w:hideMark/>
          </w:tcPr>
          <w:p w14:paraId="595C0E03"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340,297</w:t>
            </w:r>
          </w:p>
        </w:tc>
        <w:tc>
          <w:tcPr>
            <w:tcW w:w="1156" w:type="dxa"/>
            <w:tcBorders>
              <w:top w:val="nil"/>
              <w:left w:val="nil"/>
              <w:bottom w:val="nil"/>
              <w:right w:val="single" w:sz="8" w:space="0" w:color="auto"/>
            </w:tcBorders>
            <w:shd w:val="clear" w:color="auto" w:fill="auto"/>
            <w:vAlign w:val="center"/>
            <w:hideMark/>
          </w:tcPr>
          <w:p w14:paraId="3B9277E9"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1108" w:type="dxa"/>
            <w:tcBorders>
              <w:top w:val="nil"/>
              <w:left w:val="nil"/>
              <w:bottom w:val="nil"/>
              <w:right w:val="single" w:sz="8" w:space="0" w:color="auto"/>
            </w:tcBorders>
            <w:shd w:val="clear" w:color="auto" w:fill="auto"/>
            <w:vAlign w:val="center"/>
            <w:hideMark/>
          </w:tcPr>
          <w:p w14:paraId="7D0EF1EB"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1108" w:type="dxa"/>
            <w:tcBorders>
              <w:top w:val="nil"/>
              <w:left w:val="nil"/>
              <w:bottom w:val="nil"/>
              <w:right w:val="single" w:sz="8" w:space="0" w:color="auto"/>
            </w:tcBorders>
            <w:shd w:val="clear" w:color="auto" w:fill="auto"/>
            <w:vAlign w:val="center"/>
            <w:hideMark/>
          </w:tcPr>
          <w:p w14:paraId="4163C120"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r>
      <w:tr w:rsidR="00D33F7C" w:rsidRPr="00037B23" w14:paraId="1AFBC062" w14:textId="77777777" w:rsidTr="00E213CE">
        <w:trPr>
          <w:trHeight w:val="248"/>
        </w:trPr>
        <w:tc>
          <w:tcPr>
            <w:tcW w:w="3555" w:type="dxa"/>
            <w:tcBorders>
              <w:top w:val="nil"/>
              <w:left w:val="single" w:sz="4" w:space="0" w:color="auto"/>
              <w:bottom w:val="nil"/>
              <w:right w:val="nil"/>
            </w:tcBorders>
            <w:shd w:val="clear" w:color="000000" w:fill="B4C6E7"/>
            <w:vAlign w:val="center"/>
            <w:hideMark/>
          </w:tcPr>
          <w:p w14:paraId="0D534432"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ASX Australian Securities Exchange</w:t>
            </w:r>
          </w:p>
        </w:tc>
        <w:tc>
          <w:tcPr>
            <w:tcW w:w="1110" w:type="dxa"/>
            <w:tcBorders>
              <w:top w:val="nil"/>
              <w:left w:val="single" w:sz="8" w:space="0" w:color="auto"/>
              <w:bottom w:val="nil"/>
              <w:right w:val="single" w:sz="8" w:space="0" w:color="auto"/>
            </w:tcBorders>
            <w:shd w:val="clear" w:color="auto" w:fill="auto"/>
            <w:vAlign w:val="center"/>
            <w:hideMark/>
          </w:tcPr>
          <w:p w14:paraId="4E6BEB09"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818,874</w:t>
            </w:r>
          </w:p>
        </w:tc>
        <w:tc>
          <w:tcPr>
            <w:tcW w:w="1108" w:type="dxa"/>
            <w:tcBorders>
              <w:top w:val="nil"/>
              <w:left w:val="nil"/>
              <w:bottom w:val="nil"/>
              <w:right w:val="single" w:sz="8" w:space="0" w:color="auto"/>
            </w:tcBorders>
            <w:shd w:val="clear" w:color="auto" w:fill="auto"/>
            <w:vAlign w:val="center"/>
            <w:hideMark/>
          </w:tcPr>
          <w:p w14:paraId="1D248CF1"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111,074</w:t>
            </w:r>
          </w:p>
        </w:tc>
        <w:tc>
          <w:tcPr>
            <w:tcW w:w="1108" w:type="dxa"/>
            <w:tcBorders>
              <w:top w:val="nil"/>
              <w:left w:val="nil"/>
              <w:bottom w:val="nil"/>
              <w:right w:val="single" w:sz="8" w:space="0" w:color="auto"/>
            </w:tcBorders>
            <w:shd w:val="clear" w:color="auto" w:fill="auto"/>
            <w:vAlign w:val="center"/>
            <w:hideMark/>
          </w:tcPr>
          <w:p w14:paraId="1E3FB6C5"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262,207</w:t>
            </w:r>
          </w:p>
        </w:tc>
        <w:tc>
          <w:tcPr>
            <w:tcW w:w="1156" w:type="dxa"/>
            <w:tcBorders>
              <w:top w:val="nil"/>
              <w:left w:val="nil"/>
              <w:bottom w:val="nil"/>
              <w:right w:val="single" w:sz="8" w:space="0" w:color="auto"/>
            </w:tcBorders>
            <w:shd w:val="clear" w:color="auto" w:fill="auto"/>
            <w:vAlign w:val="center"/>
            <w:hideMark/>
          </w:tcPr>
          <w:p w14:paraId="0D536668"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408,935</w:t>
            </w:r>
          </w:p>
        </w:tc>
        <w:tc>
          <w:tcPr>
            <w:tcW w:w="1108" w:type="dxa"/>
            <w:tcBorders>
              <w:top w:val="nil"/>
              <w:left w:val="nil"/>
              <w:bottom w:val="nil"/>
              <w:right w:val="single" w:sz="8" w:space="0" w:color="auto"/>
            </w:tcBorders>
            <w:shd w:val="clear" w:color="auto" w:fill="auto"/>
            <w:vAlign w:val="center"/>
            <w:hideMark/>
          </w:tcPr>
          <w:p w14:paraId="538C5828"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21,873</w:t>
            </w:r>
          </w:p>
        </w:tc>
        <w:tc>
          <w:tcPr>
            <w:tcW w:w="1108" w:type="dxa"/>
            <w:tcBorders>
              <w:top w:val="nil"/>
              <w:left w:val="nil"/>
              <w:bottom w:val="nil"/>
              <w:right w:val="single" w:sz="8" w:space="0" w:color="auto"/>
            </w:tcBorders>
            <w:shd w:val="clear" w:color="auto" w:fill="auto"/>
            <w:vAlign w:val="center"/>
            <w:hideMark/>
          </w:tcPr>
          <w:p w14:paraId="4A1ECF19"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447,470</w:t>
            </w:r>
          </w:p>
        </w:tc>
      </w:tr>
      <w:tr w:rsidR="00D33F7C" w:rsidRPr="00037B23" w14:paraId="2B9EE6FB" w14:textId="77777777" w:rsidTr="00E213CE">
        <w:trPr>
          <w:trHeight w:val="248"/>
        </w:trPr>
        <w:tc>
          <w:tcPr>
            <w:tcW w:w="3555" w:type="dxa"/>
            <w:tcBorders>
              <w:top w:val="nil"/>
              <w:left w:val="single" w:sz="4" w:space="0" w:color="auto"/>
              <w:bottom w:val="nil"/>
              <w:right w:val="nil"/>
            </w:tcBorders>
            <w:shd w:val="clear" w:color="000000" w:fill="B4C6E7"/>
            <w:vAlign w:val="center"/>
            <w:hideMark/>
          </w:tcPr>
          <w:p w14:paraId="47104253"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Hong Kong Exchanges and Clearing</w:t>
            </w:r>
          </w:p>
        </w:tc>
        <w:tc>
          <w:tcPr>
            <w:tcW w:w="1110" w:type="dxa"/>
            <w:tcBorders>
              <w:top w:val="nil"/>
              <w:left w:val="single" w:sz="8" w:space="0" w:color="auto"/>
              <w:bottom w:val="nil"/>
              <w:right w:val="single" w:sz="8" w:space="0" w:color="auto"/>
            </w:tcBorders>
            <w:shd w:val="clear" w:color="auto" w:fill="auto"/>
            <w:vAlign w:val="center"/>
            <w:hideMark/>
          </w:tcPr>
          <w:p w14:paraId="55CD3202"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7,205,289</w:t>
            </w:r>
          </w:p>
        </w:tc>
        <w:tc>
          <w:tcPr>
            <w:tcW w:w="1108" w:type="dxa"/>
            <w:tcBorders>
              <w:top w:val="nil"/>
              <w:left w:val="nil"/>
              <w:bottom w:val="nil"/>
              <w:right w:val="single" w:sz="8" w:space="0" w:color="auto"/>
            </w:tcBorders>
            <w:shd w:val="clear" w:color="auto" w:fill="auto"/>
            <w:vAlign w:val="center"/>
            <w:hideMark/>
          </w:tcPr>
          <w:p w14:paraId="3C0457FC"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1,944,492</w:t>
            </w:r>
          </w:p>
        </w:tc>
        <w:tc>
          <w:tcPr>
            <w:tcW w:w="1108" w:type="dxa"/>
            <w:tcBorders>
              <w:top w:val="nil"/>
              <w:left w:val="nil"/>
              <w:bottom w:val="nil"/>
              <w:right w:val="single" w:sz="8" w:space="0" w:color="auto"/>
            </w:tcBorders>
            <w:shd w:val="clear" w:color="auto" w:fill="auto"/>
            <w:vAlign w:val="center"/>
            <w:hideMark/>
          </w:tcPr>
          <w:p w14:paraId="0DB02F8C"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523,416</w:t>
            </w:r>
          </w:p>
        </w:tc>
        <w:tc>
          <w:tcPr>
            <w:tcW w:w="1156" w:type="dxa"/>
            <w:tcBorders>
              <w:top w:val="nil"/>
              <w:left w:val="nil"/>
              <w:bottom w:val="nil"/>
              <w:right w:val="single" w:sz="8" w:space="0" w:color="auto"/>
            </w:tcBorders>
            <w:shd w:val="clear" w:color="auto" w:fill="auto"/>
            <w:vAlign w:val="center"/>
            <w:hideMark/>
          </w:tcPr>
          <w:p w14:paraId="3B1CCEE6"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1,517,057</w:t>
            </w:r>
          </w:p>
        </w:tc>
        <w:tc>
          <w:tcPr>
            <w:tcW w:w="1108" w:type="dxa"/>
            <w:tcBorders>
              <w:top w:val="nil"/>
              <w:left w:val="nil"/>
              <w:bottom w:val="nil"/>
              <w:right w:val="single" w:sz="8" w:space="0" w:color="auto"/>
            </w:tcBorders>
            <w:shd w:val="clear" w:color="auto" w:fill="auto"/>
            <w:vAlign w:val="center"/>
            <w:hideMark/>
          </w:tcPr>
          <w:p w14:paraId="5B3A1A81"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169,382</w:t>
            </w:r>
          </w:p>
        </w:tc>
        <w:tc>
          <w:tcPr>
            <w:tcW w:w="1108" w:type="dxa"/>
            <w:tcBorders>
              <w:top w:val="nil"/>
              <w:left w:val="nil"/>
              <w:bottom w:val="nil"/>
              <w:right w:val="single" w:sz="8" w:space="0" w:color="auto"/>
            </w:tcBorders>
            <w:shd w:val="clear" w:color="auto" w:fill="auto"/>
            <w:vAlign w:val="center"/>
            <w:hideMark/>
          </w:tcPr>
          <w:p w14:paraId="5F17B59B"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1,629,546</w:t>
            </w:r>
          </w:p>
        </w:tc>
      </w:tr>
      <w:tr w:rsidR="00D33F7C" w:rsidRPr="00037B23" w14:paraId="3B5A855B" w14:textId="77777777" w:rsidTr="00E213CE">
        <w:trPr>
          <w:trHeight w:val="248"/>
        </w:trPr>
        <w:tc>
          <w:tcPr>
            <w:tcW w:w="3555" w:type="dxa"/>
            <w:tcBorders>
              <w:top w:val="nil"/>
              <w:left w:val="single" w:sz="4" w:space="0" w:color="auto"/>
              <w:bottom w:val="nil"/>
              <w:right w:val="nil"/>
            </w:tcBorders>
            <w:shd w:val="clear" w:color="000000" w:fill="B4C6E7"/>
            <w:vAlign w:val="center"/>
            <w:hideMark/>
          </w:tcPr>
          <w:p w14:paraId="0A1005B3"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Japan Exchange Group</w:t>
            </w:r>
          </w:p>
        </w:tc>
        <w:tc>
          <w:tcPr>
            <w:tcW w:w="1110" w:type="dxa"/>
            <w:tcBorders>
              <w:top w:val="nil"/>
              <w:left w:val="single" w:sz="8" w:space="0" w:color="auto"/>
              <w:bottom w:val="nil"/>
              <w:right w:val="single" w:sz="8" w:space="0" w:color="auto"/>
            </w:tcBorders>
            <w:shd w:val="clear" w:color="auto" w:fill="auto"/>
            <w:vAlign w:val="center"/>
            <w:hideMark/>
          </w:tcPr>
          <w:p w14:paraId="23B767B1"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21,346,153</w:t>
            </w:r>
          </w:p>
        </w:tc>
        <w:tc>
          <w:tcPr>
            <w:tcW w:w="1108" w:type="dxa"/>
            <w:tcBorders>
              <w:top w:val="nil"/>
              <w:left w:val="nil"/>
              <w:bottom w:val="nil"/>
              <w:right w:val="single" w:sz="8" w:space="0" w:color="auto"/>
            </w:tcBorders>
            <w:shd w:val="clear" w:color="auto" w:fill="auto"/>
            <w:vAlign w:val="center"/>
            <w:hideMark/>
          </w:tcPr>
          <w:p w14:paraId="4E11A59A"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987,723</w:t>
            </w:r>
          </w:p>
        </w:tc>
        <w:tc>
          <w:tcPr>
            <w:tcW w:w="1108" w:type="dxa"/>
            <w:tcBorders>
              <w:top w:val="nil"/>
              <w:left w:val="nil"/>
              <w:bottom w:val="nil"/>
              <w:right w:val="single" w:sz="8" w:space="0" w:color="auto"/>
            </w:tcBorders>
            <w:shd w:val="clear" w:color="auto" w:fill="auto"/>
            <w:vAlign w:val="center"/>
            <w:hideMark/>
          </w:tcPr>
          <w:p w14:paraId="160AD68C"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1,678,438</w:t>
            </w:r>
          </w:p>
        </w:tc>
        <w:tc>
          <w:tcPr>
            <w:tcW w:w="1156" w:type="dxa"/>
            <w:tcBorders>
              <w:top w:val="nil"/>
              <w:left w:val="nil"/>
              <w:bottom w:val="nil"/>
              <w:right w:val="single" w:sz="8" w:space="0" w:color="auto"/>
            </w:tcBorders>
            <w:shd w:val="clear" w:color="auto" w:fill="auto"/>
            <w:vAlign w:val="center"/>
            <w:hideMark/>
          </w:tcPr>
          <w:p w14:paraId="38D564EB"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2,037,398</w:t>
            </w:r>
          </w:p>
        </w:tc>
        <w:tc>
          <w:tcPr>
            <w:tcW w:w="1108" w:type="dxa"/>
            <w:tcBorders>
              <w:top w:val="nil"/>
              <w:left w:val="nil"/>
              <w:bottom w:val="nil"/>
              <w:right w:val="single" w:sz="8" w:space="0" w:color="auto"/>
            </w:tcBorders>
            <w:shd w:val="clear" w:color="auto" w:fill="auto"/>
            <w:vAlign w:val="center"/>
            <w:hideMark/>
          </w:tcPr>
          <w:p w14:paraId="6D8D5DB7"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1108" w:type="dxa"/>
            <w:tcBorders>
              <w:top w:val="nil"/>
              <w:left w:val="nil"/>
              <w:bottom w:val="nil"/>
              <w:right w:val="single" w:sz="8" w:space="0" w:color="auto"/>
            </w:tcBorders>
            <w:shd w:val="clear" w:color="auto" w:fill="auto"/>
            <w:vAlign w:val="center"/>
            <w:hideMark/>
          </w:tcPr>
          <w:p w14:paraId="63512738"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1,636,158</w:t>
            </w:r>
          </w:p>
        </w:tc>
      </w:tr>
      <w:tr w:rsidR="00D33F7C" w:rsidRPr="00037B23" w14:paraId="1571F6D7" w14:textId="77777777" w:rsidTr="00E213CE">
        <w:trPr>
          <w:trHeight w:val="248"/>
        </w:trPr>
        <w:tc>
          <w:tcPr>
            <w:tcW w:w="3555" w:type="dxa"/>
            <w:tcBorders>
              <w:top w:val="nil"/>
              <w:left w:val="single" w:sz="4" w:space="0" w:color="auto"/>
              <w:bottom w:val="nil"/>
              <w:right w:val="nil"/>
            </w:tcBorders>
            <w:shd w:val="clear" w:color="000000" w:fill="B4C6E7"/>
            <w:vAlign w:val="center"/>
            <w:hideMark/>
          </w:tcPr>
          <w:p w14:paraId="1ABAD11F"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Korea Exchange</w:t>
            </w:r>
          </w:p>
        </w:tc>
        <w:tc>
          <w:tcPr>
            <w:tcW w:w="1110" w:type="dxa"/>
            <w:tcBorders>
              <w:top w:val="nil"/>
              <w:left w:val="single" w:sz="8" w:space="0" w:color="auto"/>
              <w:bottom w:val="nil"/>
              <w:right w:val="single" w:sz="8" w:space="0" w:color="auto"/>
            </w:tcBorders>
            <w:shd w:val="clear" w:color="auto" w:fill="auto"/>
            <w:vAlign w:val="center"/>
            <w:hideMark/>
          </w:tcPr>
          <w:p w14:paraId="0BF55CAB"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8,000,043</w:t>
            </w:r>
          </w:p>
        </w:tc>
        <w:tc>
          <w:tcPr>
            <w:tcW w:w="1108" w:type="dxa"/>
            <w:tcBorders>
              <w:top w:val="nil"/>
              <w:left w:val="nil"/>
              <w:bottom w:val="nil"/>
              <w:right w:val="single" w:sz="8" w:space="0" w:color="auto"/>
            </w:tcBorders>
            <w:shd w:val="clear" w:color="auto" w:fill="auto"/>
            <w:vAlign w:val="center"/>
            <w:hideMark/>
          </w:tcPr>
          <w:p w14:paraId="5EF0CDC2"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525,140</w:t>
            </w:r>
          </w:p>
        </w:tc>
        <w:tc>
          <w:tcPr>
            <w:tcW w:w="1108" w:type="dxa"/>
            <w:tcBorders>
              <w:top w:val="nil"/>
              <w:left w:val="nil"/>
              <w:bottom w:val="nil"/>
              <w:right w:val="single" w:sz="8" w:space="0" w:color="auto"/>
            </w:tcBorders>
            <w:shd w:val="clear" w:color="auto" w:fill="auto"/>
            <w:vAlign w:val="center"/>
            <w:hideMark/>
          </w:tcPr>
          <w:p w14:paraId="571269CF"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564,017</w:t>
            </w:r>
          </w:p>
        </w:tc>
        <w:tc>
          <w:tcPr>
            <w:tcW w:w="1156" w:type="dxa"/>
            <w:tcBorders>
              <w:top w:val="nil"/>
              <w:left w:val="nil"/>
              <w:bottom w:val="nil"/>
              <w:right w:val="single" w:sz="8" w:space="0" w:color="auto"/>
            </w:tcBorders>
            <w:shd w:val="clear" w:color="auto" w:fill="auto"/>
            <w:vAlign w:val="center"/>
            <w:hideMark/>
          </w:tcPr>
          <w:p w14:paraId="78721E56"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57,354,862</w:t>
            </w:r>
          </w:p>
        </w:tc>
        <w:tc>
          <w:tcPr>
            <w:tcW w:w="1108" w:type="dxa"/>
            <w:tcBorders>
              <w:top w:val="nil"/>
              <w:left w:val="nil"/>
              <w:bottom w:val="nil"/>
              <w:right w:val="single" w:sz="8" w:space="0" w:color="auto"/>
            </w:tcBorders>
            <w:shd w:val="clear" w:color="auto" w:fill="auto"/>
            <w:vAlign w:val="center"/>
            <w:hideMark/>
          </w:tcPr>
          <w:p w14:paraId="4D02B7E9"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5,199,208</w:t>
            </w:r>
          </w:p>
        </w:tc>
        <w:tc>
          <w:tcPr>
            <w:tcW w:w="1108" w:type="dxa"/>
            <w:tcBorders>
              <w:top w:val="nil"/>
              <w:left w:val="nil"/>
              <w:bottom w:val="nil"/>
              <w:right w:val="single" w:sz="8" w:space="0" w:color="auto"/>
            </w:tcBorders>
            <w:shd w:val="clear" w:color="auto" w:fill="auto"/>
            <w:vAlign w:val="center"/>
            <w:hideMark/>
          </w:tcPr>
          <w:p w14:paraId="7C564A6B"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2,862,149</w:t>
            </w:r>
          </w:p>
        </w:tc>
      </w:tr>
      <w:tr w:rsidR="00D33F7C" w:rsidRPr="00037B23" w14:paraId="009B91A3" w14:textId="77777777" w:rsidTr="00E213CE">
        <w:trPr>
          <w:trHeight w:val="248"/>
        </w:trPr>
        <w:tc>
          <w:tcPr>
            <w:tcW w:w="3555" w:type="dxa"/>
            <w:tcBorders>
              <w:top w:val="nil"/>
              <w:left w:val="single" w:sz="4" w:space="0" w:color="auto"/>
              <w:bottom w:val="nil"/>
              <w:right w:val="nil"/>
            </w:tcBorders>
            <w:shd w:val="clear" w:color="000000" w:fill="B4C6E7"/>
            <w:vAlign w:val="center"/>
            <w:hideMark/>
          </w:tcPr>
          <w:p w14:paraId="50175545"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National Stock Exchange of India</w:t>
            </w:r>
          </w:p>
        </w:tc>
        <w:tc>
          <w:tcPr>
            <w:tcW w:w="1110" w:type="dxa"/>
            <w:tcBorders>
              <w:top w:val="nil"/>
              <w:left w:val="single" w:sz="8" w:space="0" w:color="auto"/>
              <w:bottom w:val="nil"/>
              <w:right w:val="single" w:sz="8" w:space="0" w:color="auto"/>
            </w:tcBorders>
            <w:shd w:val="clear" w:color="auto" w:fill="auto"/>
            <w:vAlign w:val="center"/>
            <w:hideMark/>
          </w:tcPr>
          <w:p w14:paraId="2A2F16A1"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6,387,640</w:t>
            </w:r>
          </w:p>
        </w:tc>
        <w:tc>
          <w:tcPr>
            <w:tcW w:w="1108" w:type="dxa"/>
            <w:tcBorders>
              <w:top w:val="nil"/>
              <w:left w:val="nil"/>
              <w:bottom w:val="nil"/>
              <w:right w:val="single" w:sz="8" w:space="0" w:color="auto"/>
            </w:tcBorders>
            <w:shd w:val="clear" w:color="auto" w:fill="auto"/>
            <w:vAlign w:val="center"/>
            <w:hideMark/>
          </w:tcPr>
          <w:p w14:paraId="6B83DACE"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84,465</w:t>
            </w:r>
          </w:p>
        </w:tc>
        <w:tc>
          <w:tcPr>
            <w:tcW w:w="1108" w:type="dxa"/>
            <w:tcBorders>
              <w:top w:val="nil"/>
              <w:left w:val="nil"/>
              <w:bottom w:val="nil"/>
              <w:right w:val="single" w:sz="8" w:space="0" w:color="auto"/>
            </w:tcBorders>
            <w:shd w:val="clear" w:color="auto" w:fill="auto"/>
            <w:vAlign w:val="center"/>
            <w:hideMark/>
          </w:tcPr>
          <w:p w14:paraId="3C6DF324"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229,373</w:t>
            </w:r>
          </w:p>
        </w:tc>
        <w:tc>
          <w:tcPr>
            <w:tcW w:w="1156" w:type="dxa"/>
            <w:tcBorders>
              <w:top w:val="nil"/>
              <w:left w:val="nil"/>
              <w:bottom w:val="nil"/>
              <w:right w:val="single" w:sz="8" w:space="0" w:color="auto"/>
            </w:tcBorders>
            <w:shd w:val="clear" w:color="auto" w:fill="auto"/>
            <w:vAlign w:val="center"/>
            <w:hideMark/>
          </w:tcPr>
          <w:p w14:paraId="611591E7"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856,255,549</w:t>
            </w:r>
          </w:p>
        </w:tc>
        <w:tc>
          <w:tcPr>
            <w:tcW w:w="1108" w:type="dxa"/>
            <w:tcBorders>
              <w:top w:val="nil"/>
              <w:left w:val="nil"/>
              <w:bottom w:val="nil"/>
              <w:right w:val="single" w:sz="8" w:space="0" w:color="auto"/>
            </w:tcBorders>
            <w:shd w:val="clear" w:color="auto" w:fill="auto"/>
            <w:vAlign w:val="center"/>
            <w:hideMark/>
          </w:tcPr>
          <w:p w14:paraId="138B455B"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11,122,695</w:t>
            </w:r>
          </w:p>
        </w:tc>
        <w:tc>
          <w:tcPr>
            <w:tcW w:w="1108" w:type="dxa"/>
            <w:tcBorders>
              <w:top w:val="nil"/>
              <w:left w:val="nil"/>
              <w:bottom w:val="nil"/>
              <w:right w:val="single" w:sz="8" w:space="0" w:color="auto"/>
            </w:tcBorders>
            <w:shd w:val="clear" w:color="auto" w:fill="auto"/>
            <w:vAlign w:val="center"/>
            <w:hideMark/>
          </w:tcPr>
          <w:p w14:paraId="60F05FE4"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3,302,516</w:t>
            </w:r>
          </w:p>
        </w:tc>
      </w:tr>
      <w:tr w:rsidR="00D33F7C" w:rsidRPr="00037B23" w14:paraId="02BBACD3" w14:textId="77777777" w:rsidTr="00E213CE">
        <w:trPr>
          <w:trHeight w:val="248"/>
        </w:trPr>
        <w:tc>
          <w:tcPr>
            <w:tcW w:w="3555" w:type="dxa"/>
            <w:tcBorders>
              <w:top w:val="nil"/>
              <w:left w:val="single" w:sz="4" w:space="0" w:color="auto"/>
              <w:bottom w:val="nil"/>
              <w:right w:val="nil"/>
            </w:tcBorders>
            <w:shd w:val="clear" w:color="000000" w:fill="B4C6E7"/>
            <w:vAlign w:val="center"/>
            <w:hideMark/>
          </w:tcPr>
          <w:p w14:paraId="6B2ECB97"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Singapore Exchange</w:t>
            </w:r>
          </w:p>
        </w:tc>
        <w:tc>
          <w:tcPr>
            <w:tcW w:w="1110" w:type="dxa"/>
            <w:tcBorders>
              <w:top w:val="nil"/>
              <w:left w:val="single" w:sz="8" w:space="0" w:color="auto"/>
              <w:bottom w:val="nil"/>
              <w:right w:val="single" w:sz="8" w:space="0" w:color="auto"/>
            </w:tcBorders>
            <w:shd w:val="clear" w:color="auto" w:fill="auto"/>
            <w:vAlign w:val="center"/>
            <w:hideMark/>
          </w:tcPr>
          <w:p w14:paraId="7D455497"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13,010,150</w:t>
            </w:r>
          </w:p>
        </w:tc>
        <w:tc>
          <w:tcPr>
            <w:tcW w:w="1108" w:type="dxa"/>
            <w:tcBorders>
              <w:top w:val="nil"/>
              <w:left w:val="nil"/>
              <w:bottom w:val="nil"/>
              <w:right w:val="single" w:sz="8" w:space="0" w:color="auto"/>
            </w:tcBorders>
            <w:shd w:val="clear" w:color="auto" w:fill="auto"/>
            <w:vAlign w:val="center"/>
            <w:hideMark/>
          </w:tcPr>
          <w:p w14:paraId="67CB3072"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1108" w:type="dxa"/>
            <w:tcBorders>
              <w:top w:val="nil"/>
              <w:left w:val="nil"/>
              <w:bottom w:val="nil"/>
              <w:right w:val="single" w:sz="8" w:space="0" w:color="auto"/>
            </w:tcBorders>
            <w:shd w:val="clear" w:color="auto" w:fill="auto"/>
            <w:vAlign w:val="center"/>
            <w:hideMark/>
          </w:tcPr>
          <w:p w14:paraId="790E6E89"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1,399,584</w:t>
            </w:r>
          </w:p>
        </w:tc>
        <w:tc>
          <w:tcPr>
            <w:tcW w:w="1156" w:type="dxa"/>
            <w:tcBorders>
              <w:top w:val="nil"/>
              <w:left w:val="nil"/>
              <w:bottom w:val="nil"/>
              <w:right w:val="single" w:sz="8" w:space="0" w:color="auto"/>
            </w:tcBorders>
            <w:shd w:val="clear" w:color="auto" w:fill="auto"/>
            <w:vAlign w:val="center"/>
            <w:hideMark/>
          </w:tcPr>
          <w:p w14:paraId="39B377E7"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395,466</w:t>
            </w:r>
          </w:p>
        </w:tc>
        <w:tc>
          <w:tcPr>
            <w:tcW w:w="1108" w:type="dxa"/>
            <w:tcBorders>
              <w:top w:val="nil"/>
              <w:left w:val="nil"/>
              <w:bottom w:val="nil"/>
              <w:right w:val="single" w:sz="8" w:space="0" w:color="auto"/>
            </w:tcBorders>
            <w:shd w:val="clear" w:color="auto" w:fill="auto"/>
            <w:vAlign w:val="center"/>
            <w:hideMark/>
          </w:tcPr>
          <w:p w14:paraId="350BB5C1"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1108" w:type="dxa"/>
            <w:tcBorders>
              <w:top w:val="nil"/>
              <w:left w:val="nil"/>
              <w:bottom w:val="nil"/>
              <w:right w:val="single" w:sz="8" w:space="0" w:color="auto"/>
            </w:tcBorders>
            <w:shd w:val="clear" w:color="auto" w:fill="auto"/>
            <w:vAlign w:val="center"/>
            <w:hideMark/>
          </w:tcPr>
          <w:p w14:paraId="1D4888FA"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1,700,023</w:t>
            </w:r>
          </w:p>
        </w:tc>
      </w:tr>
      <w:tr w:rsidR="00D33F7C" w:rsidRPr="00037B23" w14:paraId="7CF5E6ED" w14:textId="77777777" w:rsidTr="00E213CE">
        <w:trPr>
          <w:trHeight w:val="248"/>
        </w:trPr>
        <w:tc>
          <w:tcPr>
            <w:tcW w:w="3555" w:type="dxa"/>
            <w:tcBorders>
              <w:top w:val="nil"/>
              <w:left w:val="single" w:sz="4" w:space="0" w:color="auto"/>
              <w:bottom w:val="nil"/>
              <w:right w:val="nil"/>
            </w:tcBorders>
            <w:shd w:val="clear" w:color="000000" w:fill="B4C6E7"/>
            <w:vAlign w:val="center"/>
            <w:hideMark/>
          </w:tcPr>
          <w:p w14:paraId="74E1D17F"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Taiwan Futures Exchange</w:t>
            </w:r>
          </w:p>
        </w:tc>
        <w:tc>
          <w:tcPr>
            <w:tcW w:w="1110" w:type="dxa"/>
            <w:tcBorders>
              <w:top w:val="nil"/>
              <w:left w:val="single" w:sz="8" w:space="0" w:color="auto"/>
              <w:bottom w:val="nil"/>
              <w:right w:val="single" w:sz="8" w:space="0" w:color="auto"/>
            </w:tcBorders>
            <w:shd w:val="clear" w:color="auto" w:fill="auto"/>
            <w:vAlign w:val="center"/>
            <w:hideMark/>
          </w:tcPr>
          <w:p w14:paraId="162EF3D8"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14,928,950</w:t>
            </w:r>
          </w:p>
        </w:tc>
        <w:tc>
          <w:tcPr>
            <w:tcW w:w="1108" w:type="dxa"/>
            <w:tcBorders>
              <w:top w:val="nil"/>
              <w:left w:val="nil"/>
              <w:bottom w:val="nil"/>
              <w:right w:val="single" w:sz="8" w:space="0" w:color="auto"/>
            </w:tcBorders>
            <w:shd w:val="clear" w:color="auto" w:fill="auto"/>
            <w:vAlign w:val="center"/>
            <w:hideMark/>
          </w:tcPr>
          <w:p w14:paraId="224D75DE"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929,796</w:t>
            </w:r>
          </w:p>
        </w:tc>
        <w:tc>
          <w:tcPr>
            <w:tcW w:w="1108" w:type="dxa"/>
            <w:tcBorders>
              <w:top w:val="nil"/>
              <w:left w:val="nil"/>
              <w:bottom w:val="nil"/>
              <w:right w:val="single" w:sz="8" w:space="0" w:color="auto"/>
            </w:tcBorders>
            <w:shd w:val="clear" w:color="auto" w:fill="auto"/>
            <w:vAlign w:val="center"/>
            <w:hideMark/>
          </w:tcPr>
          <w:p w14:paraId="10AF9BAB"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153,279</w:t>
            </w:r>
          </w:p>
        </w:tc>
        <w:tc>
          <w:tcPr>
            <w:tcW w:w="1156" w:type="dxa"/>
            <w:tcBorders>
              <w:top w:val="nil"/>
              <w:left w:val="nil"/>
              <w:bottom w:val="nil"/>
              <w:right w:val="single" w:sz="8" w:space="0" w:color="auto"/>
            </w:tcBorders>
            <w:shd w:val="clear" w:color="auto" w:fill="auto"/>
            <w:vAlign w:val="center"/>
            <w:hideMark/>
          </w:tcPr>
          <w:p w14:paraId="3BF3B6AE"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20,991,709</w:t>
            </w:r>
          </w:p>
        </w:tc>
        <w:tc>
          <w:tcPr>
            <w:tcW w:w="1108" w:type="dxa"/>
            <w:tcBorders>
              <w:top w:val="nil"/>
              <w:left w:val="nil"/>
              <w:bottom w:val="nil"/>
              <w:right w:val="single" w:sz="8" w:space="0" w:color="auto"/>
            </w:tcBorders>
            <w:shd w:val="clear" w:color="auto" w:fill="auto"/>
            <w:vAlign w:val="center"/>
            <w:hideMark/>
          </w:tcPr>
          <w:p w14:paraId="0FB3F699"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627,657</w:t>
            </w:r>
          </w:p>
        </w:tc>
        <w:tc>
          <w:tcPr>
            <w:tcW w:w="1108" w:type="dxa"/>
            <w:tcBorders>
              <w:top w:val="nil"/>
              <w:left w:val="nil"/>
              <w:bottom w:val="nil"/>
              <w:right w:val="single" w:sz="8" w:space="0" w:color="auto"/>
            </w:tcBorders>
            <w:shd w:val="clear" w:color="auto" w:fill="auto"/>
            <w:vAlign w:val="center"/>
            <w:hideMark/>
          </w:tcPr>
          <w:p w14:paraId="060806B4"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479,316</w:t>
            </w:r>
          </w:p>
        </w:tc>
      </w:tr>
      <w:tr w:rsidR="00D33F7C" w:rsidRPr="00037B23" w14:paraId="38C58E79" w14:textId="77777777" w:rsidTr="00E213CE">
        <w:trPr>
          <w:trHeight w:val="248"/>
        </w:trPr>
        <w:tc>
          <w:tcPr>
            <w:tcW w:w="3555" w:type="dxa"/>
            <w:tcBorders>
              <w:top w:val="nil"/>
              <w:left w:val="single" w:sz="4" w:space="0" w:color="auto"/>
              <w:bottom w:val="nil"/>
              <w:right w:val="nil"/>
            </w:tcBorders>
            <w:shd w:val="clear" w:color="000000" w:fill="B4C6E7"/>
            <w:vAlign w:val="center"/>
            <w:hideMark/>
          </w:tcPr>
          <w:p w14:paraId="00A91381"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Thailand Futures Exchange</w:t>
            </w:r>
          </w:p>
        </w:tc>
        <w:tc>
          <w:tcPr>
            <w:tcW w:w="1110" w:type="dxa"/>
            <w:tcBorders>
              <w:top w:val="nil"/>
              <w:left w:val="single" w:sz="8" w:space="0" w:color="auto"/>
              <w:bottom w:val="nil"/>
              <w:right w:val="single" w:sz="8" w:space="0" w:color="auto"/>
            </w:tcBorders>
            <w:shd w:val="clear" w:color="auto" w:fill="auto"/>
            <w:vAlign w:val="center"/>
            <w:hideMark/>
          </w:tcPr>
          <w:p w14:paraId="715DE3A6"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4,098,314</w:t>
            </w:r>
          </w:p>
        </w:tc>
        <w:tc>
          <w:tcPr>
            <w:tcW w:w="1108" w:type="dxa"/>
            <w:tcBorders>
              <w:top w:val="nil"/>
              <w:left w:val="nil"/>
              <w:bottom w:val="nil"/>
              <w:right w:val="single" w:sz="8" w:space="0" w:color="auto"/>
            </w:tcBorders>
            <w:shd w:val="clear" w:color="auto" w:fill="auto"/>
            <w:vAlign w:val="center"/>
            <w:hideMark/>
          </w:tcPr>
          <w:p w14:paraId="39F34274"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1108" w:type="dxa"/>
            <w:tcBorders>
              <w:top w:val="nil"/>
              <w:left w:val="nil"/>
              <w:bottom w:val="nil"/>
              <w:right w:val="single" w:sz="8" w:space="0" w:color="auto"/>
            </w:tcBorders>
            <w:shd w:val="clear" w:color="auto" w:fill="auto"/>
            <w:vAlign w:val="center"/>
            <w:hideMark/>
          </w:tcPr>
          <w:p w14:paraId="444937C7"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359,361</w:t>
            </w:r>
          </w:p>
        </w:tc>
        <w:tc>
          <w:tcPr>
            <w:tcW w:w="1156" w:type="dxa"/>
            <w:tcBorders>
              <w:top w:val="nil"/>
              <w:left w:val="nil"/>
              <w:bottom w:val="nil"/>
              <w:right w:val="single" w:sz="8" w:space="0" w:color="auto"/>
            </w:tcBorders>
            <w:shd w:val="clear" w:color="auto" w:fill="auto"/>
            <w:vAlign w:val="center"/>
            <w:hideMark/>
          </w:tcPr>
          <w:p w14:paraId="47EDACC0"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133,678</w:t>
            </w:r>
          </w:p>
        </w:tc>
        <w:tc>
          <w:tcPr>
            <w:tcW w:w="1108" w:type="dxa"/>
            <w:tcBorders>
              <w:top w:val="nil"/>
              <w:left w:val="nil"/>
              <w:bottom w:val="nil"/>
              <w:right w:val="single" w:sz="8" w:space="0" w:color="auto"/>
            </w:tcBorders>
            <w:shd w:val="clear" w:color="auto" w:fill="auto"/>
            <w:vAlign w:val="center"/>
            <w:hideMark/>
          </w:tcPr>
          <w:p w14:paraId="04092B54"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1108" w:type="dxa"/>
            <w:tcBorders>
              <w:top w:val="nil"/>
              <w:left w:val="nil"/>
              <w:bottom w:val="nil"/>
              <w:right w:val="single" w:sz="8" w:space="0" w:color="auto"/>
            </w:tcBorders>
            <w:shd w:val="clear" w:color="auto" w:fill="auto"/>
            <w:vAlign w:val="center"/>
            <w:hideMark/>
          </w:tcPr>
          <w:p w14:paraId="6ECFE65E"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68,093</w:t>
            </w:r>
          </w:p>
        </w:tc>
      </w:tr>
      <w:tr w:rsidR="00D33F7C" w:rsidRPr="00037B23" w14:paraId="76077859" w14:textId="77777777" w:rsidTr="00E213CE">
        <w:trPr>
          <w:trHeight w:val="248"/>
        </w:trPr>
        <w:tc>
          <w:tcPr>
            <w:tcW w:w="3555" w:type="dxa"/>
            <w:tcBorders>
              <w:top w:val="nil"/>
              <w:left w:val="single" w:sz="4" w:space="0" w:color="auto"/>
              <w:bottom w:val="nil"/>
              <w:right w:val="nil"/>
            </w:tcBorders>
            <w:shd w:val="clear" w:color="000000" w:fill="B4C6E7"/>
            <w:vAlign w:val="center"/>
            <w:hideMark/>
          </w:tcPr>
          <w:p w14:paraId="0DF78835"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Bursa Malaysia Derivatives</w:t>
            </w:r>
          </w:p>
        </w:tc>
        <w:tc>
          <w:tcPr>
            <w:tcW w:w="1110" w:type="dxa"/>
            <w:tcBorders>
              <w:top w:val="nil"/>
              <w:left w:val="single" w:sz="8" w:space="0" w:color="auto"/>
              <w:bottom w:val="nil"/>
              <w:right w:val="single" w:sz="8" w:space="0" w:color="auto"/>
            </w:tcBorders>
            <w:shd w:val="clear" w:color="auto" w:fill="auto"/>
            <w:vAlign w:val="center"/>
            <w:hideMark/>
          </w:tcPr>
          <w:p w14:paraId="6C312155"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236,431</w:t>
            </w:r>
          </w:p>
        </w:tc>
        <w:tc>
          <w:tcPr>
            <w:tcW w:w="1108" w:type="dxa"/>
            <w:tcBorders>
              <w:top w:val="nil"/>
              <w:left w:val="nil"/>
              <w:bottom w:val="nil"/>
              <w:right w:val="single" w:sz="8" w:space="0" w:color="auto"/>
            </w:tcBorders>
            <w:shd w:val="clear" w:color="auto" w:fill="auto"/>
            <w:vAlign w:val="center"/>
            <w:hideMark/>
          </w:tcPr>
          <w:p w14:paraId="33D8B00B"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4,447</w:t>
            </w:r>
          </w:p>
        </w:tc>
        <w:tc>
          <w:tcPr>
            <w:tcW w:w="1108" w:type="dxa"/>
            <w:tcBorders>
              <w:top w:val="nil"/>
              <w:left w:val="nil"/>
              <w:bottom w:val="nil"/>
              <w:right w:val="single" w:sz="8" w:space="0" w:color="auto"/>
            </w:tcBorders>
            <w:shd w:val="clear" w:color="auto" w:fill="auto"/>
            <w:vAlign w:val="center"/>
            <w:hideMark/>
          </w:tcPr>
          <w:p w14:paraId="1AE65AB5"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38,581</w:t>
            </w:r>
          </w:p>
        </w:tc>
        <w:tc>
          <w:tcPr>
            <w:tcW w:w="1156" w:type="dxa"/>
            <w:tcBorders>
              <w:top w:val="nil"/>
              <w:left w:val="nil"/>
              <w:bottom w:val="nil"/>
              <w:right w:val="single" w:sz="8" w:space="0" w:color="auto"/>
            </w:tcBorders>
            <w:shd w:val="clear" w:color="auto" w:fill="auto"/>
            <w:vAlign w:val="center"/>
            <w:hideMark/>
          </w:tcPr>
          <w:p w14:paraId="12329AE3"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335</w:t>
            </w:r>
          </w:p>
        </w:tc>
        <w:tc>
          <w:tcPr>
            <w:tcW w:w="1108" w:type="dxa"/>
            <w:tcBorders>
              <w:top w:val="nil"/>
              <w:left w:val="nil"/>
              <w:bottom w:val="nil"/>
              <w:right w:val="single" w:sz="8" w:space="0" w:color="auto"/>
            </w:tcBorders>
            <w:shd w:val="clear" w:color="auto" w:fill="auto"/>
            <w:vAlign w:val="center"/>
            <w:hideMark/>
          </w:tcPr>
          <w:p w14:paraId="3A6CB4BB"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0</w:t>
            </w:r>
          </w:p>
        </w:tc>
        <w:tc>
          <w:tcPr>
            <w:tcW w:w="1108" w:type="dxa"/>
            <w:tcBorders>
              <w:top w:val="nil"/>
              <w:left w:val="nil"/>
              <w:bottom w:val="nil"/>
              <w:right w:val="single" w:sz="8" w:space="0" w:color="auto"/>
            </w:tcBorders>
            <w:shd w:val="clear" w:color="auto" w:fill="auto"/>
            <w:vAlign w:val="center"/>
            <w:hideMark/>
          </w:tcPr>
          <w:p w14:paraId="775E4199"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84</w:t>
            </w:r>
          </w:p>
        </w:tc>
      </w:tr>
      <w:tr w:rsidR="00D33F7C" w:rsidRPr="00037B23" w14:paraId="79A34B25" w14:textId="77777777" w:rsidTr="00E213CE">
        <w:trPr>
          <w:trHeight w:val="248"/>
        </w:trPr>
        <w:tc>
          <w:tcPr>
            <w:tcW w:w="3555" w:type="dxa"/>
            <w:tcBorders>
              <w:top w:val="nil"/>
              <w:left w:val="single" w:sz="4" w:space="0" w:color="auto"/>
              <w:bottom w:val="nil"/>
              <w:right w:val="nil"/>
            </w:tcBorders>
            <w:shd w:val="clear" w:color="000000" w:fill="B4C6E7"/>
            <w:vAlign w:val="center"/>
            <w:hideMark/>
          </w:tcPr>
          <w:p w14:paraId="17A0F295"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China Financial Futures Exchange</w:t>
            </w:r>
          </w:p>
        </w:tc>
        <w:tc>
          <w:tcPr>
            <w:tcW w:w="1110" w:type="dxa"/>
            <w:tcBorders>
              <w:top w:val="nil"/>
              <w:left w:val="single" w:sz="8" w:space="0" w:color="auto"/>
              <w:bottom w:val="nil"/>
              <w:right w:val="single" w:sz="8" w:space="0" w:color="auto"/>
            </w:tcBorders>
            <w:shd w:val="clear" w:color="auto" w:fill="auto"/>
            <w:vAlign w:val="center"/>
            <w:hideMark/>
          </w:tcPr>
          <w:p w14:paraId="14870889"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3,283,882</w:t>
            </w:r>
          </w:p>
        </w:tc>
        <w:tc>
          <w:tcPr>
            <w:tcW w:w="1108" w:type="dxa"/>
            <w:tcBorders>
              <w:top w:val="nil"/>
              <w:left w:val="nil"/>
              <w:bottom w:val="nil"/>
              <w:right w:val="single" w:sz="8" w:space="0" w:color="auto"/>
            </w:tcBorders>
            <w:shd w:val="clear" w:color="auto" w:fill="auto"/>
            <w:vAlign w:val="center"/>
            <w:hideMark/>
          </w:tcPr>
          <w:p w14:paraId="1B5F3169"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719,549</w:t>
            </w:r>
          </w:p>
        </w:tc>
        <w:tc>
          <w:tcPr>
            <w:tcW w:w="1108" w:type="dxa"/>
            <w:tcBorders>
              <w:top w:val="nil"/>
              <w:left w:val="nil"/>
              <w:bottom w:val="nil"/>
              <w:right w:val="single" w:sz="8" w:space="0" w:color="auto"/>
            </w:tcBorders>
            <w:shd w:val="clear" w:color="auto" w:fill="auto"/>
            <w:vAlign w:val="center"/>
            <w:hideMark/>
          </w:tcPr>
          <w:p w14:paraId="2DF7411E"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309,423</w:t>
            </w:r>
          </w:p>
        </w:tc>
        <w:tc>
          <w:tcPr>
            <w:tcW w:w="1156" w:type="dxa"/>
            <w:tcBorders>
              <w:top w:val="nil"/>
              <w:left w:val="nil"/>
              <w:bottom w:val="nil"/>
              <w:right w:val="single" w:sz="8" w:space="0" w:color="auto"/>
            </w:tcBorders>
            <w:shd w:val="clear" w:color="auto" w:fill="auto"/>
            <w:vAlign w:val="center"/>
            <w:hideMark/>
          </w:tcPr>
          <w:p w14:paraId="0189E9AE"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2,211,745</w:t>
            </w:r>
          </w:p>
        </w:tc>
        <w:tc>
          <w:tcPr>
            <w:tcW w:w="1108" w:type="dxa"/>
            <w:tcBorders>
              <w:top w:val="nil"/>
              <w:left w:val="nil"/>
              <w:bottom w:val="nil"/>
              <w:right w:val="single" w:sz="8" w:space="0" w:color="auto"/>
            </w:tcBorders>
            <w:shd w:val="clear" w:color="auto" w:fill="auto"/>
            <w:vAlign w:val="center"/>
            <w:hideMark/>
          </w:tcPr>
          <w:p w14:paraId="22D65A28"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2,824</w:t>
            </w:r>
          </w:p>
        </w:tc>
        <w:tc>
          <w:tcPr>
            <w:tcW w:w="1108" w:type="dxa"/>
            <w:tcBorders>
              <w:top w:val="nil"/>
              <w:left w:val="nil"/>
              <w:bottom w:val="nil"/>
              <w:right w:val="single" w:sz="8" w:space="0" w:color="auto"/>
            </w:tcBorders>
            <w:shd w:val="clear" w:color="auto" w:fill="auto"/>
            <w:vAlign w:val="center"/>
            <w:hideMark/>
          </w:tcPr>
          <w:p w14:paraId="144D6EE0"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200,200</w:t>
            </w:r>
          </w:p>
        </w:tc>
      </w:tr>
      <w:tr w:rsidR="00D33F7C" w:rsidRPr="00037B23" w14:paraId="739F3480" w14:textId="77777777" w:rsidTr="00E213CE">
        <w:trPr>
          <w:trHeight w:val="248"/>
        </w:trPr>
        <w:tc>
          <w:tcPr>
            <w:tcW w:w="3555" w:type="dxa"/>
            <w:tcBorders>
              <w:top w:val="nil"/>
              <w:left w:val="single" w:sz="4" w:space="0" w:color="auto"/>
              <w:bottom w:val="nil"/>
              <w:right w:val="nil"/>
            </w:tcBorders>
            <w:shd w:val="clear" w:color="000000" w:fill="B4C6E7"/>
            <w:vAlign w:val="center"/>
            <w:hideMark/>
          </w:tcPr>
          <w:p w14:paraId="0886C2BE"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Athens Stock Exchange</w:t>
            </w:r>
          </w:p>
        </w:tc>
        <w:tc>
          <w:tcPr>
            <w:tcW w:w="1110" w:type="dxa"/>
            <w:tcBorders>
              <w:top w:val="nil"/>
              <w:left w:val="single" w:sz="8" w:space="0" w:color="auto"/>
              <w:bottom w:val="nil"/>
              <w:right w:val="single" w:sz="8" w:space="0" w:color="auto"/>
            </w:tcBorders>
            <w:shd w:val="clear" w:color="auto" w:fill="auto"/>
            <w:vAlign w:val="center"/>
            <w:hideMark/>
          </w:tcPr>
          <w:p w14:paraId="34E9AB4C"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29,564</w:t>
            </w:r>
          </w:p>
        </w:tc>
        <w:tc>
          <w:tcPr>
            <w:tcW w:w="1108" w:type="dxa"/>
            <w:tcBorders>
              <w:top w:val="nil"/>
              <w:left w:val="nil"/>
              <w:bottom w:val="nil"/>
              <w:right w:val="single" w:sz="8" w:space="0" w:color="auto"/>
            </w:tcBorders>
            <w:shd w:val="clear" w:color="auto" w:fill="auto"/>
            <w:vAlign w:val="center"/>
            <w:hideMark/>
          </w:tcPr>
          <w:p w14:paraId="035D45E6"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155</w:t>
            </w:r>
          </w:p>
        </w:tc>
        <w:tc>
          <w:tcPr>
            <w:tcW w:w="1108" w:type="dxa"/>
            <w:tcBorders>
              <w:top w:val="nil"/>
              <w:left w:val="nil"/>
              <w:bottom w:val="nil"/>
              <w:right w:val="single" w:sz="8" w:space="0" w:color="auto"/>
            </w:tcBorders>
            <w:shd w:val="clear" w:color="auto" w:fill="auto"/>
            <w:vAlign w:val="center"/>
            <w:hideMark/>
          </w:tcPr>
          <w:p w14:paraId="2C4F4061"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5,958</w:t>
            </w:r>
          </w:p>
        </w:tc>
        <w:tc>
          <w:tcPr>
            <w:tcW w:w="1156" w:type="dxa"/>
            <w:tcBorders>
              <w:top w:val="nil"/>
              <w:left w:val="nil"/>
              <w:bottom w:val="nil"/>
              <w:right w:val="single" w:sz="8" w:space="0" w:color="auto"/>
            </w:tcBorders>
            <w:shd w:val="clear" w:color="auto" w:fill="auto"/>
            <w:vAlign w:val="center"/>
            <w:hideMark/>
          </w:tcPr>
          <w:p w14:paraId="77658913"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2,663</w:t>
            </w:r>
          </w:p>
        </w:tc>
        <w:tc>
          <w:tcPr>
            <w:tcW w:w="1108" w:type="dxa"/>
            <w:tcBorders>
              <w:top w:val="nil"/>
              <w:left w:val="nil"/>
              <w:bottom w:val="nil"/>
              <w:right w:val="single" w:sz="8" w:space="0" w:color="auto"/>
            </w:tcBorders>
            <w:shd w:val="clear" w:color="auto" w:fill="auto"/>
            <w:vAlign w:val="center"/>
            <w:hideMark/>
          </w:tcPr>
          <w:p w14:paraId="0D4894D1"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14</w:t>
            </w:r>
          </w:p>
        </w:tc>
        <w:tc>
          <w:tcPr>
            <w:tcW w:w="1108" w:type="dxa"/>
            <w:tcBorders>
              <w:top w:val="nil"/>
              <w:left w:val="nil"/>
              <w:bottom w:val="nil"/>
              <w:right w:val="single" w:sz="8" w:space="0" w:color="auto"/>
            </w:tcBorders>
            <w:shd w:val="clear" w:color="auto" w:fill="auto"/>
            <w:vAlign w:val="center"/>
            <w:hideMark/>
          </w:tcPr>
          <w:p w14:paraId="3481D398"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1,322</w:t>
            </w:r>
          </w:p>
        </w:tc>
      </w:tr>
      <w:tr w:rsidR="00D33F7C" w:rsidRPr="00037B23" w14:paraId="0C9934C8" w14:textId="77777777" w:rsidTr="00E213CE">
        <w:trPr>
          <w:trHeight w:val="248"/>
        </w:trPr>
        <w:tc>
          <w:tcPr>
            <w:tcW w:w="3555" w:type="dxa"/>
            <w:tcBorders>
              <w:top w:val="nil"/>
              <w:left w:val="single" w:sz="4" w:space="0" w:color="auto"/>
              <w:bottom w:val="nil"/>
              <w:right w:val="nil"/>
            </w:tcBorders>
            <w:shd w:val="clear" w:color="000000" w:fill="B4C6E7"/>
            <w:vAlign w:val="center"/>
            <w:hideMark/>
          </w:tcPr>
          <w:p w14:paraId="3DADFAE0"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BME Spanish Exchanges</w:t>
            </w:r>
          </w:p>
        </w:tc>
        <w:tc>
          <w:tcPr>
            <w:tcW w:w="1110" w:type="dxa"/>
            <w:tcBorders>
              <w:top w:val="nil"/>
              <w:left w:val="single" w:sz="8" w:space="0" w:color="auto"/>
              <w:bottom w:val="nil"/>
              <w:right w:val="single" w:sz="8" w:space="0" w:color="auto"/>
            </w:tcBorders>
            <w:shd w:val="clear" w:color="auto" w:fill="auto"/>
            <w:vAlign w:val="center"/>
            <w:hideMark/>
          </w:tcPr>
          <w:p w14:paraId="567E3E43"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491,348</w:t>
            </w:r>
          </w:p>
        </w:tc>
        <w:tc>
          <w:tcPr>
            <w:tcW w:w="1108" w:type="dxa"/>
            <w:tcBorders>
              <w:top w:val="nil"/>
              <w:left w:val="nil"/>
              <w:bottom w:val="nil"/>
              <w:right w:val="single" w:sz="8" w:space="0" w:color="auto"/>
            </w:tcBorders>
            <w:shd w:val="clear" w:color="auto" w:fill="auto"/>
            <w:vAlign w:val="center"/>
            <w:hideMark/>
          </w:tcPr>
          <w:p w14:paraId="442776D8"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46,620</w:t>
            </w:r>
          </w:p>
        </w:tc>
        <w:tc>
          <w:tcPr>
            <w:tcW w:w="1108" w:type="dxa"/>
            <w:tcBorders>
              <w:top w:val="nil"/>
              <w:left w:val="nil"/>
              <w:bottom w:val="nil"/>
              <w:right w:val="single" w:sz="8" w:space="0" w:color="auto"/>
            </w:tcBorders>
            <w:shd w:val="clear" w:color="auto" w:fill="auto"/>
            <w:vAlign w:val="center"/>
            <w:hideMark/>
          </w:tcPr>
          <w:p w14:paraId="39070287"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110,418</w:t>
            </w:r>
          </w:p>
        </w:tc>
        <w:tc>
          <w:tcPr>
            <w:tcW w:w="1156" w:type="dxa"/>
            <w:tcBorders>
              <w:top w:val="nil"/>
              <w:left w:val="nil"/>
              <w:bottom w:val="nil"/>
              <w:right w:val="single" w:sz="8" w:space="0" w:color="auto"/>
            </w:tcBorders>
            <w:shd w:val="clear" w:color="auto" w:fill="auto"/>
            <w:vAlign w:val="center"/>
            <w:hideMark/>
          </w:tcPr>
          <w:p w14:paraId="5CF8C883"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117,505</w:t>
            </w:r>
          </w:p>
        </w:tc>
        <w:tc>
          <w:tcPr>
            <w:tcW w:w="1108" w:type="dxa"/>
            <w:tcBorders>
              <w:top w:val="nil"/>
              <w:left w:val="nil"/>
              <w:bottom w:val="nil"/>
              <w:right w:val="single" w:sz="8" w:space="0" w:color="auto"/>
            </w:tcBorders>
            <w:shd w:val="clear" w:color="auto" w:fill="auto"/>
            <w:vAlign w:val="center"/>
            <w:hideMark/>
          </w:tcPr>
          <w:p w14:paraId="4F3130C4"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1,284</w:t>
            </w:r>
          </w:p>
        </w:tc>
        <w:tc>
          <w:tcPr>
            <w:tcW w:w="1108" w:type="dxa"/>
            <w:tcBorders>
              <w:top w:val="nil"/>
              <w:left w:val="nil"/>
              <w:bottom w:val="nil"/>
              <w:right w:val="single" w:sz="8" w:space="0" w:color="auto"/>
            </w:tcBorders>
            <w:shd w:val="clear" w:color="auto" w:fill="auto"/>
            <w:vAlign w:val="center"/>
            <w:hideMark/>
          </w:tcPr>
          <w:p w14:paraId="2D28AD9D"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628,431</w:t>
            </w:r>
          </w:p>
        </w:tc>
      </w:tr>
      <w:tr w:rsidR="00D33F7C" w:rsidRPr="00037B23" w14:paraId="201FACB8" w14:textId="77777777" w:rsidTr="00E213CE">
        <w:trPr>
          <w:trHeight w:val="248"/>
        </w:trPr>
        <w:tc>
          <w:tcPr>
            <w:tcW w:w="3555" w:type="dxa"/>
            <w:tcBorders>
              <w:top w:val="nil"/>
              <w:left w:val="single" w:sz="4" w:space="0" w:color="auto"/>
              <w:bottom w:val="nil"/>
              <w:right w:val="nil"/>
            </w:tcBorders>
            <w:shd w:val="clear" w:color="000000" w:fill="B4C6E7"/>
            <w:vAlign w:val="center"/>
            <w:hideMark/>
          </w:tcPr>
          <w:p w14:paraId="6C8AA0D7"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Borsa Istanbul</w:t>
            </w:r>
          </w:p>
        </w:tc>
        <w:tc>
          <w:tcPr>
            <w:tcW w:w="1110" w:type="dxa"/>
            <w:tcBorders>
              <w:top w:val="nil"/>
              <w:left w:val="single" w:sz="8" w:space="0" w:color="auto"/>
              <w:bottom w:val="nil"/>
              <w:right w:val="single" w:sz="8" w:space="0" w:color="auto"/>
            </w:tcBorders>
            <w:shd w:val="clear" w:color="auto" w:fill="auto"/>
            <w:vAlign w:val="center"/>
            <w:hideMark/>
          </w:tcPr>
          <w:p w14:paraId="1D493D30"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5,076,929</w:t>
            </w:r>
          </w:p>
        </w:tc>
        <w:tc>
          <w:tcPr>
            <w:tcW w:w="1108" w:type="dxa"/>
            <w:tcBorders>
              <w:top w:val="nil"/>
              <w:left w:val="nil"/>
              <w:bottom w:val="nil"/>
              <w:right w:val="single" w:sz="8" w:space="0" w:color="auto"/>
            </w:tcBorders>
            <w:shd w:val="clear" w:color="auto" w:fill="auto"/>
            <w:vAlign w:val="center"/>
            <w:hideMark/>
          </w:tcPr>
          <w:p w14:paraId="1DBD0F44"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9,107</w:t>
            </w:r>
          </w:p>
        </w:tc>
        <w:tc>
          <w:tcPr>
            <w:tcW w:w="1108" w:type="dxa"/>
            <w:tcBorders>
              <w:top w:val="nil"/>
              <w:left w:val="nil"/>
              <w:bottom w:val="nil"/>
              <w:right w:val="single" w:sz="8" w:space="0" w:color="auto"/>
            </w:tcBorders>
            <w:shd w:val="clear" w:color="auto" w:fill="auto"/>
            <w:vAlign w:val="center"/>
            <w:hideMark/>
          </w:tcPr>
          <w:p w14:paraId="78FF5959"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587,022</w:t>
            </w:r>
          </w:p>
        </w:tc>
        <w:tc>
          <w:tcPr>
            <w:tcW w:w="1156" w:type="dxa"/>
            <w:tcBorders>
              <w:top w:val="nil"/>
              <w:left w:val="nil"/>
              <w:bottom w:val="nil"/>
              <w:right w:val="single" w:sz="8" w:space="0" w:color="auto"/>
            </w:tcBorders>
            <w:shd w:val="clear" w:color="auto" w:fill="auto"/>
            <w:vAlign w:val="center"/>
            <w:hideMark/>
          </w:tcPr>
          <w:p w14:paraId="7713ADA1"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20,035</w:t>
            </w:r>
          </w:p>
        </w:tc>
        <w:tc>
          <w:tcPr>
            <w:tcW w:w="1108" w:type="dxa"/>
            <w:tcBorders>
              <w:top w:val="nil"/>
              <w:left w:val="nil"/>
              <w:bottom w:val="nil"/>
              <w:right w:val="single" w:sz="8" w:space="0" w:color="auto"/>
            </w:tcBorders>
            <w:shd w:val="clear" w:color="auto" w:fill="auto"/>
            <w:vAlign w:val="center"/>
            <w:hideMark/>
          </w:tcPr>
          <w:p w14:paraId="48F8F4E5"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36</w:t>
            </w:r>
          </w:p>
        </w:tc>
        <w:tc>
          <w:tcPr>
            <w:tcW w:w="1108" w:type="dxa"/>
            <w:tcBorders>
              <w:top w:val="nil"/>
              <w:left w:val="nil"/>
              <w:bottom w:val="nil"/>
              <w:right w:val="single" w:sz="8" w:space="0" w:color="auto"/>
            </w:tcBorders>
            <w:shd w:val="clear" w:color="auto" w:fill="auto"/>
            <w:vAlign w:val="center"/>
            <w:hideMark/>
          </w:tcPr>
          <w:p w14:paraId="11D7D554"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18,367</w:t>
            </w:r>
          </w:p>
        </w:tc>
      </w:tr>
      <w:tr w:rsidR="00D33F7C" w:rsidRPr="00037B23" w14:paraId="3EE24384" w14:textId="77777777" w:rsidTr="00E213CE">
        <w:trPr>
          <w:trHeight w:val="248"/>
        </w:trPr>
        <w:tc>
          <w:tcPr>
            <w:tcW w:w="3555" w:type="dxa"/>
            <w:tcBorders>
              <w:top w:val="nil"/>
              <w:left w:val="single" w:sz="4" w:space="0" w:color="auto"/>
              <w:bottom w:val="nil"/>
              <w:right w:val="nil"/>
            </w:tcBorders>
            <w:shd w:val="clear" w:color="000000" w:fill="B4C6E7"/>
            <w:vAlign w:val="center"/>
            <w:hideMark/>
          </w:tcPr>
          <w:p w14:paraId="7A31C0F8"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Budapest Stock Exchange</w:t>
            </w:r>
          </w:p>
        </w:tc>
        <w:tc>
          <w:tcPr>
            <w:tcW w:w="1110" w:type="dxa"/>
            <w:tcBorders>
              <w:top w:val="nil"/>
              <w:left w:val="single" w:sz="8" w:space="0" w:color="auto"/>
              <w:bottom w:val="nil"/>
              <w:right w:val="single" w:sz="8" w:space="0" w:color="auto"/>
            </w:tcBorders>
            <w:shd w:val="clear" w:color="auto" w:fill="auto"/>
            <w:vAlign w:val="center"/>
            <w:hideMark/>
          </w:tcPr>
          <w:p w14:paraId="61C4D7C9"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32,883</w:t>
            </w:r>
          </w:p>
        </w:tc>
        <w:tc>
          <w:tcPr>
            <w:tcW w:w="1108" w:type="dxa"/>
            <w:tcBorders>
              <w:top w:val="nil"/>
              <w:left w:val="nil"/>
              <w:bottom w:val="nil"/>
              <w:right w:val="single" w:sz="8" w:space="0" w:color="auto"/>
            </w:tcBorders>
            <w:shd w:val="clear" w:color="auto" w:fill="auto"/>
            <w:vAlign w:val="center"/>
            <w:hideMark/>
          </w:tcPr>
          <w:p w14:paraId="57973739"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52</w:t>
            </w:r>
          </w:p>
        </w:tc>
        <w:tc>
          <w:tcPr>
            <w:tcW w:w="1108" w:type="dxa"/>
            <w:tcBorders>
              <w:top w:val="nil"/>
              <w:left w:val="nil"/>
              <w:bottom w:val="nil"/>
              <w:right w:val="single" w:sz="8" w:space="0" w:color="auto"/>
            </w:tcBorders>
            <w:shd w:val="clear" w:color="auto" w:fill="auto"/>
            <w:vAlign w:val="center"/>
            <w:hideMark/>
          </w:tcPr>
          <w:p w14:paraId="5F2E738D"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12,750</w:t>
            </w:r>
          </w:p>
        </w:tc>
        <w:tc>
          <w:tcPr>
            <w:tcW w:w="1156" w:type="dxa"/>
            <w:tcBorders>
              <w:top w:val="nil"/>
              <w:left w:val="nil"/>
              <w:bottom w:val="nil"/>
              <w:right w:val="single" w:sz="8" w:space="0" w:color="auto"/>
            </w:tcBorders>
            <w:shd w:val="clear" w:color="auto" w:fill="auto"/>
            <w:vAlign w:val="center"/>
            <w:hideMark/>
          </w:tcPr>
          <w:p w14:paraId="1413CD01"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0</w:t>
            </w:r>
          </w:p>
        </w:tc>
        <w:tc>
          <w:tcPr>
            <w:tcW w:w="1108" w:type="dxa"/>
            <w:tcBorders>
              <w:top w:val="nil"/>
              <w:left w:val="nil"/>
              <w:bottom w:val="nil"/>
              <w:right w:val="single" w:sz="8" w:space="0" w:color="auto"/>
            </w:tcBorders>
            <w:shd w:val="clear" w:color="auto" w:fill="auto"/>
            <w:vAlign w:val="center"/>
            <w:hideMark/>
          </w:tcPr>
          <w:p w14:paraId="56AC5E9A"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0</w:t>
            </w:r>
          </w:p>
        </w:tc>
        <w:tc>
          <w:tcPr>
            <w:tcW w:w="1108" w:type="dxa"/>
            <w:tcBorders>
              <w:top w:val="nil"/>
              <w:left w:val="nil"/>
              <w:bottom w:val="nil"/>
              <w:right w:val="single" w:sz="8" w:space="0" w:color="auto"/>
            </w:tcBorders>
            <w:shd w:val="clear" w:color="auto" w:fill="auto"/>
            <w:vAlign w:val="center"/>
            <w:hideMark/>
          </w:tcPr>
          <w:p w14:paraId="2DB61F79"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0</w:t>
            </w:r>
          </w:p>
        </w:tc>
      </w:tr>
      <w:tr w:rsidR="00D33F7C" w:rsidRPr="00037B23" w14:paraId="5BF7FA47" w14:textId="77777777" w:rsidTr="00E213CE">
        <w:trPr>
          <w:trHeight w:val="248"/>
        </w:trPr>
        <w:tc>
          <w:tcPr>
            <w:tcW w:w="3555" w:type="dxa"/>
            <w:tcBorders>
              <w:top w:val="nil"/>
              <w:left w:val="single" w:sz="4" w:space="0" w:color="auto"/>
              <w:bottom w:val="nil"/>
              <w:right w:val="nil"/>
            </w:tcBorders>
            <w:shd w:val="clear" w:color="000000" w:fill="B4C6E7"/>
            <w:vAlign w:val="center"/>
            <w:hideMark/>
          </w:tcPr>
          <w:p w14:paraId="094501A3"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Deutsche Boerse AG</w:t>
            </w:r>
          </w:p>
        </w:tc>
        <w:tc>
          <w:tcPr>
            <w:tcW w:w="1110" w:type="dxa"/>
            <w:tcBorders>
              <w:top w:val="nil"/>
              <w:left w:val="single" w:sz="8" w:space="0" w:color="auto"/>
              <w:bottom w:val="nil"/>
              <w:right w:val="single" w:sz="8" w:space="0" w:color="auto"/>
            </w:tcBorders>
            <w:shd w:val="clear" w:color="auto" w:fill="auto"/>
            <w:vAlign w:val="center"/>
            <w:hideMark/>
          </w:tcPr>
          <w:p w14:paraId="375C8629"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30,062,311</w:t>
            </w:r>
          </w:p>
        </w:tc>
        <w:tc>
          <w:tcPr>
            <w:tcW w:w="1108" w:type="dxa"/>
            <w:tcBorders>
              <w:top w:val="nil"/>
              <w:left w:val="nil"/>
              <w:bottom w:val="nil"/>
              <w:right w:val="single" w:sz="8" w:space="0" w:color="auto"/>
            </w:tcBorders>
            <w:shd w:val="clear" w:color="auto" w:fill="auto"/>
            <w:vAlign w:val="center"/>
            <w:hideMark/>
          </w:tcPr>
          <w:p w14:paraId="7393925B"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1,762,695</w:t>
            </w:r>
          </w:p>
        </w:tc>
        <w:tc>
          <w:tcPr>
            <w:tcW w:w="1108" w:type="dxa"/>
            <w:tcBorders>
              <w:top w:val="nil"/>
              <w:left w:val="nil"/>
              <w:bottom w:val="nil"/>
              <w:right w:val="single" w:sz="8" w:space="0" w:color="auto"/>
            </w:tcBorders>
            <w:shd w:val="clear" w:color="auto" w:fill="auto"/>
            <w:vAlign w:val="center"/>
            <w:hideMark/>
          </w:tcPr>
          <w:p w14:paraId="7F62A77D"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10,538,720</w:t>
            </w:r>
          </w:p>
        </w:tc>
        <w:tc>
          <w:tcPr>
            <w:tcW w:w="1156" w:type="dxa"/>
            <w:tcBorders>
              <w:top w:val="nil"/>
              <w:left w:val="nil"/>
              <w:bottom w:val="nil"/>
              <w:right w:val="single" w:sz="8" w:space="0" w:color="auto"/>
            </w:tcBorders>
            <w:shd w:val="clear" w:color="auto" w:fill="auto"/>
            <w:vAlign w:val="center"/>
            <w:hideMark/>
          </w:tcPr>
          <w:p w14:paraId="06C05F20"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29,222,391</w:t>
            </w:r>
          </w:p>
        </w:tc>
        <w:tc>
          <w:tcPr>
            <w:tcW w:w="1108" w:type="dxa"/>
            <w:tcBorders>
              <w:top w:val="nil"/>
              <w:left w:val="nil"/>
              <w:bottom w:val="nil"/>
              <w:right w:val="single" w:sz="8" w:space="0" w:color="auto"/>
            </w:tcBorders>
            <w:shd w:val="clear" w:color="auto" w:fill="auto"/>
            <w:vAlign w:val="center"/>
            <w:hideMark/>
          </w:tcPr>
          <w:p w14:paraId="1D0DF3B8"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1,301,595</w:t>
            </w:r>
          </w:p>
        </w:tc>
        <w:tc>
          <w:tcPr>
            <w:tcW w:w="1108" w:type="dxa"/>
            <w:tcBorders>
              <w:top w:val="nil"/>
              <w:left w:val="nil"/>
              <w:bottom w:val="nil"/>
              <w:right w:val="single" w:sz="8" w:space="0" w:color="auto"/>
            </w:tcBorders>
            <w:shd w:val="clear" w:color="auto" w:fill="auto"/>
            <w:vAlign w:val="center"/>
            <w:hideMark/>
          </w:tcPr>
          <w:p w14:paraId="3B4B89F3"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54,096,355</w:t>
            </w:r>
          </w:p>
        </w:tc>
      </w:tr>
      <w:tr w:rsidR="00D33F7C" w:rsidRPr="00037B23" w14:paraId="0250F432" w14:textId="77777777" w:rsidTr="00E213CE">
        <w:trPr>
          <w:trHeight w:val="248"/>
        </w:trPr>
        <w:tc>
          <w:tcPr>
            <w:tcW w:w="3555" w:type="dxa"/>
            <w:tcBorders>
              <w:top w:val="nil"/>
              <w:left w:val="single" w:sz="4" w:space="0" w:color="auto"/>
              <w:bottom w:val="nil"/>
              <w:right w:val="nil"/>
            </w:tcBorders>
            <w:shd w:val="clear" w:color="000000" w:fill="B4C6E7"/>
            <w:vAlign w:val="center"/>
            <w:hideMark/>
          </w:tcPr>
          <w:p w14:paraId="53496F2D"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Euronext</w:t>
            </w:r>
          </w:p>
        </w:tc>
        <w:tc>
          <w:tcPr>
            <w:tcW w:w="1110" w:type="dxa"/>
            <w:tcBorders>
              <w:top w:val="nil"/>
              <w:left w:val="single" w:sz="8" w:space="0" w:color="auto"/>
              <w:bottom w:val="nil"/>
              <w:right w:val="single" w:sz="8" w:space="0" w:color="auto"/>
            </w:tcBorders>
            <w:shd w:val="clear" w:color="auto" w:fill="auto"/>
            <w:vAlign w:val="center"/>
            <w:hideMark/>
          </w:tcPr>
          <w:p w14:paraId="433AF514"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3,246,883</w:t>
            </w:r>
          </w:p>
        </w:tc>
        <w:tc>
          <w:tcPr>
            <w:tcW w:w="1108" w:type="dxa"/>
            <w:tcBorders>
              <w:top w:val="nil"/>
              <w:left w:val="nil"/>
              <w:bottom w:val="nil"/>
              <w:right w:val="single" w:sz="8" w:space="0" w:color="auto"/>
            </w:tcBorders>
            <w:shd w:val="clear" w:color="auto" w:fill="auto"/>
            <w:vAlign w:val="center"/>
            <w:hideMark/>
          </w:tcPr>
          <w:p w14:paraId="47D8D10A"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314,161</w:t>
            </w:r>
          </w:p>
        </w:tc>
        <w:tc>
          <w:tcPr>
            <w:tcW w:w="1108" w:type="dxa"/>
            <w:tcBorders>
              <w:top w:val="nil"/>
              <w:left w:val="nil"/>
              <w:bottom w:val="nil"/>
              <w:right w:val="single" w:sz="8" w:space="0" w:color="auto"/>
            </w:tcBorders>
            <w:shd w:val="clear" w:color="auto" w:fill="auto"/>
            <w:vAlign w:val="center"/>
            <w:hideMark/>
          </w:tcPr>
          <w:p w14:paraId="63D83F21"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785,691</w:t>
            </w:r>
          </w:p>
        </w:tc>
        <w:tc>
          <w:tcPr>
            <w:tcW w:w="1156" w:type="dxa"/>
            <w:tcBorders>
              <w:top w:val="nil"/>
              <w:left w:val="nil"/>
              <w:bottom w:val="nil"/>
              <w:right w:val="single" w:sz="8" w:space="0" w:color="auto"/>
            </w:tcBorders>
            <w:shd w:val="clear" w:color="auto" w:fill="auto"/>
            <w:vAlign w:val="center"/>
            <w:hideMark/>
          </w:tcPr>
          <w:p w14:paraId="79FAAE4D"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1,582,192</w:t>
            </w:r>
          </w:p>
        </w:tc>
        <w:tc>
          <w:tcPr>
            <w:tcW w:w="1108" w:type="dxa"/>
            <w:tcBorders>
              <w:top w:val="nil"/>
              <w:left w:val="nil"/>
              <w:bottom w:val="nil"/>
              <w:right w:val="single" w:sz="8" w:space="0" w:color="auto"/>
            </w:tcBorders>
            <w:shd w:val="clear" w:color="auto" w:fill="auto"/>
            <w:vAlign w:val="center"/>
            <w:hideMark/>
          </w:tcPr>
          <w:p w14:paraId="20FDAD98"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121,286</w:t>
            </w:r>
          </w:p>
        </w:tc>
        <w:tc>
          <w:tcPr>
            <w:tcW w:w="1108" w:type="dxa"/>
            <w:tcBorders>
              <w:top w:val="nil"/>
              <w:left w:val="nil"/>
              <w:bottom w:val="nil"/>
              <w:right w:val="single" w:sz="8" w:space="0" w:color="auto"/>
            </w:tcBorders>
            <w:shd w:val="clear" w:color="auto" w:fill="auto"/>
            <w:vAlign w:val="center"/>
            <w:hideMark/>
          </w:tcPr>
          <w:p w14:paraId="3EF9702B"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939,806</w:t>
            </w:r>
          </w:p>
        </w:tc>
      </w:tr>
      <w:tr w:rsidR="00D33F7C" w:rsidRPr="00037B23" w14:paraId="4CFFE66E" w14:textId="77777777" w:rsidTr="00E213CE">
        <w:trPr>
          <w:trHeight w:val="248"/>
        </w:trPr>
        <w:tc>
          <w:tcPr>
            <w:tcW w:w="3555" w:type="dxa"/>
            <w:tcBorders>
              <w:top w:val="nil"/>
              <w:left w:val="single" w:sz="4" w:space="0" w:color="auto"/>
              <w:bottom w:val="nil"/>
              <w:right w:val="nil"/>
            </w:tcBorders>
            <w:shd w:val="clear" w:color="000000" w:fill="B4C6E7"/>
            <w:vAlign w:val="center"/>
            <w:hideMark/>
          </w:tcPr>
          <w:p w14:paraId="76B4DC15"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Moscow Exchange</w:t>
            </w:r>
          </w:p>
        </w:tc>
        <w:tc>
          <w:tcPr>
            <w:tcW w:w="1110" w:type="dxa"/>
            <w:tcBorders>
              <w:top w:val="nil"/>
              <w:left w:val="single" w:sz="8" w:space="0" w:color="auto"/>
              <w:bottom w:val="nil"/>
              <w:right w:val="single" w:sz="8" w:space="0" w:color="auto"/>
            </w:tcBorders>
            <w:shd w:val="clear" w:color="auto" w:fill="auto"/>
            <w:vAlign w:val="center"/>
            <w:hideMark/>
          </w:tcPr>
          <w:p w14:paraId="136BFB22"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10,706,090</w:t>
            </w:r>
          </w:p>
        </w:tc>
        <w:tc>
          <w:tcPr>
            <w:tcW w:w="1108" w:type="dxa"/>
            <w:tcBorders>
              <w:top w:val="nil"/>
              <w:left w:val="nil"/>
              <w:bottom w:val="nil"/>
              <w:right w:val="single" w:sz="8" w:space="0" w:color="auto"/>
            </w:tcBorders>
            <w:shd w:val="clear" w:color="auto" w:fill="auto"/>
            <w:vAlign w:val="center"/>
            <w:hideMark/>
          </w:tcPr>
          <w:p w14:paraId="308E0851"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32,425</w:t>
            </w:r>
          </w:p>
        </w:tc>
        <w:tc>
          <w:tcPr>
            <w:tcW w:w="1108" w:type="dxa"/>
            <w:tcBorders>
              <w:top w:val="nil"/>
              <w:left w:val="nil"/>
              <w:bottom w:val="nil"/>
              <w:right w:val="single" w:sz="8" w:space="0" w:color="auto"/>
            </w:tcBorders>
            <w:shd w:val="clear" w:color="auto" w:fill="auto"/>
            <w:vAlign w:val="center"/>
            <w:hideMark/>
          </w:tcPr>
          <w:p w14:paraId="53E1D168"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571,296</w:t>
            </w:r>
          </w:p>
        </w:tc>
        <w:tc>
          <w:tcPr>
            <w:tcW w:w="1156" w:type="dxa"/>
            <w:tcBorders>
              <w:top w:val="nil"/>
              <w:left w:val="nil"/>
              <w:bottom w:val="nil"/>
              <w:right w:val="single" w:sz="8" w:space="0" w:color="auto"/>
            </w:tcBorders>
            <w:shd w:val="clear" w:color="auto" w:fill="auto"/>
            <w:vAlign w:val="center"/>
            <w:hideMark/>
          </w:tcPr>
          <w:p w14:paraId="192B75A6"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1,089,081</w:t>
            </w:r>
          </w:p>
        </w:tc>
        <w:tc>
          <w:tcPr>
            <w:tcW w:w="1108" w:type="dxa"/>
            <w:tcBorders>
              <w:top w:val="nil"/>
              <w:left w:val="nil"/>
              <w:bottom w:val="nil"/>
              <w:right w:val="single" w:sz="8" w:space="0" w:color="auto"/>
            </w:tcBorders>
            <w:shd w:val="clear" w:color="auto" w:fill="auto"/>
            <w:vAlign w:val="center"/>
            <w:hideMark/>
          </w:tcPr>
          <w:p w14:paraId="334D263D"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3,360</w:t>
            </w:r>
          </w:p>
        </w:tc>
        <w:tc>
          <w:tcPr>
            <w:tcW w:w="1108" w:type="dxa"/>
            <w:tcBorders>
              <w:top w:val="nil"/>
              <w:left w:val="nil"/>
              <w:bottom w:val="nil"/>
              <w:right w:val="single" w:sz="8" w:space="0" w:color="auto"/>
            </w:tcBorders>
            <w:shd w:val="clear" w:color="auto" w:fill="auto"/>
            <w:vAlign w:val="center"/>
            <w:hideMark/>
          </w:tcPr>
          <w:p w14:paraId="31C0D032"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472,146</w:t>
            </w:r>
          </w:p>
        </w:tc>
      </w:tr>
      <w:tr w:rsidR="00D33F7C" w:rsidRPr="00037B23" w14:paraId="102FE77D" w14:textId="77777777" w:rsidTr="00E213CE">
        <w:trPr>
          <w:trHeight w:val="248"/>
        </w:trPr>
        <w:tc>
          <w:tcPr>
            <w:tcW w:w="3555" w:type="dxa"/>
            <w:tcBorders>
              <w:top w:val="nil"/>
              <w:left w:val="single" w:sz="4" w:space="0" w:color="auto"/>
              <w:bottom w:val="nil"/>
              <w:right w:val="nil"/>
            </w:tcBorders>
            <w:shd w:val="clear" w:color="000000" w:fill="B4C6E7"/>
            <w:vAlign w:val="center"/>
            <w:hideMark/>
          </w:tcPr>
          <w:p w14:paraId="1037E2C1"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Nasdaq Nordic and Baltics</w:t>
            </w:r>
          </w:p>
        </w:tc>
        <w:tc>
          <w:tcPr>
            <w:tcW w:w="1110" w:type="dxa"/>
            <w:tcBorders>
              <w:top w:val="nil"/>
              <w:left w:val="single" w:sz="8" w:space="0" w:color="auto"/>
              <w:bottom w:val="nil"/>
              <w:right w:val="single" w:sz="8" w:space="0" w:color="auto"/>
            </w:tcBorders>
            <w:shd w:val="clear" w:color="auto" w:fill="auto"/>
            <w:vAlign w:val="center"/>
            <w:hideMark/>
          </w:tcPr>
          <w:p w14:paraId="4B02C2F4"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2,820,480</w:t>
            </w:r>
          </w:p>
        </w:tc>
        <w:tc>
          <w:tcPr>
            <w:tcW w:w="1108" w:type="dxa"/>
            <w:tcBorders>
              <w:top w:val="nil"/>
              <w:left w:val="nil"/>
              <w:bottom w:val="nil"/>
              <w:right w:val="single" w:sz="8" w:space="0" w:color="auto"/>
            </w:tcBorders>
            <w:shd w:val="clear" w:color="auto" w:fill="auto"/>
            <w:vAlign w:val="center"/>
            <w:hideMark/>
          </w:tcPr>
          <w:p w14:paraId="43FDF75D"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75,072</w:t>
            </w:r>
          </w:p>
        </w:tc>
        <w:tc>
          <w:tcPr>
            <w:tcW w:w="1108" w:type="dxa"/>
            <w:tcBorders>
              <w:top w:val="nil"/>
              <w:left w:val="nil"/>
              <w:bottom w:val="nil"/>
              <w:right w:val="single" w:sz="8" w:space="0" w:color="auto"/>
            </w:tcBorders>
            <w:shd w:val="clear" w:color="auto" w:fill="auto"/>
            <w:vAlign w:val="center"/>
            <w:hideMark/>
          </w:tcPr>
          <w:p w14:paraId="010773C5"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430,885</w:t>
            </w:r>
          </w:p>
        </w:tc>
        <w:tc>
          <w:tcPr>
            <w:tcW w:w="1156" w:type="dxa"/>
            <w:tcBorders>
              <w:top w:val="nil"/>
              <w:left w:val="nil"/>
              <w:bottom w:val="nil"/>
              <w:right w:val="single" w:sz="8" w:space="0" w:color="auto"/>
            </w:tcBorders>
            <w:shd w:val="clear" w:color="auto" w:fill="auto"/>
            <w:vAlign w:val="center"/>
            <w:hideMark/>
          </w:tcPr>
          <w:p w14:paraId="15F0FCE6"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341,269</w:t>
            </w:r>
          </w:p>
        </w:tc>
        <w:tc>
          <w:tcPr>
            <w:tcW w:w="1108" w:type="dxa"/>
            <w:tcBorders>
              <w:top w:val="nil"/>
              <w:left w:val="nil"/>
              <w:bottom w:val="nil"/>
              <w:right w:val="single" w:sz="8" w:space="0" w:color="auto"/>
            </w:tcBorders>
            <w:shd w:val="clear" w:color="auto" w:fill="auto"/>
            <w:vAlign w:val="center"/>
            <w:hideMark/>
          </w:tcPr>
          <w:p w14:paraId="5922BD19"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9,043</w:t>
            </w:r>
          </w:p>
        </w:tc>
        <w:tc>
          <w:tcPr>
            <w:tcW w:w="1108" w:type="dxa"/>
            <w:tcBorders>
              <w:top w:val="nil"/>
              <w:left w:val="nil"/>
              <w:bottom w:val="nil"/>
              <w:right w:val="single" w:sz="8" w:space="0" w:color="auto"/>
            </w:tcBorders>
            <w:shd w:val="clear" w:color="auto" w:fill="auto"/>
            <w:vAlign w:val="center"/>
            <w:hideMark/>
          </w:tcPr>
          <w:p w14:paraId="24BD609B"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417,485</w:t>
            </w:r>
          </w:p>
        </w:tc>
      </w:tr>
      <w:tr w:rsidR="00D33F7C" w:rsidRPr="00037B23" w14:paraId="7EAE4CE4" w14:textId="77777777" w:rsidTr="00E213CE">
        <w:trPr>
          <w:trHeight w:val="248"/>
        </w:trPr>
        <w:tc>
          <w:tcPr>
            <w:tcW w:w="3555" w:type="dxa"/>
            <w:tcBorders>
              <w:top w:val="nil"/>
              <w:left w:val="single" w:sz="4" w:space="0" w:color="auto"/>
              <w:bottom w:val="nil"/>
              <w:right w:val="nil"/>
            </w:tcBorders>
            <w:shd w:val="clear" w:color="000000" w:fill="B4C6E7"/>
            <w:vAlign w:val="center"/>
            <w:hideMark/>
          </w:tcPr>
          <w:p w14:paraId="18D05D56"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Tel-Aviv Stock Exchange</w:t>
            </w:r>
          </w:p>
        </w:tc>
        <w:tc>
          <w:tcPr>
            <w:tcW w:w="1110" w:type="dxa"/>
            <w:tcBorders>
              <w:top w:val="nil"/>
              <w:left w:val="single" w:sz="8" w:space="0" w:color="auto"/>
              <w:bottom w:val="nil"/>
              <w:right w:val="single" w:sz="8" w:space="0" w:color="auto"/>
            </w:tcBorders>
            <w:shd w:val="clear" w:color="auto" w:fill="auto"/>
            <w:vAlign w:val="center"/>
            <w:hideMark/>
          </w:tcPr>
          <w:p w14:paraId="0C996531"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1108" w:type="dxa"/>
            <w:tcBorders>
              <w:top w:val="nil"/>
              <w:left w:val="nil"/>
              <w:bottom w:val="nil"/>
              <w:right w:val="single" w:sz="8" w:space="0" w:color="auto"/>
            </w:tcBorders>
            <w:shd w:val="clear" w:color="auto" w:fill="auto"/>
            <w:vAlign w:val="center"/>
            <w:hideMark/>
          </w:tcPr>
          <w:p w14:paraId="73CBBE12"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1108" w:type="dxa"/>
            <w:tcBorders>
              <w:top w:val="nil"/>
              <w:left w:val="nil"/>
              <w:bottom w:val="nil"/>
              <w:right w:val="single" w:sz="8" w:space="0" w:color="auto"/>
            </w:tcBorders>
            <w:shd w:val="clear" w:color="auto" w:fill="auto"/>
            <w:vAlign w:val="center"/>
            <w:hideMark/>
          </w:tcPr>
          <w:p w14:paraId="6A47BE5C"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1156" w:type="dxa"/>
            <w:tcBorders>
              <w:top w:val="nil"/>
              <w:left w:val="nil"/>
              <w:bottom w:val="nil"/>
              <w:right w:val="single" w:sz="8" w:space="0" w:color="auto"/>
            </w:tcBorders>
            <w:shd w:val="clear" w:color="auto" w:fill="auto"/>
            <w:vAlign w:val="center"/>
            <w:hideMark/>
          </w:tcPr>
          <w:p w14:paraId="5D5EB925"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2,207,010</w:t>
            </w:r>
          </w:p>
        </w:tc>
        <w:tc>
          <w:tcPr>
            <w:tcW w:w="1108" w:type="dxa"/>
            <w:tcBorders>
              <w:top w:val="nil"/>
              <w:left w:val="nil"/>
              <w:bottom w:val="nil"/>
              <w:right w:val="single" w:sz="8" w:space="0" w:color="auto"/>
            </w:tcBorders>
            <w:shd w:val="clear" w:color="auto" w:fill="auto"/>
            <w:vAlign w:val="center"/>
            <w:hideMark/>
          </w:tcPr>
          <w:p w14:paraId="15F1A599"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113,560</w:t>
            </w:r>
          </w:p>
        </w:tc>
        <w:tc>
          <w:tcPr>
            <w:tcW w:w="1108" w:type="dxa"/>
            <w:tcBorders>
              <w:top w:val="nil"/>
              <w:left w:val="nil"/>
              <w:bottom w:val="nil"/>
              <w:right w:val="single" w:sz="8" w:space="0" w:color="auto"/>
            </w:tcBorders>
            <w:shd w:val="clear" w:color="auto" w:fill="auto"/>
            <w:vAlign w:val="center"/>
            <w:hideMark/>
          </w:tcPr>
          <w:p w14:paraId="726A9A4C"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151,822</w:t>
            </w:r>
          </w:p>
        </w:tc>
      </w:tr>
      <w:tr w:rsidR="00D33F7C" w:rsidRPr="00037B23" w14:paraId="2E4B0DC3" w14:textId="77777777" w:rsidTr="00E213CE">
        <w:trPr>
          <w:trHeight w:val="260"/>
        </w:trPr>
        <w:tc>
          <w:tcPr>
            <w:tcW w:w="3555" w:type="dxa"/>
            <w:tcBorders>
              <w:top w:val="nil"/>
              <w:left w:val="single" w:sz="4" w:space="0" w:color="auto"/>
              <w:bottom w:val="nil"/>
              <w:right w:val="nil"/>
            </w:tcBorders>
            <w:shd w:val="clear" w:color="000000" w:fill="B4C6E7"/>
            <w:vAlign w:val="center"/>
            <w:hideMark/>
          </w:tcPr>
          <w:p w14:paraId="7FC8CD9F"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Warsaw Stock Exchange</w:t>
            </w:r>
          </w:p>
        </w:tc>
        <w:tc>
          <w:tcPr>
            <w:tcW w:w="1110" w:type="dxa"/>
            <w:tcBorders>
              <w:top w:val="nil"/>
              <w:left w:val="single" w:sz="8" w:space="0" w:color="auto"/>
              <w:bottom w:val="nil"/>
              <w:right w:val="single" w:sz="8" w:space="0" w:color="auto"/>
            </w:tcBorders>
            <w:shd w:val="clear" w:color="auto" w:fill="auto"/>
            <w:vAlign w:val="center"/>
            <w:hideMark/>
          </w:tcPr>
          <w:p w14:paraId="55854445"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478,475</w:t>
            </w:r>
          </w:p>
        </w:tc>
        <w:tc>
          <w:tcPr>
            <w:tcW w:w="1108" w:type="dxa"/>
            <w:tcBorders>
              <w:top w:val="nil"/>
              <w:left w:val="nil"/>
              <w:bottom w:val="nil"/>
              <w:right w:val="single" w:sz="8" w:space="0" w:color="auto"/>
            </w:tcBorders>
            <w:shd w:val="clear" w:color="auto" w:fill="auto"/>
            <w:vAlign w:val="center"/>
            <w:hideMark/>
          </w:tcPr>
          <w:p w14:paraId="7499007A"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5,441</w:t>
            </w:r>
          </w:p>
        </w:tc>
        <w:tc>
          <w:tcPr>
            <w:tcW w:w="1108" w:type="dxa"/>
            <w:tcBorders>
              <w:top w:val="nil"/>
              <w:left w:val="nil"/>
              <w:bottom w:val="nil"/>
              <w:right w:val="single" w:sz="8" w:space="0" w:color="auto"/>
            </w:tcBorders>
            <w:shd w:val="clear" w:color="auto" w:fill="auto"/>
            <w:vAlign w:val="center"/>
            <w:hideMark/>
          </w:tcPr>
          <w:p w14:paraId="2CB43A5D"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40,305</w:t>
            </w:r>
          </w:p>
        </w:tc>
        <w:tc>
          <w:tcPr>
            <w:tcW w:w="1156" w:type="dxa"/>
            <w:tcBorders>
              <w:top w:val="nil"/>
              <w:left w:val="nil"/>
              <w:bottom w:val="nil"/>
              <w:right w:val="single" w:sz="8" w:space="0" w:color="auto"/>
            </w:tcBorders>
            <w:shd w:val="clear" w:color="auto" w:fill="auto"/>
            <w:vAlign w:val="center"/>
            <w:hideMark/>
          </w:tcPr>
          <w:p w14:paraId="192FC6F2"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32,043</w:t>
            </w:r>
          </w:p>
        </w:tc>
        <w:tc>
          <w:tcPr>
            <w:tcW w:w="1108" w:type="dxa"/>
            <w:tcBorders>
              <w:top w:val="nil"/>
              <w:left w:val="nil"/>
              <w:bottom w:val="nil"/>
              <w:right w:val="single" w:sz="8" w:space="0" w:color="auto"/>
            </w:tcBorders>
            <w:shd w:val="clear" w:color="auto" w:fill="auto"/>
            <w:vAlign w:val="center"/>
            <w:hideMark/>
          </w:tcPr>
          <w:p w14:paraId="58EFFE7D"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186</w:t>
            </w:r>
          </w:p>
        </w:tc>
        <w:tc>
          <w:tcPr>
            <w:tcW w:w="1108" w:type="dxa"/>
            <w:tcBorders>
              <w:top w:val="nil"/>
              <w:left w:val="nil"/>
              <w:bottom w:val="nil"/>
              <w:right w:val="single" w:sz="8" w:space="0" w:color="auto"/>
            </w:tcBorders>
            <w:shd w:val="clear" w:color="auto" w:fill="auto"/>
            <w:vAlign w:val="center"/>
            <w:hideMark/>
          </w:tcPr>
          <w:p w14:paraId="0A02F3AE"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20,467</w:t>
            </w:r>
          </w:p>
        </w:tc>
      </w:tr>
      <w:tr w:rsidR="00D33F7C" w:rsidRPr="00037B23" w14:paraId="0957C5EA" w14:textId="77777777" w:rsidTr="00E213CE">
        <w:trPr>
          <w:trHeight w:val="260"/>
        </w:trPr>
        <w:tc>
          <w:tcPr>
            <w:tcW w:w="3555" w:type="dxa"/>
            <w:tcBorders>
              <w:top w:val="single" w:sz="8" w:space="0" w:color="auto"/>
              <w:left w:val="single" w:sz="8" w:space="0" w:color="auto"/>
              <w:bottom w:val="single" w:sz="8" w:space="0" w:color="auto"/>
              <w:right w:val="nil"/>
            </w:tcBorders>
            <w:shd w:val="clear" w:color="000000" w:fill="D9E1F2"/>
            <w:vAlign w:val="center"/>
            <w:hideMark/>
          </w:tcPr>
          <w:p w14:paraId="105BCA7C" w14:textId="77777777" w:rsidR="00D33F7C" w:rsidRPr="00037B23" w:rsidRDefault="00D33F7C" w:rsidP="00E213CE">
            <w:pPr>
              <w:rPr>
                <w:rFonts w:ascii="Garamond" w:eastAsia="Times New Roman" w:hAnsi="Garamond" w:cs="Calibri"/>
                <w:b/>
                <w:bCs/>
                <w:color w:val="000000"/>
                <w:sz w:val="20"/>
                <w:szCs w:val="20"/>
                <w:lang w:val="en-IN" w:eastAsia="en-IN" w:bidi="hi-IN"/>
              </w:rPr>
            </w:pPr>
            <w:r w:rsidRPr="00037B23">
              <w:rPr>
                <w:rFonts w:ascii="Garamond" w:eastAsia="Times New Roman" w:hAnsi="Garamond" w:cs="Calibri"/>
                <w:b/>
                <w:bCs/>
                <w:color w:val="000000"/>
                <w:sz w:val="20"/>
                <w:szCs w:val="20"/>
                <w:lang w:val="en-IN" w:eastAsia="en-IN" w:bidi="hi-IN"/>
              </w:rPr>
              <w:t>Grand Total</w:t>
            </w:r>
          </w:p>
        </w:tc>
        <w:tc>
          <w:tcPr>
            <w:tcW w:w="1110" w:type="dxa"/>
            <w:tcBorders>
              <w:top w:val="single" w:sz="8" w:space="0" w:color="auto"/>
              <w:left w:val="nil"/>
              <w:bottom w:val="single" w:sz="8" w:space="0" w:color="auto"/>
              <w:right w:val="nil"/>
            </w:tcBorders>
            <w:shd w:val="clear" w:color="000000" w:fill="D9E1F2"/>
            <w:vAlign w:val="bottom"/>
            <w:hideMark/>
          </w:tcPr>
          <w:p w14:paraId="2C73A5F4" w14:textId="77777777" w:rsidR="00D33F7C" w:rsidRPr="00037B23" w:rsidRDefault="00D33F7C" w:rsidP="00E213CE">
            <w:pPr>
              <w:jc w:val="right"/>
              <w:rPr>
                <w:rFonts w:ascii="Garamond" w:eastAsia="Times New Roman" w:hAnsi="Garamond" w:cs="Calibri"/>
                <w:b/>
                <w:bCs/>
                <w:color w:val="000000"/>
                <w:sz w:val="20"/>
                <w:szCs w:val="20"/>
                <w:lang w:val="en-IN" w:eastAsia="en-IN" w:bidi="hi-IN"/>
              </w:rPr>
            </w:pPr>
            <w:r w:rsidRPr="00037B23">
              <w:rPr>
                <w:rFonts w:ascii="Garamond" w:eastAsia="Times New Roman" w:hAnsi="Garamond" w:cs="Calibri"/>
                <w:b/>
                <w:bCs/>
                <w:color w:val="000000"/>
                <w:sz w:val="20"/>
                <w:szCs w:val="20"/>
                <w:lang w:val="en-IN" w:eastAsia="en-IN" w:bidi="hi-IN"/>
              </w:rPr>
              <w:t xml:space="preserve"> 559,759,793</w:t>
            </w:r>
          </w:p>
        </w:tc>
        <w:tc>
          <w:tcPr>
            <w:tcW w:w="1108" w:type="dxa"/>
            <w:tcBorders>
              <w:top w:val="single" w:sz="8" w:space="0" w:color="auto"/>
              <w:left w:val="nil"/>
              <w:bottom w:val="single" w:sz="8" w:space="0" w:color="auto"/>
              <w:right w:val="nil"/>
            </w:tcBorders>
            <w:shd w:val="clear" w:color="000000" w:fill="D9E1F2"/>
            <w:vAlign w:val="bottom"/>
            <w:hideMark/>
          </w:tcPr>
          <w:p w14:paraId="6BB2503D" w14:textId="77777777" w:rsidR="00D33F7C" w:rsidRPr="00037B23" w:rsidRDefault="00D33F7C" w:rsidP="00E213CE">
            <w:pPr>
              <w:jc w:val="right"/>
              <w:rPr>
                <w:rFonts w:ascii="Garamond" w:eastAsia="Times New Roman" w:hAnsi="Garamond" w:cs="Calibri"/>
                <w:b/>
                <w:bCs/>
                <w:color w:val="000000"/>
                <w:sz w:val="20"/>
                <w:szCs w:val="20"/>
                <w:lang w:val="en-IN" w:eastAsia="en-IN" w:bidi="hi-IN"/>
              </w:rPr>
            </w:pPr>
            <w:r w:rsidRPr="00037B23">
              <w:rPr>
                <w:rFonts w:ascii="Garamond" w:eastAsia="Times New Roman" w:hAnsi="Garamond" w:cs="Calibri"/>
                <w:b/>
                <w:bCs/>
                <w:color w:val="000000"/>
                <w:sz w:val="20"/>
                <w:szCs w:val="20"/>
                <w:lang w:val="en-IN" w:eastAsia="en-IN" w:bidi="hi-IN"/>
              </w:rPr>
              <w:t xml:space="preserve"> 21,080,812</w:t>
            </w:r>
          </w:p>
        </w:tc>
        <w:tc>
          <w:tcPr>
            <w:tcW w:w="1108" w:type="dxa"/>
            <w:tcBorders>
              <w:top w:val="single" w:sz="8" w:space="0" w:color="auto"/>
              <w:left w:val="nil"/>
              <w:bottom w:val="single" w:sz="8" w:space="0" w:color="auto"/>
              <w:right w:val="nil"/>
            </w:tcBorders>
            <w:shd w:val="clear" w:color="000000" w:fill="D9E1F2"/>
            <w:vAlign w:val="bottom"/>
            <w:hideMark/>
          </w:tcPr>
          <w:p w14:paraId="32BD22C1" w14:textId="77777777" w:rsidR="00D33F7C" w:rsidRPr="00037B23" w:rsidRDefault="00D33F7C" w:rsidP="00E213CE">
            <w:pPr>
              <w:jc w:val="right"/>
              <w:rPr>
                <w:rFonts w:ascii="Garamond" w:eastAsia="Times New Roman" w:hAnsi="Garamond" w:cs="Calibri"/>
                <w:b/>
                <w:bCs/>
                <w:color w:val="000000"/>
                <w:sz w:val="20"/>
                <w:szCs w:val="20"/>
                <w:lang w:val="en-IN" w:eastAsia="en-IN" w:bidi="hi-IN"/>
              </w:rPr>
            </w:pPr>
            <w:r w:rsidRPr="00037B23">
              <w:rPr>
                <w:rFonts w:ascii="Garamond" w:eastAsia="Times New Roman" w:hAnsi="Garamond" w:cs="Calibri"/>
                <w:b/>
                <w:bCs/>
                <w:color w:val="000000"/>
                <w:sz w:val="20"/>
                <w:szCs w:val="20"/>
                <w:lang w:val="en-IN" w:eastAsia="en-IN" w:bidi="hi-IN"/>
              </w:rPr>
              <w:t xml:space="preserve"> 25,456,353</w:t>
            </w:r>
          </w:p>
        </w:tc>
        <w:tc>
          <w:tcPr>
            <w:tcW w:w="1156" w:type="dxa"/>
            <w:tcBorders>
              <w:top w:val="single" w:sz="8" w:space="0" w:color="auto"/>
              <w:left w:val="nil"/>
              <w:bottom w:val="single" w:sz="8" w:space="0" w:color="auto"/>
              <w:right w:val="nil"/>
            </w:tcBorders>
            <w:shd w:val="clear" w:color="000000" w:fill="D9E1F2"/>
            <w:vAlign w:val="bottom"/>
            <w:hideMark/>
          </w:tcPr>
          <w:p w14:paraId="1CEB23DA" w14:textId="77777777" w:rsidR="00D33F7C" w:rsidRPr="00037B23" w:rsidRDefault="00D33F7C" w:rsidP="00E213CE">
            <w:pPr>
              <w:jc w:val="right"/>
              <w:rPr>
                <w:rFonts w:ascii="Garamond" w:eastAsia="Times New Roman" w:hAnsi="Garamond" w:cs="Calibri"/>
                <w:b/>
                <w:bCs/>
                <w:color w:val="000000"/>
                <w:sz w:val="20"/>
                <w:szCs w:val="20"/>
                <w:lang w:val="en-IN" w:eastAsia="en-IN" w:bidi="hi-IN"/>
              </w:rPr>
            </w:pPr>
            <w:r w:rsidRPr="00037B23">
              <w:rPr>
                <w:rFonts w:ascii="Garamond" w:eastAsia="Times New Roman" w:hAnsi="Garamond" w:cs="Calibri"/>
                <w:b/>
                <w:bCs/>
                <w:color w:val="000000"/>
                <w:sz w:val="20"/>
                <w:szCs w:val="20"/>
                <w:lang w:val="en-IN" w:eastAsia="en-IN" w:bidi="hi-IN"/>
              </w:rPr>
              <w:t xml:space="preserve"> 1035,178,490</w:t>
            </w:r>
          </w:p>
        </w:tc>
        <w:tc>
          <w:tcPr>
            <w:tcW w:w="1108" w:type="dxa"/>
            <w:tcBorders>
              <w:top w:val="single" w:sz="8" w:space="0" w:color="auto"/>
              <w:left w:val="nil"/>
              <w:bottom w:val="single" w:sz="8" w:space="0" w:color="auto"/>
              <w:right w:val="nil"/>
            </w:tcBorders>
            <w:shd w:val="clear" w:color="000000" w:fill="D9E1F2"/>
            <w:vAlign w:val="bottom"/>
            <w:hideMark/>
          </w:tcPr>
          <w:p w14:paraId="03CB1E97" w14:textId="77777777" w:rsidR="00D33F7C" w:rsidRPr="00037B23" w:rsidRDefault="00D33F7C" w:rsidP="00E213CE">
            <w:pPr>
              <w:jc w:val="right"/>
              <w:rPr>
                <w:rFonts w:ascii="Garamond" w:eastAsia="Times New Roman" w:hAnsi="Garamond" w:cs="Calibri"/>
                <w:b/>
                <w:bCs/>
                <w:color w:val="000000"/>
                <w:sz w:val="20"/>
                <w:szCs w:val="20"/>
                <w:lang w:val="en-IN" w:eastAsia="en-IN" w:bidi="hi-IN"/>
              </w:rPr>
            </w:pPr>
            <w:r w:rsidRPr="00037B23">
              <w:rPr>
                <w:rFonts w:ascii="Garamond" w:eastAsia="Times New Roman" w:hAnsi="Garamond" w:cs="Calibri"/>
                <w:b/>
                <w:bCs/>
                <w:color w:val="000000"/>
                <w:sz w:val="20"/>
                <w:szCs w:val="20"/>
                <w:lang w:val="en-IN" w:eastAsia="en-IN" w:bidi="hi-IN"/>
              </w:rPr>
              <w:t xml:space="preserve"> 22,063,123</w:t>
            </w:r>
          </w:p>
        </w:tc>
        <w:tc>
          <w:tcPr>
            <w:tcW w:w="1108" w:type="dxa"/>
            <w:tcBorders>
              <w:top w:val="single" w:sz="8" w:space="0" w:color="auto"/>
              <w:left w:val="nil"/>
              <w:bottom w:val="single" w:sz="8" w:space="0" w:color="auto"/>
              <w:right w:val="single" w:sz="8" w:space="0" w:color="auto"/>
            </w:tcBorders>
            <w:shd w:val="clear" w:color="000000" w:fill="D9E1F2"/>
            <w:vAlign w:val="bottom"/>
            <w:hideMark/>
          </w:tcPr>
          <w:p w14:paraId="226149C5" w14:textId="77777777" w:rsidR="00D33F7C" w:rsidRPr="00037B23" w:rsidRDefault="00D33F7C" w:rsidP="00E213CE">
            <w:pPr>
              <w:jc w:val="right"/>
              <w:rPr>
                <w:rFonts w:ascii="Garamond" w:eastAsia="Times New Roman" w:hAnsi="Garamond" w:cs="Calibri"/>
                <w:b/>
                <w:bCs/>
                <w:color w:val="000000"/>
                <w:sz w:val="20"/>
                <w:szCs w:val="20"/>
                <w:lang w:val="en-IN" w:eastAsia="en-IN" w:bidi="hi-IN"/>
              </w:rPr>
            </w:pPr>
            <w:r w:rsidRPr="00037B23">
              <w:rPr>
                <w:rFonts w:ascii="Garamond" w:eastAsia="Times New Roman" w:hAnsi="Garamond" w:cs="Calibri"/>
                <w:b/>
                <w:bCs/>
                <w:color w:val="000000"/>
                <w:sz w:val="20"/>
                <w:szCs w:val="20"/>
                <w:lang w:val="en-IN" w:eastAsia="en-IN" w:bidi="hi-IN"/>
              </w:rPr>
              <w:t xml:space="preserve"> 97,498,934</w:t>
            </w:r>
          </w:p>
        </w:tc>
      </w:tr>
    </w:tbl>
    <w:p w14:paraId="07505018" w14:textId="77777777" w:rsidR="00D33F7C" w:rsidRPr="00E25198" w:rsidRDefault="00D33F7C" w:rsidP="00D33F7C">
      <w:pPr>
        <w:spacing w:line="23" w:lineRule="atLeast"/>
        <w:rPr>
          <w:rFonts w:ascii="Garamond" w:hAnsi="Garamond"/>
          <w:bCs/>
          <w:sz w:val="18"/>
          <w:szCs w:val="18"/>
        </w:rPr>
      </w:pPr>
    </w:p>
    <w:p w14:paraId="2F1D5108" w14:textId="77777777" w:rsidR="00D33F7C" w:rsidRPr="00E25198" w:rsidRDefault="00D33F7C" w:rsidP="00D33F7C">
      <w:pPr>
        <w:spacing w:line="23" w:lineRule="atLeast"/>
        <w:jc w:val="both"/>
        <w:outlineLvl w:val="0"/>
        <w:rPr>
          <w:rFonts w:ascii="Garamond" w:eastAsia="Times New Roman" w:hAnsi="Garamond" w:cs="Calibri"/>
          <w:color w:val="000000"/>
          <w:sz w:val="20"/>
          <w:szCs w:val="20"/>
          <w:lang w:val="en-IN" w:eastAsia="en-IN"/>
        </w:rPr>
      </w:pPr>
      <w:r w:rsidRPr="00E25198">
        <w:rPr>
          <w:rFonts w:ascii="Garamond" w:hAnsi="Garamond"/>
          <w:bCs/>
          <w:sz w:val="18"/>
          <w:szCs w:val="18"/>
        </w:rPr>
        <w:t>NA: Not Available</w:t>
      </w:r>
      <w:r w:rsidRPr="00E25198">
        <w:rPr>
          <w:rFonts w:ascii="Garamond" w:eastAsia="Times New Roman" w:hAnsi="Garamond" w:cs="Calibri"/>
          <w:color w:val="000000"/>
          <w:sz w:val="20"/>
          <w:szCs w:val="20"/>
          <w:lang w:val="en-IN" w:eastAsia="en-IN"/>
        </w:rPr>
        <w:t>.</w:t>
      </w:r>
    </w:p>
    <w:p w14:paraId="12BA6F1C" w14:textId="77777777" w:rsidR="00D33F7C" w:rsidRPr="00E25198" w:rsidRDefault="00D33F7C" w:rsidP="00D33F7C">
      <w:pPr>
        <w:spacing w:line="23" w:lineRule="atLeast"/>
        <w:jc w:val="both"/>
        <w:outlineLvl w:val="0"/>
        <w:rPr>
          <w:rFonts w:ascii="Garamond" w:eastAsia="Times New Roman" w:hAnsi="Garamond"/>
          <w:bCs/>
          <w:sz w:val="18"/>
          <w:szCs w:val="18"/>
          <w:lang w:val="en-US"/>
        </w:rPr>
      </w:pPr>
      <w:r w:rsidRPr="00E25198">
        <w:rPr>
          <w:rFonts w:ascii="Garamond" w:hAnsi="Garamond"/>
          <w:bCs/>
          <w:sz w:val="18"/>
          <w:szCs w:val="18"/>
        </w:rPr>
        <w:t>Source: World Federation of Exchanges</w:t>
      </w:r>
      <w:r w:rsidRPr="00E25198">
        <w:rPr>
          <w:rFonts w:ascii="Garamond" w:eastAsia="Times New Roman" w:hAnsi="Garamond"/>
          <w:bCs/>
          <w:sz w:val="18"/>
          <w:szCs w:val="18"/>
          <w:lang w:val="en-US"/>
        </w:rPr>
        <w:tab/>
      </w:r>
    </w:p>
    <w:p w14:paraId="1545386D" w14:textId="77777777" w:rsidR="00D33F7C" w:rsidRPr="00E25198" w:rsidRDefault="00D33F7C" w:rsidP="00D33F7C">
      <w:pPr>
        <w:spacing w:line="23" w:lineRule="atLeast"/>
        <w:jc w:val="both"/>
        <w:outlineLvl w:val="0"/>
        <w:rPr>
          <w:rFonts w:ascii="Garamond" w:eastAsia="Times New Roman" w:hAnsi="Garamond"/>
          <w:bCs/>
          <w:sz w:val="18"/>
          <w:szCs w:val="18"/>
          <w:lang w:val="en-US"/>
        </w:rPr>
      </w:pPr>
    </w:p>
    <w:p w14:paraId="1B926A5E" w14:textId="77777777" w:rsidR="00D33F7C" w:rsidRPr="002061D1" w:rsidRDefault="00D33F7C" w:rsidP="00D33F7C">
      <w:pPr>
        <w:rPr>
          <w:rFonts w:ascii="Garamond" w:hAnsi="Garamond"/>
          <w:bCs/>
          <w:sz w:val="22"/>
          <w:szCs w:val="22"/>
        </w:rPr>
      </w:pPr>
      <w:r w:rsidRPr="00E25198">
        <w:rPr>
          <w:rFonts w:ascii="Garamond" w:hAnsi="Garamond"/>
          <w:bCs/>
          <w:sz w:val="22"/>
          <w:szCs w:val="22"/>
        </w:rPr>
        <w:br w:type="page"/>
      </w:r>
    </w:p>
    <w:p w14:paraId="5B075789" w14:textId="77777777" w:rsidR="00D33F7C" w:rsidRPr="002061D1" w:rsidRDefault="00D33F7C" w:rsidP="00D33F7C">
      <w:pPr>
        <w:spacing w:line="23" w:lineRule="atLeast"/>
        <w:jc w:val="both"/>
        <w:rPr>
          <w:rFonts w:ascii="Garamond" w:hAnsi="Garamond"/>
          <w:b/>
          <w:sz w:val="28"/>
          <w:lang w:val="en-US"/>
        </w:rPr>
      </w:pPr>
      <w:r w:rsidRPr="002061D1">
        <w:rPr>
          <w:rFonts w:ascii="Garamond" w:hAnsi="Garamond"/>
          <w:b/>
          <w:bCs/>
          <w:szCs w:val="22"/>
        </w:rPr>
        <w:lastRenderedPageBreak/>
        <w:t>Table A6: Currency Futures and Options Traded in Major Exchanges</w:t>
      </w:r>
    </w:p>
    <w:p w14:paraId="43B6163C" w14:textId="77777777" w:rsidR="00D33F7C" w:rsidRPr="002061D1" w:rsidRDefault="00D33F7C" w:rsidP="00D33F7C">
      <w:pPr>
        <w:ind w:right="-318"/>
        <w:jc w:val="right"/>
        <w:rPr>
          <w:rFonts w:ascii="Garamond" w:eastAsia="Times New Roman" w:hAnsi="Garamond"/>
          <w:bCs/>
          <w:sz w:val="22"/>
          <w:szCs w:val="22"/>
          <w:lang w:val="en-US"/>
        </w:rPr>
      </w:pPr>
      <w:r w:rsidRPr="002061D1">
        <w:rPr>
          <w:rFonts w:ascii="Garamond" w:hAnsi="Garamond"/>
          <w:bCs/>
          <w:sz w:val="22"/>
          <w:szCs w:val="22"/>
        </w:rPr>
        <w:t>Notional Turnover in (USD million)</w:t>
      </w:r>
    </w:p>
    <w:tbl>
      <w:tblPr>
        <w:tblW w:w="10329" w:type="dxa"/>
        <w:tblInd w:w="113" w:type="dxa"/>
        <w:tblLook w:val="04A0" w:firstRow="1" w:lastRow="0" w:firstColumn="1" w:lastColumn="0" w:noHBand="0" w:noVBand="1"/>
      </w:tblPr>
      <w:tblGrid>
        <w:gridCol w:w="3607"/>
        <w:gridCol w:w="1135"/>
        <w:gridCol w:w="1117"/>
        <w:gridCol w:w="1117"/>
        <w:gridCol w:w="1118"/>
        <w:gridCol w:w="1117"/>
        <w:gridCol w:w="1118"/>
      </w:tblGrid>
      <w:tr w:rsidR="00D33F7C" w:rsidRPr="00037B23" w14:paraId="429C2FFE" w14:textId="77777777" w:rsidTr="00E213CE">
        <w:trPr>
          <w:trHeight w:val="241"/>
        </w:trPr>
        <w:tc>
          <w:tcPr>
            <w:tcW w:w="3620" w:type="dxa"/>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14:paraId="3B7FD21D" w14:textId="77777777" w:rsidR="00D33F7C" w:rsidRPr="00037B23" w:rsidRDefault="00D33F7C" w:rsidP="00E213CE">
            <w:pPr>
              <w:jc w:val="center"/>
              <w:rPr>
                <w:rFonts w:ascii="Garamond" w:eastAsia="Times New Roman" w:hAnsi="Garamond" w:cs="Calibri"/>
                <w:b/>
                <w:bCs/>
                <w:color w:val="000000"/>
                <w:sz w:val="20"/>
                <w:szCs w:val="20"/>
                <w:lang w:val="en-IN" w:eastAsia="en-IN" w:bidi="hi-IN"/>
              </w:rPr>
            </w:pPr>
            <w:r w:rsidRPr="00037B23">
              <w:rPr>
                <w:rFonts w:ascii="Garamond" w:eastAsia="Times New Roman" w:hAnsi="Garamond" w:cs="Calibri"/>
                <w:b/>
                <w:bCs/>
                <w:color w:val="000000"/>
                <w:sz w:val="20"/>
                <w:szCs w:val="20"/>
                <w:lang w:val="en-IN" w:eastAsia="en-IN" w:bidi="hi-IN"/>
              </w:rPr>
              <w:t>Exchange</w:t>
            </w:r>
          </w:p>
        </w:tc>
        <w:tc>
          <w:tcPr>
            <w:tcW w:w="6709" w:type="dxa"/>
            <w:gridSpan w:val="6"/>
            <w:tcBorders>
              <w:top w:val="single" w:sz="4" w:space="0" w:color="auto"/>
              <w:left w:val="nil"/>
              <w:bottom w:val="single" w:sz="4" w:space="0" w:color="auto"/>
              <w:right w:val="single" w:sz="4" w:space="0" w:color="auto"/>
            </w:tcBorders>
            <w:shd w:val="clear" w:color="000000" w:fill="B4C6E7"/>
            <w:vAlign w:val="center"/>
            <w:hideMark/>
          </w:tcPr>
          <w:p w14:paraId="31AC85F7" w14:textId="77777777" w:rsidR="00D33F7C" w:rsidRPr="00037B23" w:rsidRDefault="00D33F7C" w:rsidP="00E213CE">
            <w:pPr>
              <w:jc w:val="center"/>
              <w:rPr>
                <w:rFonts w:ascii="Garamond" w:eastAsia="Times New Roman" w:hAnsi="Garamond" w:cs="Calibri"/>
                <w:b/>
                <w:bCs/>
                <w:color w:val="000000"/>
                <w:sz w:val="20"/>
                <w:szCs w:val="20"/>
                <w:lang w:val="en-IN" w:eastAsia="en-IN" w:bidi="hi-IN"/>
              </w:rPr>
            </w:pPr>
            <w:r w:rsidRPr="00037B23">
              <w:rPr>
                <w:rFonts w:ascii="Garamond" w:eastAsia="Times New Roman" w:hAnsi="Garamond" w:cs="Calibri"/>
                <w:b/>
                <w:bCs/>
                <w:color w:val="000000"/>
                <w:sz w:val="20"/>
                <w:szCs w:val="20"/>
                <w:lang w:val="en-IN" w:eastAsia="en-IN" w:bidi="hi-IN"/>
              </w:rPr>
              <w:t>May-21</w:t>
            </w:r>
          </w:p>
        </w:tc>
      </w:tr>
      <w:tr w:rsidR="00D33F7C" w:rsidRPr="00037B23" w14:paraId="21C30DE8" w14:textId="77777777" w:rsidTr="00E213CE">
        <w:trPr>
          <w:trHeight w:val="241"/>
        </w:trPr>
        <w:tc>
          <w:tcPr>
            <w:tcW w:w="3620" w:type="dxa"/>
            <w:vMerge/>
            <w:tcBorders>
              <w:top w:val="single" w:sz="4" w:space="0" w:color="auto"/>
              <w:left w:val="single" w:sz="4" w:space="0" w:color="auto"/>
              <w:bottom w:val="single" w:sz="4" w:space="0" w:color="auto"/>
              <w:right w:val="single" w:sz="4" w:space="0" w:color="auto"/>
            </w:tcBorders>
            <w:vAlign w:val="center"/>
            <w:hideMark/>
          </w:tcPr>
          <w:p w14:paraId="7CEA0640" w14:textId="77777777" w:rsidR="00D33F7C" w:rsidRPr="00037B23" w:rsidRDefault="00D33F7C" w:rsidP="00E213CE">
            <w:pPr>
              <w:rPr>
                <w:rFonts w:ascii="Garamond" w:eastAsia="Times New Roman" w:hAnsi="Garamond" w:cs="Calibri"/>
                <w:b/>
                <w:bCs/>
                <w:color w:val="000000"/>
                <w:sz w:val="20"/>
                <w:szCs w:val="20"/>
                <w:lang w:val="en-IN" w:eastAsia="en-IN" w:bidi="hi-IN"/>
              </w:rPr>
            </w:pPr>
          </w:p>
        </w:tc>
        <w:tc>
          <w:tcPr>
            <w:tcW w:w="3354" w:type="dxa"/>
            <w:gridSpan w:val="3"/>
            <w:tcBorders>
              <w:top w:val="single" w:sz="4" w:space="0" w:color="auto"/>
              <w:left w:val="nil"/>
              <w:bottom w:val="single" w:sz="4" w:space="0" w:color="auto"/>
              <w:right w:val="single" w:sz="4" w:space="0" w:color="auto"/>
            </w:tcBorders>
            <w:shd w:val="clear" w:color="000000" w:fill="B4C6E7"/>
            <w:vAlign w:val="center"/>
            <w:hideMark/>
          </w:tcPr>
          <w:p w14:paraId="38FEC36E" w14:textId="77777777" w:rsidR="00D33F7C" w:rsidRPr="00037B23" w:rsidRDefault="00D33F7C" w:rsidP="00E213CE">
            <w:pPr>
              <w:jc w:val="center"/>
              <w:rPr>
                <w:rFonts w:ascii="Garamond" w:eastAsia="Times New Roman" w:hAnsi="Garamond" w:cs="Calibri"/>
                <w:b/>
                <w:bCs/>
                <w:color w:val="000000"/>
                <w:sz w:val="20"/>
                <w:szCs w:val="20"/>
                <w:lang w:val="en-IN" w:eastAsia="en-IN" w:bidi="hi-IN"/>
              </w:rPr>
            </w:pPr>
            <w:r w:rsidRPr="00037B23">
              <w:rPr>
                <w:rFonts w:ascii="Garamond" w:eastAsia="Times New Roman" w:hAnsi="Garamond" w:cs="Calibri"/>
                <w:b/>
                <w:bCs/>
                <w:color w:val="000000"/>
                <w:sz w:val="20"/>
                <w:szCs w:val="20"/>
                <w:lang w:val="en-IN" w:eastAsia="en-IN" w:bidi="hi-IN"/>
              </w:rPr>
              <w:t>Currency Futures</w:t>
            </w:r>
          </w:p>
        </w:tc>
        <w:tc>
          <w:tcPr>
            <w:tcW w:w="3354" w:type="dxa"/>
            <w:gridSpan w:val="3"/>
            <w:tcBorders>
              <w:top w:val="single" w:sz="4" w:space="0" w:color="auto"/>
              <w:left w:val="nil"/>
              <w:bottom w:val="single" w:sz="4" w:space="0" w:color="auto"/>
              <w:right w:val="single" w:sz="4" w:space="0" w:color="auto"/>
            </w:tcBorders>
            <w:shd w:val="clear" w:color="000000" w:fill="B4C6E7"/>
            <w:vAlign w:val="center"/>
            <w:hideMark/>
          </w:tcPr>
          <w:p w14:paraId="209C284E" w14:textId="77777777" w:rsidR="00D33F7C" w:rsidRPr="00037B23" w:rsidRDefault="00D33F7C" w:rsidP="00E213CE">
            <w:pPr>
              <w:jc w:val="center"/>
              <w:rPr>
                <w:rFonts w:ascii="Garamond" w:eastAsia="Times New Roman" w:hAnsi="Garamond" w:cs="Calibri"/>
                <w:b/>
                <w:bCs/>
                <w:color w:val="000000"/>
                <w:sz w:val="20"/>
                <w:szCs w:val="20"/>
                <w:lang w:val="en-IN" w:eastAsia="en-IN" w:bidi="hi-IN"/>
              </w:rPr>
            </w:pPr>
            <w:r w:rsidRPr="00037B23">
              <w:rPr>
                <w:rFonts w:ascii="Garamond" w:eastAsia="Times New Roman" w:hAnsi="Garamond" w:cs="Calibri"/>
                <w:b/>
                <w:bCs/>
                <w:color w:val="000000"/>
                <w:sz w:val="20"/>
                <w:szCs w:val="20"/>
                <w:lang w:val="en-IN" w:eastAsia="en-IN" w:bidi="hi-IN"/>
              </w:rPr>
              <w:t>Currency Options</w:t>
            </w:r>
          </w:p>
        </w:tc>
      </w:tr>
      <w:tr w:rsidR="00D33F7C" w:rsidRPr="00037B23" w14:paraId="19050040" w14:textId="77777777" w:rsidTr="00E213CE">
        <w:trPr>
          <w:trHeight w:val="626"/>
        </w:trPr>
        <w:tc>
          <w:tcPr>
            <w:tcW w:w="3620" w:type="dxa"/>
            <w:vMerge/>
            <w:tcBorders>
              <w:top w:val="single" w:sz="4" w:space="0" w:color="auto"/>
              <w:left w:val="single" w:sz="4" w:space="0" w:color="auto"/>
              <w:bottom w:val="single" w:sz="4" w:space="0" w:color="auto"/>
              <w:right w:val="single" w:sz="4" w:space="0" w:color="auto"/>
            </w:tcBorders>
            <w:vAlign w:val="center"/>
            <w:hideMark/>
          </w:tcPr>
          <w:p w14:paraId="52F94164" w14:textId="77777777" w:rsidR="00D33F7C" w:rsidRPr="00037B23" w:rsidRDefault="00D33F7C" w:rsidP="00E213CE">
            <w:pPr>
              <w:rPr>
                <w:rFonts w:ascii="Garamond" w:eastAsia="Times New Roman" w:hAnsi="Garamond" w:cs="Calibri"/>
                <w:b/>
                <w:bCs/>
                <w:color w:val="000000"/>
                <w:sz w:val="20"/>
                <w:szCs w:val="20"/>
                <w:lang w:val="en-IN" w:eastAsia="en-IN" w:bidi="hi-IN"/>
              </w:rPr>
            </w:pPr>
          </w:p>
        </w:tc>
        <w:tc>
          <w:tcPr>
            <w:tcW w:w="1118" w:type="dxa"/>
            <w:tcBorders>
              <w:top w:val="nil"/>
              <w:left w:val="nil"/>
              <w:bottom w:val="single" w:sz="4" w:space="0" w:color="auto"/>
              <w:right w:val="single" w:sz="4" w:space="0" w:color="auto"/>
            </w:tcBorders>
            <w:shd w:val="clear" w:color="000000" w:fill="B4C6E7"/>
            <w:vAlign w:val="center"/>
            <w:hideMark/>
          </w:tcPr>
          <w:p w14:paraId="3F4E7770" w14:textId="77777777" w:rsidR="00D33F7C" w:rsidRPr="00037B23" w:rsidRDefault="00D33F7C" w:rsidP="00E213CE">
            <w:pPr>
              <w:jc w:val="center"/>
              <w:rPr>
                <w:rFonts w:ascii="Garamond" w:eastAsia="Times New Roman" w:hAnsi="Garamond" w:cs="Calibri"/>
                <w:b/>
                <w:bCs/>
                <w:color w:val="000000"/>
                <w:sz w:val="20"/>
                <w:szCs w:val="20"/>
                <w:lang w:val="en-IN" w:eastAsia="en-IN" w:bidi="hi-IN"/>
              </w:rPr>
            </w:pPr>
            <w:r w:rsidRPr="00037B23">
              <w:rPr>
                <w:rFonts w:ascii="Garamond" w:eastAsia="Times New Roman" w:hAnsi="Garamond" w:cs="Calibri"/>
                <w:b/>
                <w:bCs/>
                <w:color w:val="000000"/>
                <w:sz w:val="20"/>
                <w:szCs w:val="20"/>
                <w:lang w:val="en-IN" w:eastAsia="en-IN" w:bidi="hi-IN"/>
              </w:rPr>
              <w:t>Number of</w:t>
            </w:r>
            <w:r w:rsidRPr="00037B23">
              <w:rPr>
                <w:rFonts w:ascii="Garamond" w:eastAsia="Times New Roman" w:hAnsi="Garamond" w:cs="Calibri"/>
                <w:b/>
                <w:bCs/>
                <w:color w:val="000000"/>
                <w:sz w:val="20"/>
                <w:szCs w:val="20"/>
                <w:lang w:val="en-IN" w:eastAsia="en-IN" w:bidi="hi-IN"/>
              </w:rPr>
              <w:br/>
              <w:t>Contracts Traded</w:t>
            </w:r>
          </w:p>
        </w:tc>
        <w:tc>
          <w:tcPr>
            <w:tcW w:w="1118" w:type="dxa"/>
            <w:tcBorders>
              <w:top w:val="nil"/>
              <w:left w:val="nil"/>
              <w:bottom w:val="single" w:sz="4" w:space="0" w:color="auto"/>
              <w:right w:val="single" w:sz="4" w:space="0" w:color="auto"/>
            </w:tcBorders>
            <w:shd w:val="clear" w:color="000000" w:fill="B4C6E7"/>
            <w:vAlign w:val="center"/>
            <w:hideMark/>
          </w:tcPr>
          <w:p w14:paraId="4048E2EC" w14:textId="77777777" w:rsidR="00D33F7C" w:rsidRPr="00037B23" w:rsidRDefault="00D33F7C" w:rsidP="00E213CE">
            <w:pPr>
              <w:jc w:val="center"/>
              <w:rPr>
                <w:rFonts w:ascii="Garamond" w:eastAsia="Times New Roman" w:hAnsi="Garamond" w:cs="Calibri"/>
                <w:b/>
                <w:bCs/>
                <w:color w:val="000000"/>
                <w:sz w:val="20"/>
                <w:szCs w:val="20"/>
                <w:lang w:val="en-IN" w:eastAsia="en-IN" w:bidi="hi-IN"/>
              </w:rPr>
            </w:pPr>
            <w:r w:rsidRPr="00037B23">
              <w:rPr>
                <w:rFonts w:ascii="Garamond" w:eastAsia="Times New Roman" w:hAnsi="Garamond" w:cs="Calibri"/>
                <w:b/>
                <w:bCs/>
                <w:color w:val="000000"/>
                <w:sz w:val="20"/>
                <w:szCs w:val="20"/>
                <w:lang w:val="en-IN" w:eastAsia="en-IN" w:bidi="hi-IN"/>
              </w:rPr>
              <w:t>Notional</w:t>
            </w:r>
            <w:r w:rsidRPr="00037B23">
              <w:rPr>
                <w:rFonts w:ascii="Garamond" w:eastAsia="Times New Roman" w:hAnsi="Garamond" w:cs="Calibri"/>
                <w:b/>
                <w:bCs/>
                <w:color w:val="000000"/>
                <w:sz w:val="20"/>
                <w:szCs w:val="20"/>
                <w:lang w:val="en-IN" w:eastAsia="en-IN" w:bidi="hi-IN"/>
              </w:rPr>
              <w:br/>
              <w:t>Turnover</w:t>
            </w:r>
          </w:p>
        </w:tc>
        <w:tc>
          <w:tcPr>
            <w:tcW w:w="1118" w:type="dxa"/>
            <w:tcBorders>
              <w:top w:val="nil"/>
              <w:left w:val="nil"/>
              <w:bottom w:val="single" w:sz="4" w:space="0" w:color="auto"/>
              <w:right w:val="single" w:sz="4" w:space="0" w:color="auto"/>
            </w:tcBorders>
            <w:shd w:val="clear" w:color="000000" w:fill="B4C6E7"/>
            <w:vAlign w:val="center"/>
            <w:hideMark/>
          </w:tcPr>
          <w:p w14:paraId="47364C67" w14:textId="77777777" w:rsidR="00D33F7C" w:rsidRPr="00037B23" w:rsidRDefault="00D33F7C" w:rsidP="00E213CE">
            <w:pPr>
              <w:jc w:val="center"/>
              <w:rPr>
                <w:rFonts w:ascii="Garamond" w:eastAsia="Times New Roman" w:hAnsi="Garamond" w:cs="Calibri"/>
                <w:b/>
                <w:bCs/>
                <w:color w:val="000000"/>
                <w:sz w:val="20"/>
                <w:szCs w:val="20"/>
                <w:lang w:val="en-IN" w:eastAsia="en-IN" w:bidi="hi-IN"/>
              </w:rPr>
            </w:pPr>
            <w:r w:rsidRPr="00037B23">
              <w:rPr>
                <w:rFonts w:ascii="Garamond" w:eastAsia="Times New Roman" w:hAnsi="Garamond" w:cs="Calibri"/>
                <w:b/>
                <w:bCs/>
                <w:color w:val="000000"/>
                <w:sz w:val="20"/>
                <w:szCs w:val="20"/>
                <w:lang w:val="en-IN" w:eastAsia="en-IN" w:bidi="hi-IN"/>
              </w:rPr>
              <w:t>Open</w:t>
            </w:r>
            <w:r w:rsidRPr="00037B23">
              <w:rPr>
                <w:rFonts w:ascii="Garamond" w:eastAsia="Times New Roman" w:hAnsi="Garamond" w:cs="Calibri"/>
                <w:b/>
                <w:bCs/>
                <w:color w:val="000000"/>
                <w:sz w:val="20"/>
                <w:szCs w:val="20"/>
                <w:lang w:val="en-IN" w:eastAsia="en-IN" w:bidi="hi-IN"/>
              </w:rPr>
              <w:br/>
              <w:t>Interest</w:t>
            </w:r>
          </w:p>
        </w:tc>
        <w:tc>
          <w:tcPr>
            <w:tcW w:w="1118" w:type="dxa"/>
            <w:tcBorders>
              <w:top w:val="nil"/>
              <w:left w:val="nil"/>
              <w:bottom w:val="single" w:sz="4" w:space="0" w:color="auto"/>
              <w:right w:val="single" w:sz="4" w:space="0" w:color="auto"/>
            </w:tcBorders>
            <w:shd w:val="clear" w:color="000000" w:fill="B4C6E7"/>
            <w:vAlign w:val="center"/>
            <w:hideMark/>
          </w:tcPr>
          <w:p w14:paraId="091DEF00" w14:textId="77777777" w:rsidR="00D33F7C" w:rsidRPr="00037B23" w:rsidRDefault="00D33F7C" w:rsidP="00E213CE">
            <w:pPr>
              <w:jc w:val="center"/>
              <w:rPr>
                <w:rFonts w:ascii="Garamond" w:eastAsia="Times New Roman" w:hAnsi="Garamond" w:cs="Calibri"/>
                <w:b/>
                <w:bCs/>
                <w:color w:val="000000"/>
                <w:sz w:val="20"/>
                <w:szCs w:val="20"/>
                <w:lang w:val="en-IN" w:eastAsia="en-IN" w:bidi="hi-IN"/>
              </w:rPr>
            </w:pPr>
            <w:r w:rsidRPr="00037B23">
              <w:rPr>
                <w:rFonts w:ascii="Garamond" w:eastAsia="Times New Roman" w:hAnsi="Garamond" w:cs="Calibri"/>
                <w:b/>
                <w:bCs/>
                <w:color w:val="000000"/>
                <w:sz w:val="20"/>
                <w:szCs w:val="20"/>
                <w:lang w:val="en-IN" w:eastAsia="en-IN" w:bidi="hi-IN"/>
              </w:rPr>
              <w:t>Number of</w:t>
            </w:r>
            <w:r w:rsidRPr="00037B23">
              <w:rPr>
                <w:rFonts w:ascii="Garamond" w:eastAsia="Times New Roman" w:hAnsi="Garamond" w:cs="Calibri"/>
                <w:b/>
                <w:bCs/>
                <w:color w:val="000000"/>
                <w:sz w:val="20"/>
                <w:szCs w:val="20"/>
                <w:lang w:val="en-IN" w:eastAsia="en-IN" w:bidi="hi-IN"/>
              </w:rPr>
              <w:br/>
              <w:t>Contracts Traded</w:t>
            </w:r>
          </w:p>
        </w:tc>
        <w:tc>
          <w:tcPr>
            <w:tcW w:w="1118" w:type="dxa"/>
            <w:tcBorders>
              <w:top w:val="nil"/>
              <w:left w:val="nil"/>
              <w:bottom w:val="single" w:sz="4" w:space="0" w:color="auto"/>
              <w:right w:val="single" w:sz="4" w:space="0" w:color="auto"/>
            </w:tcBorders>
            <w:shd w:val="clear" w:color="000000" w:fill="B4C6E7"/>
            <w:vAlign w:val="center"/>
            <w:hideMark/>
          </w:tcPr>
          <w:p w14:paraId="5C6695D6" w14:textId="77777777" w:rsidR="00D33F7C" w:rsidRPr="00037B23" w:rsidRDefault="00D33F7C" w:rsidP="00E213CE">
            <w:pPr>
              <w:jc w:val="center"/>
              <w:rPr>
                <w:rFonts w:ascii="Garamond" w:eastAsia="Times New Roman" w:hAnsi="Garamond" w:cs="Calibri"/>
                <w:b/>
                <w:bCs/>
                <w:color w:val="000000"/>
                <w:sz w:val="20"/>
                <w:szCs w:val="20"/>
                <w:lang w:val="en-IN" w:eastAsia="en-IN" w:bidi="hi-IN"/>
              </w:rPr>
            </w:pPr>
            <w:r w:rsidRPr="00037B23">
              <w:rPr>
                <w:rFonts w:ascii="Garamond" w:eastAsia="Times New Roman" w:hAnsi="Garamond" w:cs="Calibri"/>
                <w:b/>
                <w:bCs/>
                <w:color w:val="000000"/>
                <w:sz w:val="20"/>
                <w:szCs w:val="20"/>
                <w:lang w:val="en-IN" w:eastAsia="en-IN" w:bidi="hi-IN"/>
              </w:rPr>
              <w:t>Notional</w:t>
            </w:r>
            <w:r w:rsidRPr="00037B23">
              <w:rPr>
                <w:rFonts w:ascii="Garamond" w:eastAsia="Times New Roman" w:hAnsi="Garamond" w:cs="Calibri"/>
                <w:b/>
                <w:bCs/>
                <w:color w:val="000000"/>
                <w:sz w:val="20"/>
                <w:szCs w:val="20"/>
                <w:lang w:val="en-IN" w:eastAsia="en-IN" w:bidi="hi-IN"/>
              </w:rPr>
              <w:br/>
              <w:t>Turnover</w:t>
            </w:r>
          </w:p>
        </w:tc>
        <w:tc>
          <w:tcPr>
            <w:tcW w:w="1118" w:type="dxa"/>
            <w:tcBorders>
              <w:top w:val="nil"/>
              <w:left w:val="nil"/>
              <w:bottom w:val="single" w:sz="4" w:space="0" w:color="auto"/>
              <w:right w:val="single" w:sz="4" w:space="0" w:color="auto"/>
            </w:tcBorders>
            <w:shd w:val="clear" w:color="000000" w:fill="B4C6E7"/>
            <w:vAlign w:val="center"/>
            <w:hideMark/>
          </w:tcPr>
          <w:p w14:paraId="668F0D7A" w14:textId="77777777" w:rsidR="00D33F7C" w:rsidRPr="00037B23" w:rsidRDefault="00D33F7C" w:rsidP="00E213CE">
            <w:pPr>
              <w:jc w:val="center"/>
              <w:rPr>
                <w:rFonts w:ascii="Garamond" w:eastAsia="Times New Roman" w:hAnsi="Garamond" w:cs="Calibri"/>
                <w:b/>
                <w:bCs/>
                <w:color w:val="000000"/>
                <w:sz w:val="20"/>
                <w:szCs w:val="20"/>
                <w:lang w:val="en-IN" w:eastAsia="en-IN" w:bidi="hi-IN"/>
              </w:rPr>
            </w:pPr>
            <w:r w:rsidRPr="00037B23">
              <w:rPr>
                <w:rFonts w:ascii="Garamond" w:eastAsia="Times New Roman" w:hAnsi="Garamond" w:cs="Calibri"/>
                <w:b/>
                <w:bCs/>
                <w:color w:val="000000"/>
                <w:sz w:val="20"/>
                <w:szCs w:val="20"/>
                <w:lang w:val="en-IN" w:eastAsia="en-IN" w:bidi="hi-IN"/>
              </w:rPr>
              <w:t>Open</w:t>
            </w:r>
            <w:r w:rsidRPr="00037B23">
              <w:rPr>
                <w:rFonts w:ascii="Garamond" w:eastAsia="Times New Roman" w:hAnsi="Garamond" w:cs="Calibri"/>
                <w:b/>
                <w:bCs/>
                <w:color w:val="000000"/>
                <w:sz w:val="20"/>
                <w:szCs w:val="20"/>
                <w:lang w:val="en-IN" w:eastAsia="en-IN" w:bidi="hi-IN"/>
              </w:rPr>
              <w:br/>
              <w:t>Interest</w:t>
            </w:r>
          </w:p>
        </w:tc>
      </w:tr>
      <w:tr w:rsidR="00D33F7C" w:rsidRPr="00037B23" w14:paraId="06E48723" w14:textId="77777777" w:rsidTr="00E213CE">
        <w:trPr>
          <w:trHeight w:val="241"/>
        </w:trPr>
        <w:tc>
          <w:tcPr>
            <w:tcW w:w="3620" w:type="dxa"/>
            <w:tcBorders>
              <w:top w:val="nil"/>
              <w:left w:val="single" w:sz="4" w:space="0" w:color="auto"/>
              <w:bottom w:val="nil"/>
              <w:right w:val="nil"/>
            </w:tcBorders>
            <w:shd w:val="clear" w:color="000000" w:fill="B4C6E7"/>
            <w:vAlign w:val="center"/>
            <w:hideMark/>
          </w:tcPr>
          <w:p w14:paraId="6FE7658C"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B3 - Brasil Bolsa Balcão</w:t>
            </w:r>
          </w:p>
        </w:tc>
        <w:tc>
          <w:tcPr>
            <w:tcW w:w="1118" w:type="dxa"/>
            <w:tcBorders>
              <w:top w:val="single" w:sz="8" w:space="0" w:color="auto"/>
              <w:left w:val="single" w:sz="8" w:space="0" w:color="auto"/>
              <w:bottom w:val="nil"/>
              <w:right w:val="single" w:sz="8" w:space="0" w:color="auto"/>
            </w:tcBorders>
            <w:shd w:val="clear" w:color="auto" w:fill="auto"/>
            <w:vAlign w:val="center"/>
            <w:hideMark/>
          </w:tcPr>
          <w:p w14:paraId="1B2FA4F2"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69,395,443</w:t>
            </w:r>
          </w:p>
        </w:tc>
        <w:tc>
          <w:tcPr>
            <w:tcW w:w="1118" w:type="dxa"/>
            <w:tcBorders>
              <w:top w:val="single" w:sz="8" w:space="0" w:color="auto"/>
              <w:left w:val="nil"/>
              <w:bottom w:val="nil"/>
              <w:right w:val="single" w:sz="8" w:space="0" w:color="auto"/>
            </w:tcBorders>
            <w:shd w:val="clear" w:color="auto" w:fill="auto"/>
            <w:vAlign w:val="center"/>
            <w:hideMark/>
          </w:tcPr>
          <w:p w14:paraId="0DD79FC6"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887,019</w:t>
            </w:r>
          </w:p>
        </w:tc>
        <w:tc>
          <w:tcPr>
            <w:tcW w:w="1118" w:type="dxa"/>
            <w:tcBorders>
              <w:top w:val="single" w:sz="8" w:space="0" w:color="auto"/>
              <w:left w:val="nil"/>
              <w:bottom w:val="nil"/>
              <w:right w:val="single" w:sz="8" w:space="0" w:color="auto"/>
            </w:tcBorders>
            <w:shd w:val="clear" w:color="auto" w:fill="auto"/>
            <w:vAlign w:val="center"/>
            <w:hideMark/>
          </w:tcPr>
          <w:p w14:paraId="241929D3"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4,628,467</w:t>
            </w:r>
          </w:p>
        </w:tc>
        <w:tc>
          <w:tcPr>
            <w:tcW w:w="1118" w:type="dxa"/>
            <w:tcBorders>
              <w:top w:val="single" w:sz="8" w:space="0" w:color="auto"/>
              <w:left w:val="nil"/>
              <w:bottom w:val="nil"/>
              <w:right w:val="single" w:sz="8" w:space="0" w:color="auto"/>
            </w:tcBorders>
            <w:shd w:val="clear" w:color="auto" w:fill="auto"/>
            <w:vAlign w:val="center"/>
            <w:hideMark/>
          </w:tcPr>
          <w:p w14:paraId="746654A6"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435,976</w:t>
            </w:r>
          </w:p>
        </w:tc>
        <w:tc>
          <w:tcPr>
            <w:tcW w:w="1118" w:type="dxa"/>
            <w:tcBorders>
              <w:top w:val="single" w:sz="8" w:space="0" w:color="auto"/>
              <w:left w:val="nil"/>
              <w:bottom w:val="nil"/>
              <w:right w:val="single" w:sz="8" w:space="0" w:color="auto"/>
            </w:tcBorders>
            <w:shd w:val="clear" w:color="auto" w:fill="auto"/>
            <w:vAlign w:val="center"/>
            <w:hideMark/>
          </w:tcPr>
          <w:p w14:paraId="14CA4BB5"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314</w:t>
            </w:r>
          </w:p>
        </w:tc>
        <w:tc>
          <w:tcPr>
            <w:tcW w:w="1118" w:type="dxa"/>
            <w:tcBorders>
              <w:top w:val="single" w:sz="8" w:space="0" w:color="auto"/>
              <w:left w:val="nil"/>
              <w:bottom w:val="nil"/>
              <w:right w:val="single" w:sz="8" w:space="0" w:color="auto"/>
            </w:tcBorders>
            <w:shd w:val="clear" w:color="auto" w:fill="auto"/>
            <w:vAlign w:val="center"/>
            <w:hideMark/>
          </w:tcPr>
          <w:p w14:paraId="2FC72BB5"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870,265</w:t>
            </w:r>
          </w:p>
        </w:tc>
      </w:tr>
      <w:tr w:rsidR="00D33F7C" w:rsidRPr="00037B23" w14:paraId="76C6FCB1" w14:textId="77777777" w:rsidTr="00E213CE">
        <w:trPr>
          <w:trHeight w:val="241"/>
        </w:trPr>
        <w:tc>
          <w:tcPr>
            <w:tcW w:w="3620" w:type="dxa"/>
            <w:tcBorders>
              <w:top w:val="nil"/>
              <w:left w:val="single" w:sz="4" w:space="0" w:color="auto"/>
              <w:bottom w:val="nil"/>
              <w:right w:val="nil"/>
            </w:tcBorders>
            <w:shd w:val="clear" w:color="000000" w:fill="B4C6E7"/>
            <w:vAlign w:val="center"/>
            <w:hideMark/>
          </w:tcPr>
          <w:p w14:paraId="08210F07"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Bolsa de Valores de Colombia</w:t>
            </w:r>
          </w:p>
        </w:tc>
        <w:tc>
          <w:tcPr>
            <w:tcW w:w="1118" w:type="dxa"/>
            <w:tcBorders>
              <w:top w:val="nil"/>
              <w:left w:val="single" w:sz="8" w:space="0" w:color="auto"/>
              <w:bottom w:val="nil"/>
              <w:right w:val="single" w:sz="8" w:space="0" w:color="auto"/>
            </w:tcBorders>
            <w:shd w:val="clear" w:color="auto" w:fill="auto"/>
            <w:vAlign w:val="center"/>
            <w:hideMark/>
          </w:tcPr>
          <w:p w14:paraId="774A33B1"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39,659</w:t>
            </w:r>
          </w:p>
        </w:tc>
        <w:tc>
          <w:tcPr>
            <w:tcW w:w="1118" w:type="dxa"/>
            <w:tcBorders>
              <w:top w:val="nil"/>
              <w:left w:val="nil"/>
              <w:bottom w:val="nil"/>
              <w:right w:val="single" w:sz="8" w:space="0" w:color="auto"/>
            </w:tcBorders>
            <w:shd w:val="clear" w:color="auto" w:fill="auto"/>
            <w:vAlign w:val="center"/>
            <w:hideMark/>
          </w:tcPr>
          <w:p w14:paraId="74ADF752"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1,803</w:t>
            </w:r>
          </w:p>
        </w:tc>
        <w:tc>
          <w:tcPr>
            <w:tcW w:w="1118" w:type="dxa"/>
            <w:tcBorders>
              <w:top w:val="nil"/>
              <w:left w:val="nil"/>
              <w:bottom w:val="nil"/>
              <w:right w:val="single" w:sz="8" w:space="0" w:color="auto"/>
            </w:tcBorders>
            <w:shd w:val="clear" w:color="auto" w:fill="auto"/>
            <w:vAlign w:val="center"/>
            <w:hideMark/>
          </w:tcPr>
          <w:p w14:paraId="50F605E4"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11,733</w:t>
            </w:r>
          </w:p>
        </w:tc>
        <w:tc>
          <w:tcPr>
            <w:tcW w:w="1118" w:type="dxa"/>
            <w:tcBorders>
              <w:top w:val="nil"/>
              <w:left w:val="nil"/>
              <w:bottom w:val="nil"/>
              <w:right w:val="single" w:sz="8" w:space="0" w:color="auto"/>
            </w:tcBorders>
            <w:shd w:val="clear" w:color="auto" w:fill="auto"/>
            <w:vAlign w:val="center"/>
            <w:hideMark/>
          </w:tcPr>
          <w:p w14:paraId="094CD479"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8</w:t>
            </w:r>
          </w:p>
        </w:tc>
        <w:tc>
          <w:tcPr>
            <w:tcW w:w="1118" w:type="dxa"/>
            <w:tcBorders>
              <w:top w:val="nil"/>
              <w:left w:val="nil"/>
              <w:bottom w:val="nil"/>
              <w:right w:val="single" w:sz="8" w:space="0" w:color="auto"/>
            </w:tcBorders>
            <w:shd w:val="clear" w:color="auto" w:fill="auto"/>
            <w:vAlign w:val="center"/>
            <w:hideMark/>
          </w:tcPr>
          <w:p w14:paraId="637FD4DC"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0</w:t>
            </w:r>
          </w:p>
        </w:tc>
        <w:tc>
          <w:tcPr>
            <w:tcW w:w="1118" w:type="dxa"/>
            <w:tcBorders>
              <w:top w:val="nil"/>
              <w:left w:val="nil"/>
              <w:bottom w:val="nil"/>
              <w:right w:val="single" w:sz="8" w:space="0" w:color="auto"/>
            </w:tcBorders>
            <w:shd w:val="clear" w:color="auto" w:fill="auto"/>
            <w:vAlign w:val="center"/>
            <w:hideMark/>
          </w:tcPr>
          <w:p w14:paraId="3A15F0E3"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11</w:t>
            </w:r>
          </w:p>
        </w:tc>
      </w:tr>
      <w:tr w:rsidR="00D33F7C" w:rsidRPr="00037B23" w14:paraId="1E386125" w14:textId="77777777" w:rsidTr="00E213CE">
        <w:trPr>
          <w:trHeight w:val="241"/>
        </w:trPr>
        <w:tc>
          <w:tcPr>
            <w:tcW w:w="3620" w:type="dxa"/>
            <w:tcBorders>
              <w:top w:val="nil"/>
              <w:left w:val="single" w:sz="4" w:space="0" w:color="auto"/>
              <w:bottom w:val="nil"/>
              <w:right w:val="nil"/>
            </w:tcBorders>
            <w:shd w:val="clear" w:color="000000" w:fill="B4C6E7"/>
            <w:vAlign w:val="center"/>
            <w:hideMark/>
          </w:tcPr>
          <w:p w14:paraId="4AD91666"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Bolsa Mexicana de Valores</w:t>
            </w:r>
          </w:p>
        </w:tc>
        <w:tc>
          <w:tcPr>
            <w:tcW w:w="1118" w:type="dxa"/>
            <w:tcBorders>
              <w:top w:val="nil"/>
              <w:left w:val="single" w:sz="8" w:space="0" w:color="auto"/>
              <w:bottom w:val="nil"/>
              <w:right w:val="single" w:sz="8" w:space="0" w:color="auto"/>
            </w:tcBorders>
            <w:shd w:val="clear" w:color="auto" w:fill="auto"/>
            <w:vAlign w:val="center"/>
            <w:hideMark/>
          </w:tcPr>
          <w:p w14:paraId="053D29E4"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721,486</w:t>
            </w:r>
          </w:p>
        </w:tc>
        <w:tc>
          <w:tcPr>
            <w:tcW w:w="1118" w:type="dxa"/>
            <w:tcBorders>
              <w:top w:val="nil"/>
              <w:left w:val="nil"/>
              <w:bottom w:val="nil"/>
              <w:right w:val="single" w:sz="8" w:space="0" w:color="auto"/>
            </w:tcBorders>
            <w:shd w:val="clear" w:color="auto" w:fill="auto"/>
            <w:vAlign w:val="center"/>
            <w:hideMark/>
          </w:tcPr>
          <w:p w14:paraId="167CB359"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7,272</w:t>
            </w:r>
          </w:p>
        </w:tc>
        <w:tc>
          <w:tcPr>
            <w:tcW w:w="1118" w:type="dxa"/>
            <w:tcBorders>
              <w:top w:val="nil"/>
              <w:left w:val="nil"/>
              <w:bottom w:val="nil"/>
              <w:right w:val="single" w:sz="8" w:space="0" w:color="auto"/>
            </w:tcBorders>
            <w:shd w:val="clear" w:color="auto" w:fill="auto"/>
            <w:vAlign w:val="center"/>
            <w:hideMark/>
          </w:tcPr>
          <w:p w14:paraId="48F9148E"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909,651</w:t>
            </w:r>
          </w:p>
        </w:tc>
        <w:tc>
          <w:tcPr>
            <w:tcW w:w="1118" w:type="dxa"/>
            <w:tcBorders>
              <w:top w:val="nil"/>
              <w:left w:val="nil"/>
              <w:bottom w:val="nil"/>
              <w:right w:val="single" w:sz="8" w:space="0" w:color="auto"/>
            </w:tcBorders>
            <w:shd w:val="clear" w:color="auto" w:fill="auto"/>
            <w:vAlign w:val="center"/>
            <w:hideMark/>
          </w:tcPr>
          <w:p w14:paraId="16966068"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2,000</w:t>
            </w:r>
          </w:p>
        </w:tc>
        <w:tc>
          <w:tcPr>
            <w:tcW w:w="1118" w:type="dxa"/>
            <w:tcBorders>
              <w:top w:val="nil"/>
              <w:left w:val="nil"/>
              <w:bottom w:val="nil"/>
              <w:right w:val="single" w:sz="8" w:space="0" w:color="auto"/>
            </w:tcBorders>
            <w:shd w:val="clear" w:color="auto" w:fill="auto"/>
            <w:vAlign w:val="center"/>
            <w:hideMark/>
          </w:tcPr>
          <w:p w14:paraId="21FD40F0"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21</w:t>
            </w:r>
          </w:p>
        </w:tc>
        <w:tc>
          <w:tcPr>
            <w:tcW w:w="1118" w:type="dxa"/>
            <w:tcBorders>
              <w:top w:val="nil"/>
              <w:left w:val="nil"/>
              <w:bottom w:val="nil"/>
              <w:right w:val="single" w:sz="8" w:space="0" w:color="auto"/>
            </w:tcBorders>
            <w:shd w:val="clear" w:color="auto" w:fill="auto"/>
            <w:vAlign w:val="center"/>
            <w:hideMark/>
          </w:tcPr>
          <w:p w14:paraId="0BB0F1C9"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6,105</w:t>
            </w:r>
          </w:p>
        </w:tc>
      </w:tr>
      <w:tr w:rsidR="00D33F7C" w:rsidRPr="00037B23" w14:paraId="749AFDC0" w14:textId="77777777" w:rsidTr="00E213CE">
        <w:trPr>
          <w:trHeight w:val="241"/>
        </w:trPr>
        <w:tc>
          <w:tcPr>
            <w:tcW w:w="3620" w:type="dxa"/>
            <w:tcBorders>
              <w:top w:val="nil"/>
              <w:left w:val="single" w:sz="4" w:space="0" w:color="auto"/>
              <w:bottom w:val="nil"/>
              <w:right w:val="nil"/>
            </w:tcBorders>
            <w:shd w:val="clear" w:color="000000" w:fill="B4C6E7"/>
            <w:vAlign w:val="center"/>
            <w:hideMark/>
          </w:tcPr>
          <w:p w14:paraId="73F399F6"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Matba Rofex</w:t>
            </w:r>
          </w:p>
        </w:tc>
        <w:tc>
          <w:tcPr>
            <w:tcW w:w="1118" w:type="dxa"/>
            <w:tcBorders>
              <w:top w:val="nil"/>
              <w:left w:val="single" w:sz="8" w:space="0" w:color="auto"/>
              <w:bottom w:val="nil"/>
              <w:right w:val="single" w:sz="8" w:space="0" w:color="auto"/>
            </w:tcBorders>
            <w:shd w:val="clear" w:color="auto" w:fill="auto"/>
            <w:vAlign w:val="center"/>
            <w:hideMark/>
          </w:tcPr>
          <w:p w14:paraId="6366642E"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7,084,793</w:t>
            </w:r>
          </w:p>
        </w:tc>
        <w:tc>
          <w:tcPr>
            <w:tcW w:w="1118" w:type="dxa"/>
            <w:tcBorders>
              <w:top w:val="nil"/>
              <w:left w:val="nil"/>
              <w:bottom w:val="nil"/>
              <w:right w:val="single" w:sz="8" w:space="0" w:color="auto"/>
            </w:tcBorders>
            <w:shd w:val="clear" w:color="auto" w:fill="auto"/>
            <w:vAlign w:val="center"/>
            <w:hideMark/>
          </w:tcPr>
          <w:p w14:paraId="6A1E359D"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7,540</w:t>
            </w:r>
          </w:p>
        </w:tc>
        <w:tc>
          <w:tcPr>
            <w:tcW w:w="1118" w:type="dxa"/>
            <w:tcBorders>
              <w:top w:val="nil"/>
              <w:left w:val="nil"/>
              <w:bottom w:val="nil"/>
              <w:right w:val="single" w:sz="8" w:space="0" w:color="auto"/>
            </w:tcBorders>
            <w:shd w:val="clear" w:color="auto" w:fill="auto"/>
            <w:vAlign w:val="center"/>
            <w:hideMark/>
          </w:tcPr>
          <w:p w14:paraId="23FBC05F"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2,265,405</w:t>
            </w:r>
          </w:p>
        </w:tc>
        <w:tc>
          <w:tcPr>
            <w:tcW w:w="1118" w:type="dxa"/>
            <w:tcBorders>
              <w:top w:val="nil"/>
              <w:left w:val="nil"/>
              <w:bottom w:val="nil"/>
              <w:right w:val="single" w:sz="8" w:space="0" w:color="auto"/>
            </w:tcBorders>
            <w:shd w:val="clear" w:color="auto" w:fill="auto"/>
            <w:vAlign w:val="center"/>
            <w:hideMark/>
          </w:tcPr>
          <w:p w14:paraId="0C0FCB6A"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1,682</w:t>
            </w:r>
          </w:p>
        </w:tc>
        <w:tc>
          <w:tcPr>
            <w:tcW w:w="1118" w:type="dxa"/>
            <w:tcBorders>
              <w:top w:val="nil"/>
              <w:left w:val="nil"/>
              <w:bottom w:val="nil"/>
              <w:right w:val="single" w:sz="8" w:space="0" w:color="auto"/>
            </w:tcBorders>
            <w:shd w:val="clear" w:color="auto" w:fill="auto"/>
            <w:vAlign w:val="center"/>
            <w:hideMark/>
          </w:tcPr>
          <w:p w14:paraId="54FB5F3F"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0</w:t>
            </w:r>
          </w:p>
        </w:tc>
        <w:tc>
          <w:tcPr>
            <w:tcW w:w="1118" w:type="dxa"/>
            <w:tcBorders>
              <w:top w:val="nil"/>
              <w:left w:val="nil"/>
              <w:bottom w:val="nil"/>
              <w:right w:val="single" w:sz="8" w:space="0" w:color="auto"/>
            </w:tcBorders>
            <w:shd w:val="clear" w:color="auto" w:fill="auto"/>
            <w:vAlign w:val="center"/>
            <w:hideMark/>
          </w:tcPr>
          <w:p w14:paraId="4A81E780"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584</w:t>
            </w:r>
          </w:p>
        </w:tc>
      </w:tr>
      <w:tr w:rsidR="00D33F7C" w:rsidRPr="00037B23" w14:paraId="0F4068FE" w14:textId="77777777" w:rsidTr="00E213CE">
        <w:trPr>
          <w:trHeight w:val="241"/>
        </w:trPr>
        <w:tc>
          <w:tcPr>
            <w:tcW w:w="3620" w:type="dxa"/>
            <w:tcBorders>
              <w:top w:val="nil"/>
              <w:left w:val="single" w:sz="4" w:space="0" w:color="auto"/>
              <w:bottom w:val="nil"/>
              <w:right w:val="nil"/>
            </w:tcBorders>
            <w:shd w:val="clear" w:color="000000" w:fill="B4C6E7"/>
            <w:vAlign w:val="center"/>
            <w:hideMark/>
          </w:tcPr>
          <w:p w14:paraId="7905B04C"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CME Group</w:t>
            </w:r>
          </w:p>
        </w:tc>
        <w:tc>
          <w:tcPr>
            <w:tcW w:w="1118" w:type="dxa"/>
            <w:tcBorders>
              <w:top w:val="nil"/>
              <w:left w:val="single" w:sz="8" w:space="0" w:color="auto"/>
              <w:bottom w:val="nil"/>
              <w:right w:val="single" w:sz="8" w:space="0" w:color="auto"/>
            </w:tcBorders>
            <w:shd w:val="clear" w:color="auto" w:fill="auto"/>
            <w:vAlign w:val="center"/>
            <w:hideMark/>
          </w:tcPr>
          <w:p w14:paraId="6A49560F"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13,294,034</w:t>
            </w:r>
          </w:p>
        </w:tc>
        <w:tc>
          <w:tcPr>
            <w:tcW w:w="1118" w:type="dxa"/>
            <w:tcBorders>
              <w:top w:val="nil"/>
              <w:left w:val="nil"/>
              <w:bottom w:val="nil"/>
              <w:right w:val="single" w:sz="8" w:space="0" w:color="auto"/>
            </w:tcBorders>
            <w:shd w:val="clear" w:color="auto" w:fill="auto"/>
            <w:vAlign w:val="center"/>
            <w:hideMark/>
          </w:tcPr>
          <w:p w14:paraId="1A77606F"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1,288,896</w:t>
            </w:r>
          </w:p>
        </w:tc>
        <w:tc>
          <w:tcPr>
            <w:tcW w:w="1118" w:type="dxa"/>
            <w:tcBorders>
              <w:top w:val="nil"/>
              <w:left w:val="nil"/>
              <w:bottom w:val="nil"/>
              <w:right w:val="single" w:sz="8" w:space="0" w:color="auto"/>
            </w:tcBorders>
            <w:shd w:val="clear" w:color="auto" w:fill="auto"/>
            <w:vAlign w:val="center"/>
            <w:hideMark/>
          </w:tcPr>
          <w:p w14:paraId="70BB33C6"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1,917,975</w:t>
            </w:r>
          </w:p>
        </w:tc>
        <w:tc>
          <w:tcPr>
            <w:tcW w:w="1118" w:type="dxa"/>
            <w:tcBorders>
              <w:top w:val="nil"/>
              <w:left w:val="nil"/>
              <w:bottom w:val="nil"/>
              <w:right w:val="single" w:sz="8" w:space="0" w:color="auto"/>
            </w:tcBorders>
            <w:shd w:val="clear" w:color="auto" w:fill="auto"/>
            <w:vAlign w:val="center"/>
            <w:hideMark/>
          </w:tcPr>
          <w:p w14:paraId="58BE2EA3"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732,894</w:t>
            </w:r>
          </w:p>
        </w:tc>
        <w:tc>
          <w:tcPr>
            <w:tcW w:w="1118" w:type="dxa"/>
            <w:tcBorders>
              <w:top w:val="nil"/>
              <w:left w:val="nil"/>
              <w:bottom w:val="nil"/>
              <w:right w:val="single" w:sz="8" w:space="0" w:color="auto"/>
            </w:tcBorders>
            <w:shd w:val="clear" w:color="auto" w:fill="auto"/>
            <w:vAlign w:val="center"/>
            <w:hideMark/>
          </w:tcPr>
          <w:p w14:paraId="130FF8DC"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83,225</w:t>
            </w:r>
          </w:p>
        </w:tc>
        <w:tc>
          <w:tcPr>
            <w:tcW w:w="1118" w:type="dxa"/>
            <w:tcBorders>
              <w:top w:val="nil"/>
              <w:left w:val="nil"/>
              <w:bottom w:val="nil"/>
              <w:right w:val="single" w:sz="8" w:space="0" w:color="auto"/>
            </w:tcBorders>
            <w:shd w:val="clear" w:color="auto" w:fill="auto"/>
            <w:vAlign w:val="center"/>
            <w:hideMark/>
          </w:tcPr>
          <w:p w14:paraId="66CADAFF"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670,358</w:t>
            </w:r>
          </w:p>
        </w:tc>
      </w:tr>
      <w:tr w:rsidR="00D33F7C" w:rsidRPr="00037B23" w14:paraId="0DC73771" w14:textId="77777777" w:rsidTr="00E213CE">
        <w:trPr>
          <w:trHeight w:val="241"/>
        </w:trPr>
        <w:tc>
          <w:tcPr>
            <w:tcW w:w="3620" w:type="dxa"/>
            <w:tcBorders>
              <w:top w:val="nil"/>
              <w:left w:val="single" w:sz="4" w:space="0" w:color="auto"/>
              <w:bottom w:val="nil"/>
              <w:right w:val="nil"/>
            </w:tcBorders>
            <w:shd w:val="clear" w:color="000000" w:fill="B4C6E7"/>
            <w:vAlign w:val="center"/>
            <w:hideMark/>
          </w:tcPr>
          <w:p w14:paraId="35089185"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Hong Kong Exchanges and Clearing</w:t>
            </w:r>
          </w:p>
        </w:tc>
        <w:tc>
          <w:tcPr>
            <w:tcW w:w="1118" w:type="dxa"/>
            <w:tcBorders>
              <w:top w:val="nil"/>
              <w:left w:val="single" w:sz="8" w:space="0" w:color="auto"/>
              <w:bottom w:val="nil"/>
              <w:right w:val="single" w:sz="8" w:space="0" w:color="auto"/>
            </w:tcBorders>
            <w:shd w:val="clear" w:color="auto" w:fill="auto"/>
            <w:vAlign w:val="center"/>
            <w:hideMark/>
          </w:tcPr>
          <w:p w14:paraId="24C36C77"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306,738</w:t>
            </w:r>
          </w:p>
        </w:tc>
        <w:tc>
          <w:tcPr>
            <w:tcW w:w="1118" w:type="dxa"/>
            <w:tcBorders>
              <w:top w:val="nil"/>
              <w:left w:val="nil"/>
              <w:bottom w:val="nil"/>
              <w:right w:val="single" w:sz="8" w:space="0" w:color="auto"/>
            </w:tcBorders>
            <w:shd w:val="clear" w:color="auto" w:fill="auto"/>
            <w:vAlign w:val="center"/>
            <w:hideMark/>
          </w:tcPr>
          <w:p w14:paraId="7824E034"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16,293</w:t>
            </w:r>
          </w:p>
        </w:tc>
        <w:tc>
          <w:tcPr>
            <w:tcW w:w="1118" w:type="dxa"/>
            <w:tcBorders>
              <w:top w:val="nil"/>
              <w:left w:val="nil"/>
              <w:bottom w:val="nil"/>
              <w:right w:val="single" w:sz="8" w:space="0" w:color="auto"/>
            </w:tcBorders>
            <w:shd w:val="clear" w:color="auto" w:fill="auto"/>
            <w:vAlign w:val="center"/>
            <w:hideMark/>
          </w:tcPr>
          <w:p w14:paraId="39BA15F7"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26,686</w:t>
            </w:r>
          </w:p>
        </w:tc>
        <w:tc>
          <w:tcPr>
            <w:tcW w:w="1118" w:type="dxa"/>
            <w:tcBorders>
              <w:top w:val="nil"/>
              <w:left w:val="nil"/>
              <w:bottom w:val="nil"/>
              <w:right w:val="single" w:sz="8" w:space="0" w:color="auto"/>
            </w:tcBorders>
            <w:shd w:val="clear" w:color="auto" w:fill="auto"/>
            <w:vAlign w:val="center"/>
            <w:hideMark/>
          </w:tcPr>
          <w:p w14:paraId="32E96DF0"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516</w:t>
            </w:r>
          </w:p>
        </w:tc>
        <w:tc>
          <w:tcPr>
            <w:tcW w:w="1118" w:type="dxa"/>
            <w:tcBorders>
              <w:top w:val="nil"/>
              <w:left w:val="nil"/>
              <w:bottom w:val="nil"/>
              <w:right w:val="single" w:sz="8" w:space="0" w:color="auto"/>
            </w:tcBorders>
            <w:shd w:val="clear" w:color="auto" w:fill="auto"/>
            <w:vAlign w:val="center"/>
            <w:hideMark/>
          </w:tcPr>
          <w:p w14:paraId="402B556C"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52</w:t>
            </w:r>
          </w:p>
        </w:tc>
        <w:tc>
          <w:tcPr>
            <w:tcW w:w="1118" w:type="dxa"/>
            <w:tcBorders>
              <w:top w:val="nil"/>
              <w:left w:val="nil"/>
              <w:bottom w:val="nil"/>
              <w:right w:val="single" w:sz="8" w:space="0" w:color="auto"/>
            </w:tcBorders>
            <w:shd w:val="clear" w:color="auto" w:fill="auto"/>
            <w:vAlign w:val="center"/>
            <w:hideMark/>
          </w:tcPr>
          <w:p w14:paraId="5978E3C7"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2,754</w:t>
            </w:r>
          </w:p>
        </w:tc>
      </w:tr>
      <w:tr w:rsidR="00D33F7C" w:rsidRPr="00037B23" w14:paraId="3D15D018" w14:textId="77777777" w:rsidTr="00E213CE">
        <w:trPr>
          <w:trHeight w:val="241"/>
        </w:trPr>
        <w:tc>
          <w:tcPr>
            <w:tcW w:w="3620" w:type="dxa"/>
            <w:tcBorders>
              <w:top w:val="nil"/>
              <w:left w:val="single" w:sz="4" w:space="0" w:color="auto"/>
              <w:bottom w:val="nil"/>
              <w:right w:val="nil"/>
            </w:tcBorders>
            <w:shd w:val="clear" w:color="000000" w:fill="B4C6E7"/>
            <w:vAlign w:val="center"/>
            <w:hideMark/>
          </w:tcPr>
          <w:p w14:paraId="2EA69DFA"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Korea Exchange</w:t>
            </w:r>
          </w:p>
        </w:tc>
        <w:tc>
          <w:tcPr>
            <w:tcW w:w="1118" w:type="dxa"/>
            <w:tcBorders>
              <w:top w:val="nil"/>
              <w:left w:val="single" w:sz="8" w:space="0" w:color="auto"/>
              <w:bottom w:val="nil"/>
              <w:right w:val="single" w:sz="8" w:space="0" w:color="auto"/>
            </w:tcBorders>
            <w:shd w:val="clear" w:color="auto" w:fill="auto"/>
            <w:vAlign w:val="center"/>
            <w:hideMark/>
          </w:tcPr>
          <w:p w14:paraId="490754F0"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7,522,220</w:t>
            </w:r>
          </w:p>
        </w:tc>
        <w:tc>
          <w:tcPr>
            <w:tcW w:w="1118" w:type="dxa"/>
            <w:tcBorders>
              <w:top w:val="nil"/>
              <w:left w:val="nil"/>
              <w:bottom w:val="nil"/>
              <w:right w:val="single" w:sz="8" w:space="0" w:color="auto"/>
            </w:tcBorders>
            <w:shd w:val="clear" w:color="auto" w:fill="auto"/>
            <w:vAlign w:val="center"/>
            <w:hideMark/>
          </w:tcPr>
          <w:p w14:paraId="39526237"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76,482</w:t>
            </w:r>
          </w:p>
        </w:tc>
        <w:tc>
          <w:tcPr>
            <w:tcW w:w="1118" w:type="dxa"/>
            <w:tcBorders>
              <w:top w:val="nil"/>
              <w:left w:val="nil"/>
              <w:bottom w:val="nil"/>
              <w:right w:val="single" w:sz="8" w:space="0" w:color="auto"/>
            </w:tcBorders>
            <w:shd w:val="clear" w:color="auto" w:fill="auto"/>
            <w:vAlign w:val="center"/>
            <w:hideMark/>
          </w:tcPr>
          <w:p w14:paraId="288EA875"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917,701</w:t>
            </w:r>
          </w:p>
        </w:tc>
        <w:tc>
          <w:tcPr>
            <w:tcW w:w="1118" w:type="dxa"/>
            <w:tcBorders>
              <w:top w:val="nil"/>
              <w:left w:val="nil"/>
              <w:bottom w:val="nil"/>
              <w:right w:val="single" w:sz="8" w:space="0" w:color="auto"/>
            </w:tcBorders>
            <w:shd w:val="clear" w:color="auto" w:fill="auto"/>
            <w:vAlign w:val="center"/>
            <w:hideMark/>
          </w:tcPr>
          <w:p w14:paraId="03E14721"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1118" w:type="dxa"/>
            <w:tcBorders>
              <w:top w:val="nil"/>
              <w:left w:val="nil"/>
              <w:bottom w:val="nil"/>
              <w:right w:val="single" w:sz="8" w:space="0" w:color="auto"/>
            </w:tcBorders>
            <w:shd w:val="clear" w:color="auto" w:fill="auto"/>
            <w:vAlign w:val="center"/>
            <w:hideMark/>
          </w:tcPr>
          <w:p w14:paraId="7472806C"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1118" w:type="dxa"/>
            <w:tcBorders>
              <w:top w:val="nil"/>
              <w:left w:val="nil"/>
              <w:bottom w:val="nil"/>
              <w:right w:val="single" w:sz="8" w:space="0" w:color="auto"/>
            </w:tcBorders>
            <w:shd w:val="clear" w:color="auto" w:fill="auto"/>
            <w:vAlign w:val="center"/>
            <w:hideMark/>
          </w:tcPr>
          <w:p w14:paraId="67B59B5B"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r>
      <w:tr w:rsidR="00D33F7C" w:rsidRPr="00037B23" w14:paraId="4E1254C0" w14:textId="77777777" w:rsidTr="00E213CE">
        <w:trPr>
          <w:trHeight w:val="241"/>
        </w:trPr>
        <w:tc>
          <w:tcPr>
            <w:tcW w:w="3620" w:type="dxa"/>
            <w:tcBorders>
              <w:top w:val="nil"/>
              <w:left w:val="single" w:sz="4" w:space="0" w:color="auto"/>
              <w:bottom w:val="nil"/>
              <w:right w:val="nil"/>
            </w:tcBorders>
            <w:shd w:val="clear" w:color="000000" w:fill="B4C6E7"/>
            <w:vAlign w:val="center"/>
            <w:hideMark/>
          </w:tcPr>
          <w:p w14:paraId="08DD00FD"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National Stock Exchange of India</w:t>
            </w:r>
          </w:p>
        </w:tc>
        <w:tc>
          <w:tcPr>
            <w:tcW w:w="1118" w:type="dxa"/>
            <w:tcBorders>
              <w:top w:val="nil"/>
              <w:left w:val="single" w:sz="8" w:space="0" w:color="auto"/>
              <w:bottom w:val="nil"/>
              <w:right w:val="single" w:sz="8" w:space="0" w:color="auto"/>
            </w:tcBorders>
            <w:shd w:val="clear" w:color="auto" w:fill="auto"/>
            <w:vAlign w:val="center"/>
            <w:hideMark/>
          </w:tcPr>
          <w:p w14:paraId="217B9C57"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56,850,686</w:t>
            </w:r>
          </w:p>
        </w:tc>
        <w:tc>
          <w:tcPr>
            <w:tcW w:w="1118" w:type="dxa"/>
            <w:tcBorders>
              <w:top w:val="nil"/>
              <w:left w:val="nil"/>
              <w:bottom w:val="nil"/>
              <w:right w:val="single" w:sz="8" w:space="0" w:color="auto"/>
            </w:tcBorders>
            <w:shd w:val="clear" w:color="auto" w:fill="auto"/>
            <w:vAlign w:val="center"/>
            <w:hideMark/>
          </w:tcPr>
          <w:p w14:paraId="1E297273"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60,685</w:t>
            </w:r>
          </w:p>
        </w:tc>
        <w:tc>
          <w:tcPr>
            <w:tcW w:w="1118" w:type="dxa"/>
            <w:tcBorders>
              <w:top w:val="nil"/>
              <w:left w:val="nil"/>
              <w:bottom w:val="nil"/>
              <w:right w:val="single" w:sz="8" w:space="0" w:color="auto"/>
            </w:tcBorders>
            <w:shd w:val="clear" w:color="auto" w:fill="auto"/>
            <w:vAlign w:val="center"/>
            <w:hideMark/>
          </w:tcPr>
          <w:p w14:paraId="37186C23"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3,826,264</w:t>
            </w:r>
          </w:p>
        </w:tc>
        <w:tc>
          <w:tcPr>
            <w:tcW w:w="1118" w:type="dxa"/>
            <w:tcBorders>
              <w:top w:val="nil"/>
              <w:left w:val="nil"/>
              <w:bottom w:val="nil"/>
              <w:right w:val="single" w:sz="8" w:space="0" w:color="auto"/>
            </w:tcBorders>
            <w:shd w:val="clear" w:color="auto" w:fill="auto"/>
            <w:vAlign w:val="center"/>
            <w:hideMark/>
          </w:tcPr>
          <w:p w14:paraId="3EF943B2"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90,313,872</w:t>
            </w:r>
          </w:p>
        </w:tc>
        <w:tc>
          <w:tcPr>
            <w:tcW w:w="1118" w:type="dxa"/>
            <w:tcBorders>
              <w:top w:val="nil"/>
              <w:left w:val="nil"/>
              <w:bottom w:val="nil"/>
              <w:right w:val="single" w:sz="8" w:space="0" w:color="auto"/>
            </w:tcBorders>
            <w:shd w:val="clear" w:color="auto" w:fill="auto"/>
            <w:vAlign w:val="center"/>
            <w:hideMark/>
          </w:tcPr>
          <w:p w14:paraId="7BA6DA5A"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91,743</w:t>
            </w:r>
          </w:p>
        </w:tc>
        <w:tc>
          <w:tcPr>
            <w:tcW w:w="1118" w:type="dxa"/>
            <w:tcBorders>
              <w:top w:val="nil"/>
              <w:left w:val="nil"/>
              <w:bottom w:val="nil"/>
              <w:right w:val="single" w:sz="8" w:space="0" w:color="auto"/>
            </w:tcBorders>
            <w:shd w:val="clear" w:color="auto" w:fill="auto"/>
            <w:vAlign w:val="center"/>
            <w:hideMark/>
          </w:tcPr>
          <w:p w14:paraId="4B13B4F7"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2,743,592</w:t>
            </w:r>
          </w:p>
        </w:tc>
      </w:tr>
      <w:tr w:rsidR="00D33F7C" w:rsidRPr="00037B23" w14:paraId="48F375C9" w14:textId="77777777" w:rsidTr="00E213CE">
        <w:trPr>
          <w:trHeight w:val="241"/>
        </w:trPr>
        <w:tc>
          <w:tcPr>
            <w:tcW w:w="3620" w:type="dxa"/>
            <w:tcBorders>
              <w:top w:val="nil"/>
              <w:left w:val="single" w:sz="4" w:space="0" w:color="auto"/>
              <w:bottom w:val="nil"/>
              <w:right w:val="nil"/>
            </w:tcBorders>
            <w:shd w:val="clear" w:color="000000" w:fill="B4C6E7"/>
            <w:vAlign w:val="center"/>
            <w:hideMark/>
          </w:tcPr>
          <w:p w14:paraId="304A2E9B"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Singapore Exchange</w:t>
            </w:r>
          </w:p>
        </w:tc>
        <w:tc>
          <w:tcPr>
            <w:tcW w:w="1118" w:type="dxa"/>
            <w:tcBorders>
              <w:top w:val="nil"/>
              <w:left w:val="single" w:sz="8" w:space="0" w:color="auto"/>
              <w:bottom w:val="nil"/>
              <w:right w:val="single" w:sz="8" w:space="0" w:color="auto"/>
            </w:tcBorders>
            <w:shd w:val="clear" w:color="auto" w:fill="auto"/>
            <w:vAlign w:val="center"/>
            <w:hideMark/>
          </w:tcPr>
          <w:p w14:paraId="28EAB685"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2,040,872</w:t>
            </w:r>
          </w:p>
        </w:tc>
        <w:tc>
          <w:tcPr>
            <w:tcW w:w="1118" w:type="dxa"/>
            <w:tcBorders>
              <w:top w:val="nil"/>
              <w:left w:val="nil"/>
              <w:bottom w:val="nil"/>
              <w:right w:val="single" w:sz="8" w:space="0" w:color="auto"/>
            </w:tcBorders>
            <w:shd w:val="clear" w:color="auto" w:fill="auto"/>
            <w:vAlign w:val="center"/>
            <w:hideMark/>
          </w:tcPr>
          <w:p w14:paraId="4F68C75C"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1118" w:type="dxa"/>
            <w:tcBorders>
              <w:top w:val="nil"/>
              <w:left w:val="nil"/>
              <w:bottom w:val="nil"/>
              <w:right w:val="single" w:sz="8" w:space="0" w:color="auto"/>
            </w:tcBorders>
            <w:shd w:val="clear" w:color="auto" w:fill="auto"/>
            <w:vAlign w:val="center"/>
            <w:hideMark/>
          </w:tcPr>
          <w:p w14:paraId="01B4F35C"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172,387</w:t>
            </w:r>
          </w:p>
        </w:tc>
        <w:tc>
          <w:tcPr>
            <w:tcW w:w="1118" w:type="dxa"/>
            <w:tcBorders>
              <w:top w:val="nil"/>
              <w:left w:val="nil"/>
              <w:bottom w:val="nil"/>
              <w:right w:val="single" w:sz="8" w:space="0" w:color="auto"/>
            </w:tcBorders>
            <w:shd w:val="clear" w:color="auto" w:fill="auto"/>
            <w:vAlign w:val="center"/>
            <w:hideMark/>
          </w:tcPr>
          <w:p w14:paraId="15E8C938"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433</w:t>
            </w:r>
          </w:p>
        </w:tc>
        <w:tc>
          <w:tcPr>
            <w:tcW w:w="1118" w:type="dxa"/>
            <w:tcBorders>
              <w:top w:val="nil"/>
              <w:left w:val="nil"/>
              <w:bottom w:val="nil"/>
              <w:right w:val="single" w:sz="8" w:space="0" w:color="auto"/>
            </w:tcBorders>
            <w:shd w:val="clear" w:color="auto" w:fill="auto"/>
            <w:vAlign w:val="center"/>
            <w:hideMark/>
          </w:tcPr>
          <w:p w14:paraId="1E7C370D"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1118" w:type="dxa"/>
            <w:tcBorders>
              <w:top w:val="nil"/>
              <w:left w:val="nil"/>
              <w:bottom w:val="nil"/>
              <w:right w:val="single" w:sz="8" w:space="0" w:color="auto"/>
            </w:tcBorders>
            <w:shd w:val="clear" w:color="auto" w:fill="auto"/>
            <w:vAlign w:val="center"/>
            <w:hideMark/>
          </w:tcPr>
          <w:p w14:paraId="1E589FB4"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460</w:t>
            </w:r>
          </w:p>
        </w:tc>
      </w:tr>
      <w:tr w:rsidR="00D33F7C" w:rsidRPr="00037B23" w14:paraId="00605913" w14:textId="77777777" w:rsidTr="00E213CE">
        <w:trPr>
          <w:trHeight w:val="241"/>
        </w:trPr>
        <w:tc>
          <w:tcPr>
            <w:tcW w:w="3620" w:type="dxa"/>
            <w:tcBorders>
              <w:top w:val="nil"/>
              <w:left w:val="single" w:sz="4" w:space="0" w:color="auto"/>
              <w:bottom w:val="nil"/>
              <w:right w:val="nil"/>
            </w:tcBorders>
            <w:shd w:val="clear" w:color="000000" w:fill="B4C6E7"/>
            <w:vAlign w:val="center"/>
            <w:hideMark/>
          </w:tcPr>
          <w:p w14:paraId="3EFA7F1B"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Taiwan Futures Exchange</w:t>
            </w:r>
          </w:p>
        </w:tc>
        <w:tc>
          <w:tcPr>
            <w:tcW w:w="1118" w:type="dxa"/>
            <w:tcBorders>
              <w:top w:val="nil"/>
              <w:left w:val="single" w:sz="8" w:space="0" w:color="auto"/>
              <w:bottom w:val="nil"/>
              <w:right w:val="single" w:sz="8" w:space="0" w:color="auto"/>
            </w:tcBorders>
            <w:shd w:val="clear" w:color="auto" w:fill="auto"/>
            <w:vAlign w:val="center"/>
            <w:hideMark/>
          </w:tcPr>
          <w:p w14:paraId="2AEAF58B"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21,693</w:t>
            </w:r>
          </w:p>
        </w:tc>
        <w:tc>
          <w:tcPr>
            <w:tcW w:w="1118" w:type="dxa"/>
            <w:tcBorders>
              <w:top w:val="nil"/>
              <w:left w:val="nil"/>
              <w:bottom w:val="nil"/>
              <w:right w:val="single" w:sz="8" w:space="0" w:color="auto"/>
            </w:tcBorders>
            <w:shd w:val="clear" w:color="auto" w:fill="auto"/>
            <w:vAlign w:val="center"/>
            <w:hideMark/>
          </w:tcPr>
          <w:p w14:paraId="12DA9AF5"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691</w:t>
            </w:r>
          </w:p>
        </w:tc>
        <w:tc>
          <w:tcPr>
            <w:tcW w:w="1118" w:type="dxa"/>
            <w:tcBorders>
              <w:top w:val="nil"/>
              <w:left w:val="nil"/>
              <w:bottom w:val="nil"/>
              <w:right w:val="single" w:sz="8" w:space="0" w:color="auto"/>
            </w:tcBorders>
            <w:shd w:val="clear" w:color="auto" w:fill="auto"/>
            <w:vAlign w:val="center"/>
            <w:hideMark/>
          </w:tcPr>
          <w:p w14:paraId="67776B17"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2,726</w:t>
            </w:r>
          </w:p>
        </w:tc>
        <w:tc>
          <w:tcPr>
            <w:tcW w:w="1118" w:type="dxa"/>
            <w:tcBorders>
              <w:top w:val="nil"/>
              <w:left w:val="nil"/>
              <w:bottom w:val="nil"/>
              <w:right w:val="single" w:sz="8" w:space="0" w:color="auto"/>
            </w:tcBorders>
            <w:shd w:val="clear" w:color="auto" w:fill="auto"/>
            <w:vAlign w:val="center"/>
            <w:hideMark/>
          </w:tcPr>
          <w:p w14:paraId="6B543322"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0</w:t>
            </w:r>
          </w:p>
        </w:tc>
        <w:tc>
          <w:tcPr>
            <w:tcW w:w="1118" w:type="dxa"/>
            <w:tcBorders>
              <w:top w:val="nil"/>
              <w:left w:val="nil"/>
              <w:bottom w:val="nil"/>
              <w:right w:val="single" w:sz="8" w:space="0" w:color="auto"/>
            </w:tcBorders>
            <w:shd w:val="clear" w:color="auto" w:fill="auto"/>
            <w:vAlign w:val="center"/>
            <w:hideMark/>
          </w:tcPr>
          <w:p w14:paraId="183AA121"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0</w:t>
            </w:r>
          </w:p>
        </w:tc>
        <w:tc>
          <w:tcPr>
            <w:tcW w:w="1118" w:type="dxa"/>
            <w:tcBorders>
              <w:top w:val="nil"/>
              <w:left w:val="nil"/>
              <w:bottom w:val="nil"/>
              <w:right w:val="single" w:sz="8" w:space="0" w:color="auto"/>
            </w:tcBorders>
            <w:shd w:val="clear" w:color="auto" w:fill="auto"/>
            <w:vAlign w:val="center"/>
            <w:hideMark/>
          </w:tcPr>
          <w:p w14:paraId="1C44398B"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385</w:t>
            </w:r>
          </w:p>
        </w:tc>
      </w:tr>
      <w:tr w:rsidR="00D33F7C" w:rsidRPr="00037B23" w14:paraId="2DC87BE8" w14:textId="77777777" w:rsidTr="00E213CE">
        <w:trPr>
          <w:trHeight w:val="241"/>
        </w:trPr>
        <w:tc>
          <w:tcPr>
            <w:tcW w:w="3620" w:type="dxa"/>
            <w:tcBorders>
              <w:top w:val="nil"/>
              <w:left w:val="single" w:sz="4" w:space="0" w:color="auto"/>
              <w:bottom w:val="nil"/>
              <w:right w:val="nil"/>
            </w:tcBorders>
            <w:shd w:val="clear" w:color="000000" w:fill="B4C6E7"/>
            <w:vAlign w:val="center"/>
            <w:hideMark/>
          </w:tcPr>
          <w:p w14:paraId="0B45DDA3"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Thailand Futures Exchange</w:t>
            </w:r>
          </w:p>
        </w:tc>
        <w:tc>
          <w:tcPr>
            <w:tcW w:w="1118" w:type="dxa"/>
            <w:tcBorders>
              <w:top w:val="nil"/>
              <w:left w:val="single" w:sz="8" w:space="0" w:color="auto"/>
              <w:bottom w:val="nil"/>
              <w:right w:val="single" w:sz="8" w:space="0" w:color="auto"/>
            </w:tcBorders>
            <w:shd w:val="clear" w:color="auto" w:fill="auto"/>
            <w:vAlign w:val="center"/>
            <w:hideMark/>
          </w:tcPr>
          <w:p w14:paraId="12545E62"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242,262</w:t>
            </w:r>
          </w:p>
        </w:tc>
        <w:tc>
          <w:tcPr>
            <w:tcW w:w="1118" w:type="dxa"/>
            <w:tcBorders>
              <w:top w:val="nil"/>
              <w:left w:val="nil"/>
              <w:bottom w:val="nil"/>
              <w:right w:val="single" w:sz="8" w:space="0" w:color="auto"/>
            </w:tcBorders>
            <w:shd w:val="clear" w:color="auto" w:fill="auto"/>
            <w:vAlign w:val="center"/>
            <w:hideMark/>
          </w:tcPr>
          <w:p w14:paraId="49B57EE1"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1118" w:type="dxa"/>
            <w:tcBorders>
              <w:top w:val="nil"/>
              <w:left w:val="nil"/>
              <w:bottom w:val="nil"/>
              <w:right w:val="single" w:sz="8" w:space="0" w:color="auto"/>
            </w:tcBorders>
            <w:shd w:val="clear" w:color="auto" w:fill="auto"/>
            <w:vAlign w:val="center"/>
            <w:hideMark/>
          </w:tcPr>
          <w:p w14:paraId="52D14B8D"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38,817</w:t>
            </w:r>
          </w:p>
        </w:tc>
        <w:tc>
          <w:tcPr>
            <w:tcW w:w="1118" w:type="dxa"/>
            <w:tcBorders>
              <w:top w:val="nil"/>
              <w:left w:val="nil"/>
              <w:bottom w:val="nil"/>
              <w:right w:val="single" w:sz="8" w:space="0" w:color="auto"/>
            </w:tcBorders>
            <w:shd w:val="clear" w:color="auto" w:fill="auto"/>
            <w:vAlign w:val="center"/>
            <w:hideMark/>
          </w:tcPr>
          <w:p w14:paraId="424C3F3B"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1118" w:type="dxa"/>
            <w:tcBorders>
              <w:top w:val="nil"/>
              <w:left w:val="nil"/>
              <w:bottom w:val="nil"/>
              <w:right w:val="single" w:sz="8" w:space="0" w:color="auto"/>
            </w:tcBorders>
            <w:shd w:val="clear" w:color="auto" w:fill="auto"/>
            <w:vAlign w:val="center"/>
            <w:hideMark/>
          </w:tcPr>
          <w:p w14:paraId="0222A091"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1118" w:type="dxa"/>
            <w:tcBorders>
              <w:top w:val="nil"/>
              <w:left w:val="nil"/>
              <w:bottom w:val="nil"/>
              <w:right w:val="single" w:sz="8" w:space="0" w:color="auto"/>
            </w:tcBorders>
            <w:shd w:val="clear" w:color="auto" w:fill="auto"/>
            <w:vAlign w:val="center"/>
            <w:hideMark/>
          </w:tcPr>
          <w:p w14:paraId="05767DE5"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r>
      <w:tr w:rsidR="00D33F7C" w:rsidRPr="00037B23" w14:paraId="066BF8B7" w14:textId="77777777" w:rsidTr="00E213CE">
        <w:trPr>
          <w:trHeight w:val="241"/>
        </w:trPr>
        <w:tc>
          <w:tcPr>
            <w:tcW w:w="3620" w:type="dxa"/>
            <w:tcBorders>
              <w:top w:val="nil"/>
              <w:left w:val="single" w:sz="4" w:space="0" w:color="auto"/>
              <w:bottom w:val="nil"/>
              <w:right w:val="nil"/>
            </w:tcBorders>
            <w:shd w:val="clear" w:color="000000" w:fill="B4C6E7"/>
            <w:vAlign w:val="center"/>
            <w:hideMark/>
          </w:tcPr>
          <w:p w14:paraId="7F464936"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Borsa Istanbul</w:t>
            </w:r>
          </w:p>
        </w:tc>
        <w:tc>
          <w:tcPr>
            <w:tcW w:w="1118" w:type="dxa"/>
            <w:tcBorders>
              <w:top w:val="nil"/>
              <w:left w:val="single" w:sz="8" w:space="0" w:color="auto"/>
              <w:bottom w:val="nil"/>
              <w:right w:val="single" w:sz="8" w:space="0" w:color="auto"/>
            </w:tcBorders>
            <w:shd w:val="clear" w:color="auto" w:fill="auto"/>
            <w:vAlign w:val="center"/>
            <w:hideMark/>
          </w:tcPr>
          <w:p w14:paraId="46739AAF"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4,498,277</w:t>
            </w:r>
          </w:p>
        </w:tc>
        <w:tc>
          <w:tcPr>
            <w:tcW w:w="1118" w:type="dxa"/>
            <w:tcBorders>
              <w:top w:val="nil"/>
              <w:left w:val="nil"/>
              <w:bottom w:val="nil"/>
              <w:right w:val="single" w:sz="8" w:space="0" w:color="auto"/>
            </w:tcBorders>
            <w:shd w:val="clear" w:color="auto" w:fill="auto"/>
            <w:vAlign w:val="center"/>
            <w:hideMark/>
          </w:tcPr>
          <w:p w14:paraId="5C0209C2"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4,642</w:t>
            </w:r>
          </w:p>
        </w:tc>
        <w:tc>
          <w:tcPr>
            <w:tcW w:w="1118" w:type="dxa"/>
            <w:tcBorders>
              <w:top w:val="nil"/>
              <w:left w:val="nil"/>
              <w:bottom w:val="nil"/>
              <w:right w:val="single" w:sz="8" w:space="0" w:color="auto"/>
            </w:tcBorders>
            <w:shd w:val="clear" w:color="auto" w:fill="auto"/>
            <w:vAlign w:val="center"/>
            <w:hideMark/>
          </w:tcPr>
          <w:p w14:paraId="553D3DAE"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1,752,052</w:t>
            </w:r>
          </w:p>
        </w:tc>
        <w:tc>
          <w:tcPr>
            <w:tcW w:w="1118" w:type="dxa"/>
            <w:tcBorders>
              <w:top w:val="nil"/>
              <w:left w:val="nil"/>
              <w:bottom w:val="nil"/>
              <w:right w:val="single" w:sz="8" w:space="0" w:color="auto"/>
            </w:tcBorders>
            <w:shd w:val="clear" w:color="auto" w:fill="auto"/>
            <w:vAlign w:val="center"/>
            <w:hideMark/>
          </w:tcPr>
          <w:p w14:paraId="29740CC3"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31,765</w:t>
            </w:r>
          </w:p>
        </w:tc>
        <w:tc>
          <w:tcPr>
            <w:tcW w:w="1118" w:type="dxa"/>
            <w:tcBorders>
              <w:top w:val="nil"/>
              <w:left w:val="nil"/>
              <w:bottom w:val="nil"/>
              <w:right w:val="single" w:sz="8" w:space="0" w:color="auto"/>
            </w:tcBorders>
            <w:shd w:val="clear" w:color="auto" w:fill="auto"/>
            <w:vAlign w:val="center"/>
            <w:hideMark/>
          </w:tcPr>
          <w:p w14:paraId="641A526E"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32</w:t>
            </w:r>
          </w:p>
        </w:tc>
        <w:tc>
          <w:tcPr>
            <w:tcW w:w="1118" w:type="dxa"/>
            <w:tcBorders>
              <w:top w:val="nil"/>
              <w:left w:val="nil"/>
              <w:bottom w:val="nil"/>
              <w:right w:val="single" w:sz="8" w:space="0" w:color="auto"/>
            </w:tcBorders>
            <w:shd w:val="clear" w:color="auto" w:fill="auto"/>
            <w:vAlign w:val="center"/>
            <w:hideMark/>
          </w:tcPr>
          <w:p w14:paraId="60D92BA3"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27,754</w:t>
            </w:r>
          </w:p>
        </w:tc>
      </w:tr>
      <w:tr w:rsidR="00D33F7C" w:rsidRPr="00037B23" w14:paraId="72084CB3" w14:textId="77777777" w:rsidTr="00E213CE">
        <w:trPr>
          <w:trHeight w:val="241"/>
        </w:trPr>
        <w:tc>
          <w:tcPr>
            <w:tcW w:w="3620" w:type="dxa"/>
            <w:tcBorders>
              <w:top w:val="nil"/>
              <w:left w:val="single" w:sz="4" w:space="0" w:color="auto"/>
              <w:bottom w:val="nil"/>
              <w:right w:val="nil"/>
            </w:tcBorders>
            <w:shd w:val="clear" w:color="000000" w:fill="B4C6E7"/>
            <w:vAlign w:val="center"/>
            <w:hideMark/>
          </w:tcPr>
          <w:p w14:paraId="7731388D"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Budapest Stock Exchange</w:t>
            </w:r>
          </w:p>
        </w:tc>
        <w:tc>
          <w:tcPr>
            <w:tcW w:w="1118" w:type="dxa"/>
            <w:tcBorders>
              <w:top w:val="nil"/>
              <w:left w:val="single" w:sz="8" w:space="0" w:color="auto"/>
              <w:bottom w:val="nil"/>
              <w:right w:val="single" w:sz="8" w:space="0" w:color="auto"/>
            </w:tcBorders>
            <w:shd w:val="clear" w:color="auto" w:fill="auto"/>
            <w:vAlign w:val="center"/>
            <w:hideMark/>
          </w:tcPr>
          <w:p w14:paraId="365382A4"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596,226</w:t>
            </w:r>
          </w:p>
        </w:tc>
        <w:tc>
          <w:tcPr>
            <w:tcW w:w="1118" w:type="dxa"/>
            <w:tcBorders>
              <w:top w:val="nil"/>
              <w:left w:val="nil"/>
              <w:bottom w:val="nil"/>
              <w:right w:val="single" w:sz="8" w:space="0" w:color="auto"/>
            </w:tcBorders>
            <w:shd w:val="clear" w:color="auto" w:fill="auto"/>
            <w:vAlign w:val="center"/>
            <w:hideMark/>
          </w:tcPr>
          <w:p w14:paraId="3CC7AC83"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729</w:t>
            </w:r>
          </w:p>
        </w:tc>
        <w:tc>
          <w:tcPr>
            <w:tcW w:w="1118" w:type="dxa"/>
            <w:tcBorders>
              <w:top w:val="nil"/>
              <w:left w:val="nil"/>
              <w:bottom w:val="nil"/>
              <w:right w:val="single" w:sz="8" w:space="0" w:color="auto"/>
            </w:tcBorders>
            <w:shd w:val="clear" w:color="auto" w:fill="auto"/>
            <w:vAlign w:val="center"/>
            <w:hideMark/>
          </w:tcPr>
          <w:p w14:paraId="5331FCBF"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750,001</w:t>
            </w:r>
          </w:p>
        </w:tc>
        <w:tc>
          <w:tcPr>
            <w:tcW w:w="1118" w:type="dxa"/>
            <w:tcBorders>
              <w:top w:val="nil"/>
              <w:left w:val="nil"/>
              <w:bottom w:val="nil"/>
              <w:right w:val="single" w:sz="8" w:space="0" w:color="auto"/>
            </w:tcBorders>
            <w:shd w:val="clear" w:color="auto" w:fill="auto"/>
            <w:vAlign w:val="center"/>
            <w:hideMark/>
          </w:tcPr>
          <w:p w14:paraId="3FBA1F73"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0</w:t>
            </w:r>
          </w:p>
        </w:tc>
        <w:tc>
          <w:tcPr>
            <w:tcW w:w="1118" w:type="dxa"/>
            <w:tcBorders>
              <w:top w:val="nil"/>
              <w:left w:val="nil"/>
              <w:bottom w:val="nil"/>
              <w:right w:val="single" w:sz="8" w:space="0" w:color="auto"/>
            </w:tcBorders>
            <w:shd w:val="clear" w:color="auto" w:fill="auto"/>
            <w:vAlign w:val="center"/>
            <w:hideMark/>
          </w:tcPr>
          <w:p w14:paraId="6255667A"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0</w:t>
            </w:r>
          </w:p>
        </w:tc>
        <w:tc>
          <w:tcPr>
            <w:tcW w:w="1118" w:type="dxa"/>
            <w:tcBorders>
              <w:top w:val="nil"/>
              <w:left w:val="nil"/>
              <w:bottom w:val="nil"/>
              <w:right w:val="single" w:sz="8" w:space="0" w:color="auto"/>
            </w:tcBorders>
            <w:shd w:val="clear" w:color="auto" w:fill="auto"/>
            <w:vAlign w:val="center"/>
            <w:hideMark/>
          </w:tcPr>
          <w:p w14:paraId="01493F26"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0</w:t>
            </w:r>
          </w:p>
        </w:tc>
      </w:tr>
      <w:tr w:rsidR="00D33F7C" w:rsidRPr="00037B23" w14:paraId="1E3E47B8" w14:textId="77777777" w:rsidTr="00E213CE">
        <w:trPr>
          <w:trHeight w:val="241"/>
        </w:trPr>
        <w:tc>
          <w:tcPr>
            <w:tcW w:w="3620" w:type="dxa"/>
            <w:tcBorders>
              <w:top w:val="nil"/>
              <w:left w:val="single" w:sz="4" w:space="0" w:color="auto"/>
              <w:bottom w:val="nil"/>
              <w:right w:val="nil"/>
            </w:tcBorders>
            <w:shd w:val="clear" w:color="000000" w:fill="B4C6E7"/>
            <w:vAlign w:val="center"/>
            <w:hideMark/>
          </w:tcPr>
          <w:p w14:paraId="43735C33"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Moscow Exchange</w:t>
            </w:r>
          </w:p>
        </w:tc>
        <w:tc>
          <w:tcPr>
            <w:tcW w:w="1118" w:type="dxa"/>
            <w:tcBorders>
              <w:top w:val="nil"/>
              <w:left w:val="single" w:sz="8" w:space="0" w:color="auto"/>
              <w:bottom w:val="nil"/>
              <w:right w:val="single" w:sz="8" w:space="0" w:color="auto"/>
            </w:tcBorders>
            <w:shd w:val="clear" w:color="auto" w:fill="auto"/>
            <w:vAlign w:val="center"/>
            <w:hideMark/>
          </w:tcPr>
          <w:p w14:paraId="3BA4E892"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58,018,143</w:t>
            </w:r>
          </w:p>
        </w:tc>
        <w:tc>
          <w:tcPr>
            <w:tcW w:w="1118" w:type="dxa"/>
            <w:tcBorders>
              <w:top w:val="nil"/>
              <w:left w:val="nil"/>
              <w:bottom w:val="nil"/>
              <w:right w:val="single" w:sz="8" w:space="0" w:color="auto"/>
            </w:tcBorders>
            <w:shd w:val="clear" w:color="auto" w:fill="auto"/>
            <w:vAlign w:val="center"/>
            <w:hideMark/>
          </w:tcPr>
          <w:p w14:paraId="407AECED"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60,182</w:t>
            </w:r>
          </w:p>
        </w:tc>
        <w:tc>
          <w:tcPr>
            <w:tcW w:w="1118" w:type="dxa"/>
            <w:tcBorders>
              <w:top w:val="nil"/>
              <w:left w:val="nil"/>
              <w:bottom w:val="nil"/>
              <w:right w:val="single" w:sz="8" w:space="0" w:color="auto"/>
            </w:tcBorders>
            <w:shd w:val="clear" w:color="auto" w:fill="auto"/>
            <w:vAlign w:val="center"/>
            <w:hideMark/>
          </w:tcPr>
          <w:p w14:paraId="46E0094D"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4,054,780</w:t>
            </w:r>
          </w:p>
        </w:tc>
        <w:tc>
          <w:tcPr>
            <w:tcW w:w="1118" w:type="dxa"/>
            <w:tcBorders>
              <w:top w:val="nil"/>
              <w:left w:val="nil"/>
              <w:bottom w:val="nil"/>
              <w:right w:val="single" w:sz="8" w:space="0" w:color="auto"/>
            </w:tcBorders>
            <w:shd w:val="clear" w:color="auto" w:fill="auto"/>
            <w:vAlign w:val="center"/>
            <w:hideMark/>
          </w:tcPr>
          <w:p w14:paraId="1BD1BA92"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1,244,014</w:t>
            </w:r>
          </w:p>
        </w:tc>
        <w:tc>
          <w:tcPr>
            <w:tcW w:w="1118" w:type="dxa"/>
            <w:tcBorders>
              <w:top w:val="nil"/>
              <w:left w:val="nil"/>
              <w:bottom w:val="nil"/>
              <w:right w:val="single" w:sz="8" w:space="0" w:color="auto"/>
            </w:tcBorders>
            <w:shd w:val="clear" w:color="auto" w:fill="auto"/>
            <w:vAlign w:val="center"/>
            <w:hideMark/>
          </w:tcPr>
          <w:p w14:paraId="57EF4695"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1,321</w:t>
            </w:r>
          </w:p>
        </w:tc>
        <w:tc>
          <w:tcPr>
            <w:tcW w:w="1118" w:type="dxa"/>
            <w:tcBorders>
              <w:top w:val="nil"/>
              <w:left w:val="nil"/>
              <w:bottom w:val="nil"/>
              <w:right w:val="single" w:sz="8" w:space="0" w:color="auto"/>
            </w:tcBorders>
            <w:shd w:val="clear" w:color="auto" w:fill="auto"/>
            <w:vAlign w:val="center"/>
            <w:hideMark/>
          </w:tcPr>
          <w:p w14:paraId="1173B047"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1,663,190</w:t>
            </w:r>
          </w:p>
        </w:tc>
      </w:tr>
      <w:tr w:rsidR="00D33F7C" w:rsidRPr="00037B23" w14:paraId="3382319B" w14:textId="77777777" w:rsidTr="00E213CE">
        <w:trPr>
          <w:trHeight w:val="241"/>
        </w:trPr>
        <w:tc>
          <w:tcPr>
            <w:tcW w:w="3620" w:type="dxa"/>
            <w:tcBorders>
              <w:top w:val="nil"/>
              <w:left w:val="single" w:sz="4" w:space="0" w:color="auto"/>
              <w:bottom w:val="nil"/>
              <w:right w:val="nil"/>
            </w:tcBorders>
            <w:shd w:val="clear" w:color="000000" w:fill="B4C6E7"/>
            <w:vAlign w:val="center"/>
            <w:hideMark/>
          </w:tcPr>
          <w:p w14:paraId="565232F6"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Tel-Aviv Stock Exchange</w:t>
            </w:r>
          </w:p>
        </w:tc>
        <w:tc>
          <w:tcPr>
            <w:tcW w:w="1118" w:type="dxa"/>
            <w:tcBorders>
              <w:top w:val="nil"/>
              <w:left w:val="single" w:sz="8" w:space="0" w:color="auto"/>
              <w:bottom w:val="nil"/>
              <w:right w:val="single" w:sz="8" w:space="0" w:color="auto"/>
            </w:tcBorders>
            <w:shd w:val="clear" w:color="auto" w:fill="auto"/>
            <w:vAlign w:val="center"/>
            <w:hideMark/>
          </w:tcPr>
          <w:p w14:paraId="2A79EE65"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1118" w:type="dxa"/>
            <w:tcBorders>
              <w:top w:val="nil"/>
              <w:left w:val="nil"/>
              <w:bottom w:val="nil"/>
              <w:right w:val="single" w:sz="8" w:space="0" w:color="auto"/>
            </w:tcBorders>
            <w:shd w:val="clear" w:color="auto" w:fill="auto"/>
            <w:vAlign w:val="center"/>
            <w:hideMark/>
          </w:tcPr>
          <w:p w14:paraId="22BB692B"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1118" w:type="dxa"/>
            <w:tcBorders>
              <w:top w:val="nil"/>
              <w:left w:val="nil"/>
              <w:bottom w:val="nil"/>
              <w:right w:val="single" w:sz="8" w:space="0" w:color="auto"/>
            </w:tcBorders>
            <w:shd w:val="clear" w:color="auto" w:fill="auto"/>
            <w:vAlign w:val="center"/>
            <w:hideMark/>
          </w:tcPr>
          <w:p w14:paraId="0ABE4D3F"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1118" w:type="dxa"/>
            <w:tcBorders>
              <w:top w:val="nil"/>
              <w:left w:val="nil"/>
              <w:bottom w:val="nil"/>
              <w:right w:val="single" w:sz="8" w:space="0" w:color="auto"/>
            </w:tcBorders>
            <w:shd w:val="clear" w:color="auto" w:fill="auto"/>
            <w:vAlign w:val="center"/>
            <w:hideMark/>
          </w:tcPr>
          <w:p w14:paraId="41A62D53"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921,309</w:t>
            </w:r>
          </w:p>
        </w:tc>
        <w:tc>
          <w:tcPr>
            <w:tcW w:w="1118" w:type="dxa"/>
            <w:tcBorders>
              <w:top w:val="nil"/>
              <w:left w:val="nil"/>
              <w:bottom w:val="nil"/>
              <w:right w:val="single" w:sz="8" w:space="0" w:color="auto"/>
            </w:tcBorders>
            <w:shd w:val="clear" w:color="auto" w:fill="auto"/>
            <w:vAlign w:val="center"/>
            <w:hideMark/>
          </w:tcPr>
          <w:p w14:paraId="1F258EEA"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9,274</w:t>
            </w:r>
          </w:p>
        </w:tc>
        <w:tc>
          <w:tcPr>
            <w:tcW w:w="1118" w:type="dxa"/>
            <w:tcBorders>
              <w:top w:val="nil"/>
              <w:left w:val="nil"/>
              <w:bottom w:val="nil"/>
              <w:right w:val="single" w:sz="8" w:space="0" w:color="auto"/>
            </w:tcBorders>
            <w:shd w:val="clear" w:color="auto" w:fill="auto"/>
            <w:vAlign w:val="center"/>
            <w:hideMark/>
          </w:tcPr>
          <w:p w14:paraId="7EE85E9A"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621,383</w:t>
            </w:r>
          </w:p>
        </w:tc>
      </w:tr>
      <w:tr w:rsidR="00D33F7C" w:rsidRPr="00037B23" w14:paraId="7D8995A9" w14:textId="77777777" w:rsidTr="00E213CE">
        <w:trPr>
          <w:trHeight w:val="253"/>
        </w:trPr>
        <w:tc>
          <w:tcPr>
            <w:tcW w:w="3620" w:type="dxa"/>
            <w:tcBorders>
              <w:top w:val="nil"/>
              <w:left w:val="single" w:sz="4" w:space="0" w:color="auto"/>
              <w:bottom w:val="nil"/>
              <w:right w:val="nil"/>
            </w:tcBorders>
            <w:shd w:val="clear" w:color="000000" w:fill="B4C6E7"/>
            <w:vAlign w:val="center"/>
            <w:hideMark/>
          </w:tcPr>
          <w:p w14:paraId="24B5E44C"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Dubai Gold and Commodities Exchange</w:t>
            </w:r>
          </w:p>
        </w:tc>
        <w:tc>
          <w:tcPr>
            <w:tcW w:w="1118" w:type="dxa"/>
            <w:tcBorders>
              <w:top w:val="nil"/>
              <w:left w:val="single" w:sz="8" w:space="0" w:color="auto"/>
              <w:bottom w:val="single" w:sz="8" w:space="0" w:color="auto"/>
              <w:right w:val="single" w:sz="8" w:space="0" w:color="auto"/>
            </w:tcBorders>
            <w:shd w:val="clear" w:color="auto" w:fill="auto"/>
            <w:vAlign w:val="center"/>
            <w:hideMark/>
          </w:tcPr>
          <w:p w14:paraId="7103FB0B"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603,984</w:t>
            </w:r>
          </w:p>
        </w:tc>
        <w:tc>
          <w:tcPr>
            <w:tcW w:w="1118" w:type="dxa"/>
            <w:tcBorders>
              <w:top w:val="nil"/>
              <w:left w:val="nil"/>
              <w:bottom w:val="single" w:sz="8" w:space="0" w:color="auto"/>
              <w:right w:val="single" w:sz="8" w:space="0" w:color="auto"/>
            </w:tcBorders>
            <w:shd w:val="clear" w:color="auto" w:fill="auto"/>
            <w:vAlign w:val="center"/>
            <w:hideMark/>
          </w:tcPr>
          <w:p w14:paraId="40C2C11E"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3,352</w:t>
            </w:r>
          </w:p>
        </w:tc>
        <w:tc>
          <w:tcPr>
            <w:tcW w:w="1118" w:type="dxa"/>
            <w:tcBorders>
              <w:top w:val="nil"/>
              <w:left w:val="nil"/>
              <w:bottom w:val="single" w:sz="8" w:space="0" w:color="auto"/>
              <w:right w:val="single" w:sz="8" w:space="0" w:color="auto"/>
            </w:tcBorders>
            <w:shd w:val="clear" w:color="auto" w:fill="auto"/>
            <w:vAlign w:val="center"/>
            <w:hideMark/>
          </w:tcPr>
          <w:p w14:paraId="0A7779F0"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206,972</w:t>
            </w:r>
          </w:p>
        </w:tc>
        <w:tc>
          <w:tcPr>
            <w:tcW w:w="1118" w:type="dxa"/>
            <w:tcBorders>
              <w:top w:val="nil"/>
              <w:left w:val="nil"/>
              <w:bottom w:val="single" w:sz="8" w:space="0" w:color="auto"/>
              <w:right w:val="single" w:sz="8" w:space="0" w:color="auto"/>
            </w:tcBorders>
            <w:shd w:val="clear" w:color="auto" w:fill="auto"/>
            <w:vAlign w:val="center"/>
            <w:hideMark/>
          </w:tcPr>
          <w:p w14:paraId="248D9E17"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0</w:t>
            </w:r>
          </w:p>
        </w:tc>
        <w:tc>
          <w:tcPr>
            <w:tcW w:w="1118" w:type="dxa"/>
            <w:tcBorders>
              <w:top w:val="nil"/>
              <w:left w:val="nil"/>
              <w:bottom w:val="single" w:sz="8" w:space="0" w:color="auto"/>
              <w:right w:val="single" w:sz="8" w:space="0" w:color="auto"/>
            </w:tcBorders>
            <w:shd w:val="clear" w:color="auto" w:fill="auto"/>
            <w:vAlign w:val="center"/>
            <w:hideMark/>
          </w:tcPr>
          <w:p w14:paraId="67F6B125"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0</w:t>
            </w:r>
          </w:p>
        </w:tc>
        <w:tc>
          <w:tcPr>
            <w:tcW w:w="1118" w:type="dxa"/>
            <w:tcBorders>
              <w:top w:val="nil"/>
              <w:left w:val="nil"/>
              <w:bottom w:val="single" w:sz="8" w:space="0" w:color="auto"/>
              <w:right w:val="single" w:sz="8" w:space="0" w:color="auto"/>
            </w:tcBorders>
            <w:shd w:val="clear" w:color="auto" w:fill="auto"/>
            <w:vAlign w:val="center"/>
            <w:hideMark/>
          </w:tcPr>
          <w:p w14:paraId="7DF6BBA5"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0</w:t>
            </w:r>
          </w:p>
        </w:tc>
      </w:tr>
      <w:tr w:rsidR="00D33F7C" w:rsidRPr="00037B23" w14:paraId="663F1512" w14:textId="77777777" w:rsidTr="00E213CE">
        <w:trPr>
          <w:trHeight w:val="253"/>
        </w:trPr>
        <w:tc>
          <w:tcPr>
            <w:tcW w:w="3620" w:type="dxa"/>
            <w:tcBorders>
              <w:top w:val="single" w:sz="8" w:space="0" w:color="auto"/>
              <w:left w:val="single" w:sz="8" w:space="0" w:color="auto"/>
              <w:bottom w:val="single" w:sz="8" w:space="0" w:color="auto"/>
              <w:right w:val="nil"/>
            </w:tcBorders>
            <w:shd w:val="clear" w:color="000000" w:fill="D9E1F2"/>
            <w:vAlign w:val="center"/>
            <w:hideMark/>
          </w:tcPr>
          <w:p w14:paraId="223F63D1" w14:textId="77777777" w:rsidR="00D33F7C" w:rsidRPr="00037B23" w:rsidRDefault="00D33F7C" w:rsidP="00E213CE">
            <w:pPr>
              <w:rPr>
                <w:rFonts w:ascii="Garamond" w:eastAsia="Times New Roman" w:hAnsi="Garamond" w:cs="Calibri"/>
                <w:b/>
                <w:bCs/>
                <w:color w:val="000000"/>
                <w:sz w:val="20"/>
                <w:szCs w:val="20"/>
                <w:lang w:val="en-IN" w:eastAsia="en-IN" w:bidi="hi-IN"/>
              </w:rPr>
            </w:pPr>
            <w:r w:rsidRPr="00037B23">
              <w:rPr>
                <w:rFonts w:ascii="Garamond" w:eastAsia="Times New Roman" w:hAnsi="Garamond" w:cs="Calibri"/>
                <w:b/>
                <w:bCs/>
                <w:color w:val="000000"/>
                <w:sz w:val="20"/>
                <w:szCs w:val="20"/>
                <w:lang w:val="en-IN" w:eastAsia="en-IN" w:bidi="hi-IN"/>
              </w:rPr>
              <w:t>Grand Total</w:t>
            </w:r>
          </w:p>
        </w:tc>
        <w:tc>
          <w:tcPr>
            <w:tcW w:w="1118" w:type="dxa"/>
            <w:tcBorders>
              <w:top w:val="nil"/>
              <w:left w:val="nil"/>
              <w:bottom w:val="single" w:sz="8" w:space="0" w:color="auto"/>
              <w:right w:val="nil"/>
            </w:tcBorders>
            <w:shd w:val="clear" w:color="000000" w:fill="D9E1F2"/>
            <w:vAlign w:val="bottom"/>
            <w:hideMark/>
          </w:tcPr>
          <w:p w14:paraId="74E5004B" w14:textId="77777777" w:rsidR="00D33F7C" w:rsidRPr="00037B23" w:rsidRDefault="00D33F7C" w:rsidP="00E213CE">
            <w:pPr>
              <w:jc w:val="right"/>
              <w:rPr>
                <w:rFonts w:ascii="Garamond" w:eastAsia="Times New Roman" w:hAnsi="Garamond" w:cs="Calibri"/>
                <w:b/>
                <w:bCs/>
                <w:color w:val="000000"/>
                <w:sz w:val="20"/>
                <w:szCs w:val="20"/>
                <w:lang w:val="en-IN" w:eastAsia="en-IN" w:bidi="hi-IN"/>
              </w:rPr>
            </w:pPr>
            <w:r w:rsidRPr="00037B23">
              <w:rPr>
                <w:rFonts w:ascii="Garamond" w:eastAsia="Times New Roman" w:hAnsi="Garamond" w:cs="Calibri"/>
                <w:b/>
                <w:bCs/>
                <w:color w:val="000000"/>
                <w:sz w:val="20"/>
                <w:szCs w:val="20"/>
                <w:lang w:val="en-IN" w:eastAsia="en-IN" w:bidi="hi-IN"/>
              </w:rPr>
              <w:t xml:space="preserve"> 221,236,516</w:t>
            </w:r>
          </w:p>
        </w:tc>
        <w:tc>
          <w:tcPr>
            <w:tcW w:w="1118" w:type="dxa"/>
            <w:tcBorders>
              <w:top w:val="nil"/>
              <w:left w:val="nil"/>
              <w:bottom w:val="single" w:sz="8" w:space="0" w:color="auto"/>
              <w:right w:val="nil"/>
            </w:tcBorders>
            <w:shd w:val="clear" w:color="000000" w:fill="D9E1F2"/>
            <w:vAlign w:val="bottom"/>
            <w:hideMark/>
          </w:tcPr>
          <w:p w14:paraId="1049465E" w14:textId="77777777" w:rsidR="00D33F7C" w:rsidRPr="00037B23" w:rsidRDefault="00D33F7C" w:rsidP="00E213CE">
            <w:pPr>
              <w:jc w:val="right"/>
              <w:rPr>
                <w:rFonts w:ascii="Garamond" w:eastAsia="Times New Roman" w:hAnsi="Garamond" w:cs="Calibri"/>
                <w:b/>
                <w:bCs/>
                <w:color w:val="000000"/>
                <w:sz w:val="20"/>
                <w:szCs w:val="20"/>
                <w:lang w:val="en-IN" w:eastAsia="en-IN" w:bidi="hi-IN"/>
              </w:rPr>
            </w:pPr>
            <w:r w:rsidRPr="00037B23">
              <w:rPr>
                <w:rFonts w:ascii="Garamond" w:eastAsia="Times New Roman" w:hAnsi="Garamond" w:cs="Calibri"/>
                <w:b/>
                <w:bCs/>
                <w:color w:val="000000"/>
                <w:sz w:val="20"/>
                <w:szCs w:val="20"/>
                <w:lang w:val="en-IN" w:eastAsia="en-IN" w:bidi="hi-IN"/>
              </w:rPr>
              <w:t xml:space="preserve"> 2,415,587</w:t>
            </w:r>
          </w:p>
        </w:tc>
        <w:tc>
          <w:tcPr>
            <w:tcW w:w="1118" w:type="dxa"/>
            <w:tcBorders>
              <w:top w:val="nil"/>
              <w:left w:val="nil"/>
              <w:bottom w:val="single" w:sz="8" w:space="0" w:color="auto"/>
              <w:right w:val="nil"/>
            </w:tcBorders>
            <w:shd w:val="clear" w:color="000000" w:fill="D9E1F2"/>
            <w:vAlign w:val="bottom"/>
            <w:hideMark/>
          </w:tcPr>
          <w:p w14:paraId="661D4735" w14:textId="77777777" w:rsidR="00D33F7C" w:rsidRPr="00037B23" w:rsidRDefault="00D33F7C" w:rsidP="00E213CE">
            <w:pPr>
              <w:jc w:val="right"/>
              <w:rPr>
                <w:rFonts w:ascii="Garamond" w:eastAsia="Times New Roman" w:hAnsi="Garamond" w:cs="Calibri"/>
                <w:b/>
                <w:bCs/>
                <w:color w:val="000000"/>
                <w:sz w:val="20"/>
                <w:szCs w:val="20"/>
                <w:lang w:val="en-IN" w:eastAsia="en-IN" w:bidi="hi-IN"/>
              </w:rPr>
            </w:pPr>
            <w:r w:rsidRPr="00037B23">
              <w:rPr>
                <w:rFonts w:ascii="Garamond" w:eastAsia="Times New Roman" w:hAnsi="Garamond" w:cs="Calibri"/>
                <w:b/>
                <w:bCs/>
                <w:color w:val="000000"/>
                <w:sz w:val="20"/>
                <w:szCs w:val="20"/>
                <w:lang w:val="en-IN" w:eastAsia="en-IN" w:bidi="hi-IN"/>
              </w:rPr>
              <w:t xml:space="preserve"> 21,481,617</w:t>
            </w:r>
          </w:p>
        </w:tc>
        <w:tc>
          <w:tcPr>
            <w:tcW w:w="1118" w:type="dxa"/>
            <w:tcBorders>
              <w:top w:val="nil"/>
              <w:left w:val="nil"/>
              <w:bottom w:val="single" w:sz="8" w:space="0" w:color="auto"/>
              <w:right w:val="nil"/>
            </w:tcBorders>
            <w:shd w:val="clear" w:color="000000" w:fill="D9E1F2"/>
            <w:vAlign w:val="bottom"/>
            <w:hideMark/>
          </w:tcPr>
          <w:p w14:paraId="0C41ABE7" w14:textId="77777777" w:rsidR="00D33F7C" w:rsidRPr="00037B23" w:rsidRDefault="00D33F7C" w:rsidP="00E213CE">
            <w:pPr>
              <w:jc w:val="right"/>
              <w:rPr>
                <w:rFonts w:ascii="Garamond" w:eastAsia="Times New Roman" w:hAnsi="Garamond" w:cs="Calibri"/>
                <w:b/>
                <w:bCs/>
                <w:color w:val="000000"/>
                <w:sz w:val="20"/>
                <w:szCs w:val="20"/>
                <w:lang w:val="en-IN" w:eastAsia="en-IN" w:bidi="hi-IN"/>
              </w:rPr>
            </w:pPr>
            <w:r w:rsidRPr="00037B23">
              <w:rPr>
                <w:rFonts w:ascii="Garamond" w:eastAsia="Times New Roman" w:hAnsi="Garamond" w:cs="Calibri"/>
                <w:b/>
                <w:bCs/>
                <w:color w:val="000000"/>
                <w:sz w:val="20"/>
                <w:szCs w:val="20"/>
                <w:lang w:val="en-IN" w:eastAsia="en-IN" w:bidi="hi-IN"/>
              </w:rPr>
              <w:t xml:space="preserve"> 93,684,469</w:t>
            </w:r>
          </w:p>
        </w:tc>
        <w:tc>
          <w:tcPr>
            <w:tcW w:w="1118" w:type="dxa"/>
            <w:tcBorders>
              <w:top w:val="nil"/>
              <w:left w:val="nil"/>
              <w:bottom w:val="single" w:sz="8" w:space="0" w:color="auto"/>
              <w:right w:val="nil"/>
            </w:tcBorders>
            <w:shd w:val="clear" w:color="000000" w:fill="D9E1F2"/>
            <w:vAlign w:val="bottom"/>
            <w:hideMark/>
          </w:tcPr>
          <w:p w14:paraId="4E6C62C2" w14:textId="77777777" w:rsidR="00D33F7C" w:rsidRPr="00037B23" w:rsidRDefault="00D33F7C" w:rsidP="00E213CE">
            <w:pPr>
              <w:jc w:val="right"/>
              <w:rPr>
                <w:rFonts w:ascii="Garamond" w:eastAsia="Times New Roman" w:hAnsi="Garamond" w:cs="Calibri"/>
                <w:b/>
                <w:bCs/>
                <w:color w:val="000000"/>
                <w:sz w:val="20"/>
                <w:szCs w:val="20"/>
                <w:lang w:val="en-IN" w:eastAsia="en-IN" w:bidi="hi-IN"/>
              </w:rPr>
            </w:pPr>
            <w:r w:rsidRPr="00037B23">
              <w:rPr>
                <w:rFonts w:ascii="Garamond" w:eastAsia="Times New Roman" w:hAnsi="Garamond" w:cs="Calibri"/>
                <w:b/>
                <w:bCs/>
                <w:color w:val="000000"/>
                <w:sz w:val="20"/>
                <w:szCs w:val="20"/>
                <w:lang w:val="en-IN" w:eastAsia="en-IN" w:bidi="hi-IN"/>
              </w:rPr>
              <w:t xml:space="preserve"> 185,981</w:t>
            </w:r>
          </w:p>
        </w:tc>
        <w:tc>
          <w:tcPr>
            <w:tcW w:w="1118" w:type="dxa"/>
            <w:tcBorders>
              <w:top w:val="nil"/>
              <w:left w:val="nil"/>
              <w:bottom w:val="single" w:sz="8" w:space="0" w:color="auto"/>
              <w:right w:val="single" w:sz="8" w:space="0" w:color="auto"/>
            </w:tcBorders>
            <w:shd w:val="clear" w:color="000000" w:fill="D9E1F2"/>
            <w:vAlign w:val="bottom"/>
            <w:hideMark/>
          </w:tcPr>
          <w:p w14:paraId="2F157BE7" w14:textId="77777777" w:rsidR="00D33F7C" w:rsidRPr="00037B23" w:rsidRDefault="00D33F7C" w:rsidP="00E213CE">
            <w:pPr>
              <w:jc w:val="right"/>
              <w:rPr>
                <w:rFonts w:ascii="Garamond" w:eastAsia="Times New Roman" w:hAnsi="Garamond" w:cs="Calibri"/>
                <w:b/>
                <w:bCs/>
                <w:color w:val="000000"/>
                <w:sz w:val="20"/>
                <w:szCs w:val="20"/>
                <w:lang w:val="en-IN" w:eastAsia="en-IN" w:bidi="hi-IN"/>
              </w:rPr>
            </w:pPr>
            <w:r w:rsidRPr="00037B23">
              <w:rPr>
                <w:rFonts w:ascii="Garamond" w:eastAsia="Times New Roman" w:hAnsi="Garamond" w:cs="Calibri"/>
                <w:b/>
                <w:bCs/>
                <w:color w:val="000000"/>
                <w:sz w:val="20"/>
                <w:szCs w:val="20"/>
                <w:lang w:val="en-IN" w:eastAsia="en-IN" w:bidi="hi-IN"/>
              </w:rPr>
              <w:t xml:space="preserve"> 6,606,841</w:t>
            </w:r>
          </w:p>
        </w:tc>
      </w:tr>
    </w:tbl>
    <w:p w14:paraId="1D1850AC" w14:textId="77777777" w:rsidR="00D33F7C" w:rsidRPr="002061D1" w:rsidRDefault="00D33F7C" w:rsidP="00D33F7C">
      <w:pPr>
        <w:tabs>
          <w:tab w:val="left" w:pos="3306"/>
          <w:tab w:val="left" w:pos="4629"/>
          <w:tab w:val="left" w:pos="5685"/>
          <w:tab w:val="left" w:pos="6759"/>
          <w:tab w:val="left" w:pos="7923"/>
          <w:tab w:val="left" w:pos="8994"/>
        </w:tabs>
        <w:spacing w:line="23" w:lineRule="atLeast"/>
        <w:rPr>
          <w:rFonts w:ascii="Garamond" w:eastAsia="Times New Roman" w:hAnsi="Garamond"/>
          <w:bCs/>
          <w:sz w:val="18"/>
          <w:szCs w:val="18"/>
          <w:lang w:val="en-US"/>
        </w:rPr>
      </w:pPr>
      <w:r w:rsidRPr="002061D1">
        <w:rPr>
          <w:rFonts w:ascii="Garamond" w:eastAsia="Times New Roman" w:hAnsi="Garamond"/>
          <w:bCs/>
          <w:sz w:val="18"/>
          <w:szCs w:val="18"/>
          <w:lang w:val="en-US"/>
        </w:rPr>
        <w:tab/>
      </w:r>
      <w:r w:rsidRPr="002061D1">
        <w:rPr>
          <w:rFonts w:ascii="Garamond" w:eastAsia="Times New Roman" w:hAnsi="Garamond"/>
          <w:bCs/>
          <w:sz w:val="18"/>
          <w:szCs w:val="18"/>
          <w:lang w:val="en-US"/>
        </w:rPr>
        <w:tab/>
      </w:r>
      <w:r w:rsidRPr="002061D1">
        <w:rPr>
          <w:rFonts w:ascii="Garamond" w:eastAsia="Times New Roman" w:hAnsi="Garamond"/>
          <w:bCs/>
          <w:sz w:val="18"/>
          <w:szCs w:val="18"/>
          <w:lang w:val="en-US"/>
        </w:rPr>
        <w:tab/>
      </w:r>
      <w:r w:rsidRPr="002061D1">
        <w:rPr>
          <w:rFonts w:ascii="Garamond" w:eastAsia="Times New Roman" w:hAnsi="Garamond"/>
          <w:bCs/>
          <w:sz w:val="18"/>
          <w:szCs w:val="18"/>
          <w:lang w:val="en-US"/>
        </w:rPr>
        <w:tab/>
      </w:r>
      <w:r w:rsidRPr="002061D1">
        <w:rPr>
          <w:rFonts w:ascii="Garamond" w:eastAsia="Times New Roman" w:hAnsi="Garamond"/>
          <w:bCs/>
          <w:sz w:val="18"/>
          <w:szCs w:val="18"/>
          <w:lang w:val="en-US"/>
        </w:rPr>
        <w:tab/>
      </w:r>
    </w:p>
    <w:p w14:paraId="48DB96FF" w14:textId="77777777" w:rsidR="00D33F7C" w:rsidRPr="002061D1" w:rsidRDefault="00D33F7C" w:rsidP="00D33F7C">
      <w:pPr>
        <w:spacing w:line="23" w:lineRule="atLeast"/>
        <w:jc w:val="both"/>
        <w:rPr>
          <w:rFonts w:ascii="Garamond" w:hAnsi="Garamond"/>
          <w:bCs/>
          <w:sz w:val="18"/>
          <w:szCs w:val="18"/>
        </w:rPr>
      </w:pPr>
      <w:r w:rsidRPr="002061D1">
        <w:rPr>
          <w:rFonts w:ascii="Garamond" w:hAnsi="Garamond"/>
          <w:bCs/>
          <w:sz w:val="18"/>
          <w:szCs w:val="18"/>
        </w:rPr>
        <w:t>NA: Not Available</w:t>
      </w:r>
    </w:p>
    <w:p w14:paraId="2B3C9D8A" w14:textId="77777777" w:rsidR="00D33F7C" w:rsidRPr="002061D1" w:rsidRDefault="00D33F7C" w:rsidP="00D33F7C">
      <w:pPr>
        <w:spacing w:line="23" w:lineRule="atLeast"/>
        <w:jc w:val="both"/>
        <w:outlineLvl w:val="0"/>
        <w:rPr>
          <w:rFonts w:ascii="Garamond" w:hAnsi="Garamond"/>
          <w:bCs/>
          <w:sz w:val="18"/>
          <w:szCs w:val="18"/>
        </w:rPr>
      </w:pPr>
      <w:r w:rsidRPr="002061D1">
        <w:rPr>
          <w:rFonts w:ascii="Garamond" w:hAnsi="Garamond"/>
          <w:bCs/>
          <w:sz w:val="18"/>
          <w:szCs w:val="18"/>
        </w:rPr>
        <w:t>Source: World Federation of Exchanges</w:t>
      </w:r>
    </w:p>
    <w:p w14:paraId="4F7475FF" w14:textId="77777777" w:rsidR="00D33F7C" w:rsidRPr="002061D1" w:rsidRDefault="00D33F7C" w:rsidP="00D33F7C">
      <w:pPr>
        <w:spacing w:line="23" w:lineRule="atLeast"/>
        <w:rPr>
          <w:rFonts w:ascii="Garamond" w:hAnsi="Garamond"/>
          <w:bCs/>
          <w:sz w:val="22"/>
          <w:szCs w:val="22"/>
        </w:rPr>
      </w:pPr>
    </w:p>
    <w:p w14:paraId="41DFA0B0" w14:textId="77777777" w:rsidR="00D33F7C" w:rsidRPr="002061D1" w:rsidRDefault="00D33F7C" w:rsidP="00D33F7C">
      <w:pPr>
        <w:rPr>
          <w:rFonts w:ascii="Garamond" w:eastAsia="Times New Roman" w:hAnsi="Garamond"/>
          <w:bCs/>
          <w:sz w:val="22"/>
          <w:szCs w:val="22"/>
          <w:lang w:val="en-US"/>
        </w:rPr>
      </w:pPr>
      <w:r>
        <w:rPr>
          <w:rFonts w:ascii="Garamond" w:eastAsia="Times New Roman" w:hAnsi="Garamond"/>
          <w:b/>
          <w:bCs/>
          <w:szCs w:val="22"/>
          <w:lang w:val="en-US"/>
        </w:rPr>
        <w:br w:type="page"/>
      </w:r>
      <w:r w:rsidRPr="002061D1">
        <w:rPr>
          <w:rFonts w:ascii="Garamond" w:eastAsia="Times New Roman" w:hAnsi="Garamond"/>
          <w:b/>
          <w:bCs/>
          <w:szCs w:val="22"/>
          <w:lang w:val="en-US"/>
        </w:rPr>
        <w:lastRenderedPageBreak/>
        <w:t>Table A7: Interest Rate Futures and Options Traded in Major Exchanges</w:t>
      </w:r>
    </w:p>
    <w:p w14:paraId="3B244CBD" w14:textId="77777777" w:rsidR="00D33F7C" w:rsidRPr="002061D1" w:rsidRDefault="00D33F7C" w:rsidP="00D33F7C">
      <w:pPr>
        <w:spacing w:line="23" w:lineRule="atLeast"/>
        <w:ind w:right="-602"/>
        <w:jc w:val="right"/>
        <w:rPr>
          <w:rFonts w:ascii="Garamond" w:eastAsia="Times New Roman" w:hAnsi="Garamond"/>
          <w:bCs/>
          <w:sz w:val="22"/>
          <w:szCs w:val="22"/>
          <w:lang w:val="en-US"/>
        </w:rPr>
      </w:pPr>
      <w:r w:rsidRPr="002061D1">
        <w:rPr>
          <w:rFonts w:ascii="Garamond" w:hAnsi="Garamond"/>
          <w:bCs/>
          <w:sz w:val="22"/>
          <w:szCs w:val="22"/>
        </w:rPr>
        <w:t>Notional Turnover in (USD million)</w:t>
      </w:r>
    </w:p>
    <w:tbl>
      <w:tblPr>
        <w:tblW w:w="10329" w:type="dxa"/>
        <w:tblInd w:w="113" w:type="dxa"/>
        <w:tblLook w:val="04A0" w:firstRow="1" w:lastRow="0" w:firstColumn="1" w:lastColumn="0" w:noHBand="0" w:noVBand="1"/>
      </w:tblPr>
      <w:tblGrid>
        <w:gridCol w:w="3579"/>
        <w:gridCol w:w="1164"/>
        <w:gridCol w:w="1117"/>
        <w:gridCol w:w="1117"/>
        <w:gridCol w:w="1117"/>
        <w:gridCol w:w="1117"/>
        <w:gridCol w:w="1118"/>
      </w:tblGrid>
      <w:tr w:rsidR="00D33F7C" w:rsidRPr="00037B23" w14:paraId="792CF147" w14:textId="77777777" w:rsidTr="00E213CE">
        <w:trPr>
          <w:trHeight w:val="230"/>
        </w:trPr>
        <w:tc>
          <w:tcPr>
            <w:tcW w:w="3620" w:type="dxa"/>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14:paraId="7AA0CF77" w14:textId="77777777" w:rsidR="00D33F7C" w:rsidRPr="00037B23" w:rsidRDefault="00D33F7C" w:rsidP="00E213CE">
            <w:pPr>
              <w:jc w:val="center"/>
              <w:rPr>
                <w:rFonts w:ascii="Garamond" w:eastAsia="Times New Roman" w:hAnsi="Garamond" w:cs="Calibri"/>
                <w:b/>
                <w:bCs/>
                <w:color w:val="000000"/>
                <w:sz w:val="20"/>
                <w:szCs w:val="20"/>
                <w:lang w:val="en-IN" w:eastAsia="en-IN" w:bidi="hi-IN"/>
              </w:rPr>
            </w:pPr>
            <w:r w:rsidRPr="00037B23">
              <w:rPr>
                <w:rFonts w:ascii="Garamond" w:eastAsia="Times New Roman" w:hAnsi="Garamond" w:cs="Calibri"/>
                <w:b/>
                <w:bCs/>
                <w:color w:val="000000"/>
                <w:sz w:val="20"/>
                <w:szCs w:val="20"/>
                <w:lang w:val="en-IN" w:eastAsia="en-IN" w:bidi="hi-IN"/>
              </w:rPr>
              <w:t>Exchange</w:t>
            </w:r>
          </w:p>
        </w:tc>
        <w:tc>
          <w:tcPr>
            <w:tcW w:w="6709" w:type="dxa"/>
            <w:gridSpan w:val="6"/>
            <w:tcBorders>
              <w:top w:val="single" w:sz="4" w:space="0" w:color="auto"/>
              <w:left w:val="nil"/>
              <w:bottom w:val="single" w:sz="4" w:space="0" w:color="auto"/>
              <w:right w:val="single" w:sz="4" w:space="0" w:color="auto"/>
            </w:tcBorders>
            <w:shd w:val="clear" w:color="000000" w:fill="B4C6E7"/>
            <w:vAlign w:val="center"/>
            <w:hideMark/>
          </w:tcPr>
          <w:p w14:paraId="0643FC26" w14:textId="77777777" w:rsidR="00D33F7C" w:rsidRPr="00037B23" w:rsidRDefault="00D33F7C" w:rsidP="00E213CE">
            <w:pPr>
              <w:jc w:val="center"/>
              <w:rPr>
                <w:rFonts w:ascii="Garamond" w:eastAsia="Times New Roman" w:hAnsi="Garamond" w:cs="Calibri"/>
                <w:b/>
                <w:bCs/>
                <w:color w:val="000000"/>
                <w:sz w:val="20"/>
                <w:szCs w:val="20"/>
                <w:lang w:val="en-IN" w:eastAsia="en-IN" w:bidi="hi-IN"/>
              </w:rPr>
            </w:pPr>
            <w:r w:rsidRPr="00037B23">
              <w:rPr>
                <w:rFonts w:ascii="Garamond" w:eastAsia="Times New Roman" w:hAnsi="Garamond" w:cs="Calibri"/>
                <w:b/>
                <w:bCs/>
                <w:color w:val="000000"/>
                <w:sz w:val="20"/>
                <w:szCs w:val="20"/>
                <w:lang w:val="en-IN" w:eastAsia="en-IN" w:bidi="hi-IN"/>
              </w:rPr>
              <w:t>May-21</w:t>
            </w:r>
          </w:p>
        </w:tc>
      </w:tr>
      <w:tr w:rsidR="00D33F7C" w:rsidRPr="00037B23" w14:paraId="0CA61644" w14:textId="77777777" w:rsidTr="00E213CE">
        <w:trPr>
          <w:trHeight w:val="230"/>
        </w:trPr>
        <w:tc>
          <w:tcPr>
            <w:tcW w:w="3620" w:type="dxa"/>
            <w:vMerge/>
            <w:tcBorders>
              <w:top w:val="single" w:sz="4" w:space="0" w:color="auto"/>
              <w:left w:val="single" w:sz="4" w:space="0" w:color="auto"/>
              <w:bottom w:val="single" w:sz="4" w:space="0" w:color="auto"/>
              <w:right w:val="single" w:sz="4" w:space="0" w:color="auto"/>
            </w:tcBorders>
            <w:vAlign w:val="center"/>
            <w:hideMark/>
          </w:tcPr>
          <w:p w14:paraId="4C3128D4" w14:textId="77777777" w:rsidR="00D33F7C" w:rsidRPr="00037B23" w:rsidRDefault="00D33F7C" w:rsidP="00E213CE">
            <w:pPr>
              <w:rPr>
                <w:rFonts w:ascii="Garamond" w:eastAsia="Times New Roman" w:hAnsi="Garamond" w:cs="Calibri"/>
                <w:b/>
                <w:bCs/>
                <w:color w:val="000000"/>
                <w:sz w:val="20"/>
                <w:szCs w:val="20"/>
                <w:lang w:val="en-IN" w:eastAsia="en-IN" w:bidi="hi-IN"/>
              </w:rPr>
            </w:pPr>
          </w:p>
        </w:tc>
        <w:tc>
          <w:tcPr>
            <w:tcW w:w="3354" w:type="dxa"/>
            <w:gridSpan w:val="3"/>
            <w:tcBorders>
              <w:top w:val="single" w:sz="4" w:space="0" w:color="auto"/>
              <w:left w:val="nil"/>
              <w:bottom w:val="single" w:sz="4" w:space="0" w:color="auto"/>
              <w:right w:val="single" w:sz="4" w:space="0" w:color="auto"/>
            </w:tcBorders>
            <w:shd w:val="clear" w:color="000000" w:fill="B4C6E7"/>
            <w:vAlign w:val="center"/>
            <w:hideMark/>
          </w:tcPr>
          <w:p w14:paraId="14F8268F" w14:textId="77777777" w:rsidR="00D33F7C" w:rsidRPr="00037B23" w:rsidRDefault="00D33F7C" w:rsidP="00E213CE">
            <w:pPr>
              <w:jc w:val="center"/>
              <w:rPr>
                <w:rFonts w:ascii="Garamond" w:eastAsia="Times New Roman" w:hAnsi="Garamond" w:cs="Calibri"/>
                <w:b/>
                <w:bCs/>
                <w:color w:val="000000"/>
                <w:sz w:val="20"/>
                <w:szCs w:val="20"/>
                <w:lang w:val="en-IN" w:eastAsia="en-IN" w:bidi="hi-IN"/>
              </w:rPr>
            </w:pPr>
            <w:r w:rsidRPr="00037B23">
              <w:rPr>
                <w:rFonts w:ascii="Garamond" w:eastAsia="Times New Roman" w:hAnsi="Garamond" w:cs="Calibri"/>
                <w:b/>
                <w:bCs/>
                <w:color w:val="000000"/>
                <w:sz w:val="20"/>
                <w:szCs w:val="20"/>
                <w:lang w:val="en-IN" w:eastAsia="en-IN" w:bidi="hi-IN"/>
              </w:rPr>
              <w:t>Interest Rate Futures</w:t>
            </w:r>
          </w:p>
        </w:tc>
        <w:tc>
          <w:tcPr>
            <w:tcW w:w="3354" w:type="dxa"/>
            <w:gridSpan w:val="3"/>
            <w:tcBorders>
              <w:top w:val="single" w:sz="4" w:space="0" w:color="auto"/>
              <w:left w:val="nil"/>
              <w:bottom w:val="single" w:sz="4" w:space="0" w:color="auto"/>
              <w:right w:val="single" w:sz="4" w:space="0" w:color="auto"/>
            </w:tcBorders>
            <w:shd w:val="clear" w:color="000000" w:fill="B4C6E7"/>
            <w:vAlign w:val="center"/>
            <w:hideMark/>
          </w:tcPr>
          <w:p w14:paraId="0EEBF1C0" w14:textId="77777777" w:rsidR="00D33F7C" w:rsidRPr="00037B23" w:rsidRDefault="00D33F7C" w:rsidP="00E213CE">
            <w:pPr>
              <w:jc w:val="center"/>
              <w:rPr>
                <w:rFonts w:ascii="Garamond" w:eastAsia="Times New Roman" w:hAnsi="Garamond" w:cs="Calibri"/>
                <w:b/>
                <w:bCs/>
                <w:color w:val="000000"/>
                <w:sz w:val="20"/>
                <w:szCs w:val="20"/>
                <w:lang w:val="en-IN" w:eastAsia="en-IN" w:bidi="hi-IN"/>
              </w:rPr>
            </w:pPr>
            <w:r w:rsidRPr="00037B23">
              <w:rPr>
                <w:rFonts w:ascii="Garamond" w:eastAsia="Times New Roman" w:hAnsi="Garamond" w:cs="Calibri"/>
                <w:b/>
                <w:bCs/>
                <w:color w:val="000000"/>
                <w:sz w:val="20"/>
                <w:szCs w:val="20"/>
                <w:lang w:val="en-IN" w:eastAsia="en-IN" w:bidi="hi-IN"/>
              </w:rPr>
              <w:t>Interest Rate Options</w:t>
            </w:r>
          </w:p>
        </w:tc>
      </w:tr>
      <w:tr w:rsidR="00D33F7C" w:rsidRPr="00037B23" w14:paraId="058A9783" w14:textId="77777777" w:rsidTr="00E213CE">
        <w:trPr>
          <w:trHeight w:val="599"/>
        </w:trPr>
        <w:tc>
          <w:tcPr>
            <w:tcW w:w="3620" w:type="dxa"/>
            <w:vMerge/>
            <w:tcBorders>
              <w:top w:val="single" w:sz="4" w:space="0" w:color="auto"/>
              <w:left w:val="single" w:sz="4" w:space="0" w:color="auto"/>
              <w:bottom w:val="single" w:sz="4" w:space="0" w:color="auto"/>
              <w:right w:val="single" w:sz="4" w:space="0" w:color="auto"/>
            </w:tcBorders>
            <w:vAlign w:val="center"/>
            <w:hideMark/>
          </w:tcPr>
          <w:p w14:paraId="5AB0D511" w14:textId="77777777" w:rsidR="00D33F7C" w:rsidRPr="00037B23" w:rsidRDefault="00D33F7C" w:rsidP="00E213CE">
            <w:pPr>
              <w:rPr>
                <w:rFonts w:ascii="Garamond" w:eastAsia="Times New Roman" w:hAnsi="Garamond" w:cs="Calibri"/>
                <w:b/>
                <w:bCs/>
                <w:color w:val="000000"/>
                <w:sz w:val="20"/>
                <w:szCs w:val="20"/>
                <w:lang w:val="en-IN" w:eastAsia="en-IN" w:bidi="hi-IN"/>
              </w:rPr>
            </w:pPr>
          </w:p>
        </w:tc>
        <w:tc>
          <w:tcPr>
            <w:tcW w:w="1118" w:type="dxa"/>
            <w:tcBorders>
              <w:top w:val="nil"/>
              <w:left w:val="nil"/>
              <w:bottom w:val="single" w:sz="4" w:space="0" w:color="auto"/>
              <w:right w:val="single" w:sz="4" w:space="0" w:color="auto"/>
            </w:tcBorders>
            <w:shd w:val="clear" w:color="000000" w:fill="B4C6E7"/>
            <w:vAlign w:val="center"/>
            <w:hideMark/>
          </w:tcPr>
          <w:p w14:paraId="4CEAC704" w14:textId="77777777" w:rsidR="00D33F7C" w:rsidRPr="00037B23" w:rsidRDefault="00D33F7C" w:rsidP="00E213CE">
            <w:pPr>
              <w:jc w:val="center"/>
              <w:rPr>
                <w:rFonts w:ascii="Garamond" w:eastAsia="Times New Roman" w:hAnsi="Garamond" w:cs="Calibri"/>
                <w:b/>
                <w:bCs/>
                <w:color w:val="000000"/>
                <w:sz w:val="20"/>
                <w:szCs w:val="20"/>
                <w:lang w:val="en-IN" w:eastAsia="en-IN" w:bidi="hi-IN"/>
              </w:rPr>
            </w:pPr>
            <w:r w:rsidRPr="00037B23">
              <w:rPr>
                <w:rFonts w:ascii="Garamond" w:eastAsia="Times New Roman" w:hAnsi="Garamond" w:cs="Calibri"/>
                <w:b/>
                <w:bCs/>
                <w:color w:val="000000"/>
                <w:sz w:val="20"/>
                <w:szCs w:val="20"/>
                <w:lang w:val="en-IN" w:eastAsia="en-IN" w:bidi="hi-IN"/>
              </w:rPr>
              <w:t>Number of</w:t>
            </w:r>
            <w:r w:rsidRPr="00037B23">
              <w:rPr>
                <w:rFonts w:ascii="Garamond" w:eastAsia="Times New Roman" w:hAnsi="Garamond" w:cs="Calibri"/>
                <w:b/>
                <w:bCs/>
                <w:color w:val="000000"/>
                <w:sz w:val="20"/>
                <w:szCs w:val="20"/>
                <w:lang w:val="en-IN" w:eastAsia="en-IN" w:bidi="hi-IN"/>
              </w:rPr>
              <w:br/>
              <w:t>Contracts Traded</w:t>
            </w:r>
          </w:p>
        </w:tc>
        <w:tc>
          <w:tcPr>
            <w:tcW w:w="1118" w:type="dxa"/>
            <w:tcBorders>
              <w:top w:val="nil"/>
              <w:left w:val="nil"/>
              <w:bottom w:val="single" w:sz="4" w:space="0" w:color="auto"/>
              <w:right w:val="single" w:sz="4" w:space="0" w:color="auto"/>
            </w:tcBorders>
            <w:shd w:val="clear" w:color="000000" w:fill="B4C6E7"/>
            <w:vAlign w:val="center"/>
            <w:hideMark/>
          </w:tcPr>
          <w:p w14:paraId="65E1B61F" w14:textId="77777777" w:rsidR="00D33F7C" w:rsidRPr="00037B23" w:rsidRDefault="00D33F7C" w:rsidP="00E213CE">
            <w:pPr>
              <w:jc w:val="center"/>
              <w:rPr>
                <w:rFonts w:ascii="Garamond" w:eastAsia="Times New Roman" w:hAnsi="Garamond" w:cs="Calibri"/>
                <w:b/>
                <w:bCs/>
                <w:color w:val="000000"/>
                <w:sz w:val="20"/>
                <w:szCs w:val="20"/>
                <w:lang w:val="en-IN" w:eastAsia="en-IN" w:bidi="hi-IN"/>
              </w:rPr>
            </w:pPr>
            <w:r w:rsidRPr="00037B23">
              <w:rPr>
                <w:rFonts w:ascii="Garamond" w:eastAsia="Times New Roman" w:hAnsi="Garamond" w:cs="Calibri"/>
                <w:b/>
                <w:bCs/>
                <w:color w:val="000000"/>
                <w:sz w:val="20"/>
                <w:szCs w:val="20"/>
                <w:lang w:val="en-IN" w:eastAsia="en-IN" w:bidi="hi-IN"/>
              </w:rPr>
              <w:t>Notional</w:t>
            </w:r>
            <w:r w:rsidRPr="00037B23">
              <w:rPr>
                <w:rFonts w:ascii="Garamond" w:eastAsia="Times New Roman" w:hAnsi="Garamond" w:cs="Calibri"/>
                <w:b/>
                <w:bCs/>
                <w:color w:val="000000"/>
                <w:sz w:val="20"/>
                <w:szCs w:val="20"/>
                <w:lang w:val="en-IN" w:eastAsia="en-IN" w:bidi="hi-IN"/>
              </w:rPr>
              <w:br/>
              <w:t>Turnover</w:t>
            </w:r>
          </w:p>
        </w:tc>
        <w:tc>
          <w:tcPr>
            <w:tcW w:w="1118" w:type="dxa"/>
            <w:tcBorders>
              <w:top w:val="nil"/>
              <w:left w:val="nil"/>
              <w:bottom w:val="single" w:sz="4" w:space="0" w:color="auto"/>
              <w:right w:val="single" w:sz="4" w:space="0" w:color="auto"/>
            </w:tcBorders>
            <w:shd w:val="clear" w:color="000000" w:fill="B4C6E7"/>
            <w:vAlign w:val="center"/>
            <w:hideMark/>
          </w:tcPr>
          <w:p w14:paraId="1F14C304" w14:textId="77777777" w:rsidR="00D33F7C" w:rsidRPr="00037B23" w:rsidRDefault="00D33F7C" w:rsidP="00E213CE">
            <w:pPr>
              <w:jc w:val="center"/>
              <w:rPr>
                <w:rFonts w:ascii="Garamond" w:eastAsia="Times New Roman" w:hAnsi="Garamond" w:cs="Calibri"/>
                <w:b/>
                <w:bCs/>
                <w:color w:val="000000"/>
                <w:sz w:val="20"/>
                <w:szCs w:val="20"/>
                <w:lang w:val="en-IN" w:eastAsia="en-IN" w:bidi="hi-IN"/>
              </w:rPr>
            </w:pPr>
            <w:r w:rsidRPr="00037B23">
              <w:rPr>
                <w:rFonts w:ascii="Garamond" w:eastAsia="Times New Roman" w:hAnsi="Garamond" w:cs="Calibri"/>
                <w:b/>
                <w:bCs/>
                <w:color w:val="000000"/>
                <w:sz w:val="20"/>
                <w:szCs w:val="20"/>
                <w:lang w:val="en-IN" w:eastAsia="en-IN" w:bidi="hi-IN"/>
              </w:rPr>
              <w:t>Open</w:t>
            </w:r>
            <w:r w:rsidRPr="00037B23">
              <w:rPr>
                <w:rFonts w:ascii="Garamond" w:eastAsia="Times New Roman" w:hAnsi="Garamond" w:cs="Calibri"/>
                <w:b/>
                <w:bCs/>
                <w:color w:val="000000"/>
                <w:sz w:val="20"/>
                <w:szCs w:val="20"/>
                <w:lang w:val="en-IN" w:eastAsia="en-IN" w:bidi="hi-IN"/>
              </w:rPr>
              <w:br/>
              <w:t>Interest</w:t>
            </w:r>
          </w:p>
        </w:tc>
        <w:tc>
          <w:tcPr>
            <w:tcW w:w="1118" w:type="dxa"/>
            <w:tcBorders>
              <w:top w:val="nil"/>
              <w:left w:val="nil"/>
              <w:bottom w:val="single" w:sz="4" w:space="0" w:color="auto"/>
              <w:right w:val="single" w:sz="4" w:space="0" w:color="auto"/>
            </w:tcBorders>
            <w:shd w:val="clear" w:color="000000" w:fill="B4C6E7"/>
            <w:vAlign w:val="center"/>
            <w:hideMark/>
          </w:tcPr>
          <w:p w14:paraId="7A8A3EAD" w14:textId="77777777" w:rsidR="00D33F7C" w:rsidRPr="00037B23" w:rsidRDefault="00D33F7C" w:rsidP="00E213CE">
            <w:pPr>
              <w:jc w:val="center"/>
              <w:rPr>
                <w:rFonts w:ascii="Garamond" w:eastAsia="Times New Roman" w:hAnsi="Garamond" w:cs="Calibri"/>
                <w:b/>
                <w:bCs/>
                <w:color w:val="000000"/>
                <w:sz w:val="20"/>
                <w:szCs w:val="20"/>
                <w:lang w:val="en-IN" w:eastAsia="en-IN" w:bidi="hi-IN"/>
              </w:rPr>
            </w:pPr>
            <w:r w:rsidRPr="00037B23">
              <w:rPr>
                <w:rFonts w:ascii="Garamond" w:eastAsia="Times New Roman" w:hAnsi="Garamond" w:cs="Calibri"/>
                <w:b/>
                <w:bCs/>
                <w:color w:val="000000"/>
                <w:sz w:val="20"/>
                <w:szCs w:val="20"/>
                <w:lang w:val="en-IN" w:eastAsia="en-IN" w:bidi="hi-IN"/>
              </w:rPr>
              <w:t>Number of</w:t>
            </w:r>
            <w:r w:rsidRPr="00037B23">
              <w:rPr>
                <w:rFonts w:ascii="Garamond" w:eastAsia="Times New Roman" w:hAnsi="Garamond" w:cs="Calibri"/>
                <w:b/>
                <w:bCs/>
                <w:color w:val="000000"/>
                <w:sz w:val="20"/>
                <w:szCs w:val="20"/>
                <w:lang w:val="en-IN" w:eastAsia="en-IN" w:bidi="hi-IN"/>
              </w:rPr>
              <w:br/>
              <w:t>Contracts Traded</w:t>
            </w:r>
          </w:p>
        </w:tc>
        <w:tc>
          <w:tcPr>
            <w:tcW w:w="1118" w:type="dxa"/>
            <w:tcBorders>
              <w:top w:val="nil"/>
              <w:left w:val="nil"/>
              <w:bottom w:val="single" w:sz="4" w:space="0" w:color="auto"/>
              <w:right w:val="single" w:sz="4" w:space="0" w:color="auto"/>
            </w:tcBorders>
            <w:shd w:val="clear" w:color="000000" w:fill="B4C6E7"/>
            <w:vAlign w:val="center"/>
            <w:hideMark/>
          </w:tcPr>
          <w:p w14:paraId="249364F7" w14:textId="77777777" w:rsidR="00D33F7C" w:rsidRPr="00037B23" w:rsidRDefault="00D33F7C" w:rsidP="00E213CE">
            <w:pPr>
              <w:jc w:val="center"/>
              <w:rPr>
                <w:rFonts w:ascii="Garamond" w:eastAsia="Times New Roman" w:hAnsi="Garamond" w:cs="Calibri"/>
                <w:b/>
                <w:bCs/>
                <w:color w:val="000000"/>
                <w:sz w:val="20"/>
                <w:szCs w:val="20"/>
                <w:lang w:val="en-IN" w:eastAsia="en-IN" w:bidi="hi-IN"/>
              </w:rPr>
            </w:pPr>
            <w:r w:rsidRPr="00037B23">
              <w:rPr>
                <w:rFonts w:ascii="Garamond" w:eastAsia="Times New Roman" w:hAnsi="Garamond" w:cs="Calibri"/>
                <w:b/>
                <w:bCs/>
                <w:color w:val="000000"/>
                <w:sz w:val="20"/>
                <w:szCs w:val="20"/>
                <w:lang w:val="en-IN" w:eastAsia="en-IN" w:bidi="hi-IN"/>
              </w:rPr>
              <w:t>Notional</w:t>
            </w:r>
            <w:r w:rsidRPr="00037B23">
              <w:rPr>
                <w:rFonts w:ascii="Garamond" w:eastAsia="Times New Roman" w:hAnsi="Garamond" w:cs="Calibri"/>
                <w:b/>
                <w:bCs/>
                <w:color w:val="000000"/>
                <w:sz w:val="20"/>
                <w:szCs w:val="20"/>
                <w:lang w:val="en-IN" w:eastAsia="en-IN" w:bidi="hi-IN"/>
              </w:rPr>
              <w:br/>
              <w:t>Turnover</w:t>
            </w:r>
          </w:p>
        </w:tc>
        <w:tc>
          <w:tcPr>
            <w:tcW w:w="1118" w:type="dxa"/>
            <w:tcBorders>
              <w:top w:val="nil"/>
              <w:left w:val="nil"/>
              <w:bottom w:val="single" w:sz="4" w:space="0" w:color="auto"/>
              <w:right w:val="single" w:sz="4" w:space="0" w:color="auto"/>
            </w:tcBorders>
            <w:shd w:val="clear" w:color="000000" w:fill="B4C6E7"/>
            <w:vAlign w:val="center"/>
            <w:hideMark/>
          </w:tcPr>
          <w:p w14:paraId="459523C8" w14:textId="77777777" w:rsidR="00D33F7C" w:rsidRPr="00037B23" w:rsidRDefault="00D33F7C" w:rsidP="00E213CE">
            <w:pPr>
              <w:jc w:val="center"/>
              <w:rPr>
                <w:rFonts w:ascii="Garamond" w:eastAsia="Times New Roman" w:hAnsi="Garamond" w:cs="Calibri"/>
                <w:b/>
                <w:bCs/>
                <w:color w:val="000000"/>
                <w:sz w:val="20"/>
                <w:szCs w:val="20"/>
                <w:lang w:val="en-IN" w:eastAsia="en-IN" w:bidi="hi-IN"/>
              </w:rPr>
            </w:pPr>
            <w:r w:rsidRPr="00037B23">
              <w:rPr>
                <w:rFonts w:ascii="Garamond" w:eastAsia="Times New Roman" w:hAnsi="Garamond" w:cs="Calibri"/>
                <w:b/>
                <w:bCs/>
                <w:color w:val="000000"/>
                <w:sz w:val="20"/>
                <w:szCs w:val="20"/>
                <w:lang w:val="en-IN" w:eastAsia="en-IN" w:bidi="hi-IN"/>
              </w:rPr>
              <w:t>Open</w:t>
            </w:r>
            <w:r w:rsidRPr="00037B23">
              <w:rPr>
                <w:rFonts w:ascii="Garamond" w:eastAsia="Times New Roman" w:hAnsi="Garamond" w:cs="Calibri"/>
                <w:b/>
                <w:bCs/>
                <w:color w:val="000000"/>
                <w:sz w:val="20"/>
                <w:szCs w:val="20"/>
                <w:lang w:val="en-IN" w:eastAsia="en-IN" w:bidi="hi-IN"/>
              </w:rPr>
              <w:br/>
              <w:t>Interest</w:t>
            </w:r>
          </w:p>
        </w:tc>
      </w:tr>
      <w:tr w:rsidR="00D33F7C" w:rsidRPr="00037B23" w14:paraId="4831417D" w14:textId="77777777" w:rsidTr="00E213CE">
        <w:trPr>
          <w:trHeight w:val="230"/>
        </w:trPr>
        <w:tc>
          <w:tcPr>
            <w:tcW w:w="3620" w:type="dxa"/>
            <w:tcBorders>
              <w:top w:val="nil"/>
              <w:left w:val="single" w:sz="4" w:space="0" w:color="auto"/>
              <w:bottom w:val="nil"/>
              <w:right w:val="nil"/>
            </w:tcBorders>
            <w:shd w:val="clear" w:color="000000" w:fill="B4C6E7"/>
            <w:vAlign w:val="center"/>
            <w:hideMark/>
          </w:tcPr>
          <w:p w14:paraId="30E326A0"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B3 - Brasil Bolsa Balcão</w:t>
            </w:r>
          </w:p>
        </w:tc>
        <w:tc>
          <w:tcPr>
            <w:tcW w:w="1118" w:type="dxa"/>
            <w:tcBorders>
              <w:top w:val="single" w:sz="8" w:space="0" w:color="auto"/>
              <w:left w:val="single" w:sz="8" w:space="0" w:color="auto"/>
              <w:bottom w:val="nil"/>
              <w:right w:val="single" w:sz="8" w:space="0" w:color="auto"/>
            </w:tcBorders>
            <w:shd w:val="clear" w:color="auto" w:fill="auto"/>
            <w:vAlign w:val="center"/>
            <w:hideMark/>
          </w:tcPr>
          <w:p w14:paraId="154D9E25"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43,057,271</w:t>
            </w:r>
          </w:p>
        </w:tc>
        <w:tc>
          <w:tcPr>
            <w:tcW w:w="1118" w:type="dxa"/>
            <w:tcBorders>
              <w:top w:val="single" w:sz="8" w:space="0" w:color="auto"/>
              <w:left w:val="nil"/>
              <w:bottom w:val="nil"/>
              <w:right w:val="single" w:sz="8" w:space="0" w:color="auto"/>
            </w:tcBorders>
            <w:shd w:val="clear" w:color="auto" w:fill="auto"/>
            <w:vAlign w:val="center"/>
            <w:hideMark/>
          </w:tcPr>
          <w:p w14:paraId="5DB8B8FF"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766,971</w:t>
            </w:r>
          </w:p>
        </w:tc>
        <w:tc>
          <w:tcPr>
            <w:tcW w:w="1118" w:type="dxa"/>
            <w:tcBorders>
              <w:top w:val="single" w:sz="8" w:space="0" w:color="auto"/>
              <w:left w:val="nil"/>
              <w:bottom w:val="nil"/>
              <w:right w:val="single" w:sz="8" w:space="0" w:color="auto"/>
            </w:tcBorders>
            <w:shd w:val="clear" w:color="auto" w:fill="auto"/>
            <w:vAlign w:val="center"/>
            <w:hideMark/>
          </w:tcPr>
          <w:p w14:paraId="129DFA63"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31,800,135</w:t>
            </w:r>
          </w:p>
        </w:tc>
        <w:tc>
          <w:tcPr>
            <w:tcW w:w="1118" w:type="dxa"/>
            <w:tcBorders>
              <w:top w:val="single" w:sz="8" w:space="0" w:color="auto"/>
              <w:left w:val="nil"/>
              <w:bottom w:val="nil"/>
              <w:right w:val="single" w:sz="8" w:space="0" w:color="auto"/>
            </w:tcBorders>
            <w:shd w:val="clear" w:color="auto" w:fill="auto"/>
            <w:vAlign w:val="center"/>
            <w:hideMark/>
          </w:tcPr>
          <w:p w14:paraId="519B6315"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10,098,780</w:t>
            </w:r>
          </w:p>
        </w:tc>
        <w:tc>
          <w:tcPr>
            <w:tcW w:w="1118" w:type="dxa"/>
            <w:tcBorders>
              <w:top w:val="single" w:sz="8" w:space="0" w:color="auto"/>
              <w:left w:val="nil"/>
              <w:bottom w:val="nil"/>
              <w:right w:val="single" w:sz="8" w:space="0" w:color="auto"/>
            </w:tcBorders>
            <w:shd w:val="clear" w:color="auto" w:fill="auto"/>
            <w:vAlign w:val="center"/>
            <w:hideMark/>
          </w:tcPr>
          <w:p w14:paraId="51350288"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232</w:t>
            </w:r>
          </w:p>
        </w:tc>
        <w:tc>
          <w:tcPr>
            <w:tcW w:w="1118" w:type="dxa"/>
            <w:tcBorders>
              <w:top w:val="single" w:sz="8" w:space="0" w:color="auto"/>
              <w:left w:val="nil"/>
              <w:bottom w:val="nil"/>
              <w:right w:val="single" w:sz="8" w:space="0" w:color="auto"/>
            </w:tcBorders>
            <w:shd w:val="clear" w:color="auto" w:fill="auto"/>
            <w:vAlign w:val="center"/>
            <w:hideMark/>
          </w:tcPr>
          <w:p w14:paraId="79AEF671"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36,966,368</w:t>
            </w:r>
          </w:p>
        </w:tc>
      </w:tr>
      <w:tr w:rsidR="00D33F7C" w:rsidRPr="00037B23" w14:paraId="4DFA9DE4" w14:textId="77777777" w:rsidTr="00E213CE">
        <w:trPr>
          <w:trHeight w:val="230"/>
        </w:trPr>
        <w:tc>
          <w:tcPr>
            <w:tcW w:w="3620" w:type="dxa"/>
            <w:tcBorders>
              <w:top w:val="nil"/>
              <w:left w:val="single" w:sz="4" w:space="0" w:color="auto"/>
              <w:bottom w:val="nil"/>
              <w:right w:val="nil"/>
            </w:tcBorders>
            <w:shd w:val="clear" w:color="000000" w:fill="B4C6E7"/>
            <w:vAlign w:val="center"/>
            <w:hideMark/>
          </w:tcPr>
          <w:p w14:paraId="24AA3CBE"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Bolsa de Valores de Colombia</w:t>
            </w:r>
          </w:p>
        </w:tc>
        <w:tc>
          <w:tcPr>
            <w:tcW w:w="1118" w:type="dxa"/>
            <w:tcBorders>
              <w:top w:val="nil"/>
              <w:left w:val="single" w:sz="8" w:space="0" w:color="auto"/>
              <w:bottom w:val="nil"/>
              <w:right w:val="single" w:sz="8" w:space="0" w:color="auto"/>
            </w:tcBorders>
            <w:shd w:val="clear" w:color="auto" w:fill="auto"/>
            <w:vAlign w:val="center"/>
            <w:hideMark/>
          </w:tcPr>
          <w:p w14:paraId="31E900D1"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30,803</w:t>
            </w:r>
          </w:p>
        </w:tc>
        <w:tc>
          <w:tcPr>
            <w:tcW w:w="1118" w:type="dxa"/>
            <w:tcBorders>
              <w:top w:val="nil"/>
              <w:left w:val="nil"/>
              <w:bottom w:val="nil"/>
              <w:right w:val="single" w:sz="8" w:space="0" w:color="auto"/>
            </w:tcBorders>
            <w:shd w:val="clear" w:color="auto" w:fill="auto"/>
            <w:vAlign w:val="center"/>
            <w:hideMark/>
          </w:tcPr>
          <w:p w14:paraId="52D129D1"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2,077</w:t>
            </w:r>
          </w:p>
        </w:tc>
        <w:tc>
          <w:tcPr>
            <w:tcW w:w="1118" w:type="dxa"/>
            <w:tcBorders>
              <w:top w:val="nil"/>
              <w:left w:val="nil"/>
              <w:bottom w:val="nil"/>
              <w:right w:val="single" w:sz="8" w:space="0" w:color="auto"/>
            </w:tcBorders>
            <w:shd w:val="clear" w:color="auto" w:fill="auto"/>
            <w:vAlign w:val="center"/>
            <w:hideMark/>
          </w:tcPr>
          <w:p w14:paraId="3D3E133D"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14,161</w:t>
            </w:r>
          </w:p>
        </w:tc>
        <w:tc>
          <w:tcPr>
            <w:tcW w:w="1118" w:type="dxa"/>
            <w:tcBorders>
              <w:top w:val="nil"/>
              <w:left w:val="nil"/>
              <w:bottom w:val="nil"/>
              <w:right w:val="single" w:sz="8" w:space="0" w:color="auto"/>
            </w:tcBorders>
            <w:shd w:val="clear" w:color="auto" w:fill="auto"/>
            <w:vAlign w:val="center"/>
            <w:hideMark/>
          </w:tcPr>
          <w:p w14:paraId="1174DC9C"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1118" w:type="dxa"/>
            <w:tcBorders>
              <w:top w:val="nil"/>
              <w:left w:val="nil"/>
              <w:bottom w:val="nil"/>
              <w:right w:val="single" w:sz="8" w:space="0" w:color="auto"/>
            </w:tcBorders>
            <w:shd w:val="clear" w:color="auto" w:fill="auto"/>
            <w:vAlign w:val="center"/>
            <w:hideMark/>
          </w:tcPr>
          <w:p w14:paraId="4B401128"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1118" w:type="dxa"/>
            <w:tcBorders>
              <w:top w:val="nil"/>
              <w:left w:val="nil"/>
              <w:bottom w:val="nil"/>
              <w:right w:val="single" w:sz="8" w:space="0" w:color="auto"/>
            </w:tcBorders>
            <w:shd w:val="clear" w:color="auto" w:fill="auto"/>
            <w:vAlign w:val="center"/>
            <w:hideMark/>
          </w:tcPr>
          <w:p w14:paraId="73DF061E"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r>
      <w:tr w:rsidR="00D33F7C" w:rsidRPr="00037B23" w14:paraId="7D25188F" w14:textId="77777777" w:rsidTr="00E213CE">
        <w:trPr>
          <w:trHeight w:val="230"/>
        </w:trPr>
        <w:tc>
          <w:tcPr>
            <w:tcW w:w="3620" w:type="dxa"/>
            <w:tcBorders>
              <w:top w:val="nil"/>
              <w:left w:val="single" w:sz="4" w:space="0" w:color="auto"/>
              <w:bottom w:val="nil"/>
              <w:right w:val="nil"/>
            </w:tcBorders>
            <w:shd w:val="clear" w:color="000000" w:fill="B4C6E7"/>
            <w:vAlign w:val="center"/>
            <w:hideMark/>
          </w:tcPr>
          <w:p w14:paraId="22880A5F"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Bolsa Mexicana de Valores</w:t>
            </w:r>
          </w:p>
        </w:tc>
        <w:tc>
          <w:tcPr>
            <w:tcW w:w="1118" w:type="dxa"/>
            <w:tcBorders>
              <w:top w:val="nil"/>
              <w:left w:val="single" w:sz="8" w:space="0" w:color="auto"/>
              <w:bottom w:val="nil"/>
              <w:right w:val="single" w:sz="8" w:space="0" w:color="auto"/>
            </w:tcBorders>
            <w:shd w:val="clear" w:color="auto" w:fill="auto"/>
            <w:vAlign w:val="center"/>
            <w:hideMark/>
          </w:tcPr>
          <w:p w14:paraId="5802B07B"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500</w:t>
            </w:r>
          </w:p>
        </w:tc>
        <w:tc>
          <w:tcPr>
            <w:tcW w:w="1118" w:type="dxa"/>
            <w:tcBorders>
              <w:top w:val="nil"/>
              <w:left w:val="nil"/>
              <w:bottom w:val="nil"/>
              <w:right w:val="single" w:sz="8" w:space="0" w:color="auto"/>
            </w:tcBorders>
            <w:shd w:val="clear" w:color="auto" w:fill="auto"/>
            <w:vAlign w:val="center"/>
            <w:hideMark/>
          </w:tcPr>
          <w:p w14:paraId="7A3953F1"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3</w:t>
            </w:r>
          </w:p>
        </w:tc>
        <w:tc>
          <w:tcPr>
            <w:tcW w:w="1118" w:type="dxa"/>
            <w:tcBorders>
              <w:top w:val="nil"/>
              <w:left w:val="nil"/>
              <w:bottom w:val="nil"/>
              <w:right w:val="single" w:sz="8" w:space="0" w:color="auto"/>
            </w:tcBorders>
            <w:shd w:val="clear" w:color="auto" w:fill="auto"/>
            <w:vAlign w:val="center"/>
            <w:hideMark/>
          </w:tcPr>
          <w:p w14:paraId="04564F06"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4,500</w:t>
            </w:r>
          </w:p>
        </w:tc>
        <w:tc>
          <w:tcPr>
            <w:tcW w:w="1118" w:type="dxa"/>
            <w:tcBorders>
              <w:top w:val="nil"/>
              <w:left w:val="nil"/>
              <w:bottom w:val="nil"/>
              <w:right w:val="single" w:sz="8" w:space="0" w:color="auto"/>
            </w:tcBorders>
            <w:shd w:val="clear" w:color="auto" w:fill="auto"/>
            <w:vAlign w:val="center"/>
            <w:hideMark/>
          </w:tcPr>
          <w:p w14:paraId="7E224010"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1118" w:type="dxa"/>
            <w:tcBorders>
              <w:top w:val="nil"/>
              <w:left w:val="nil"/>
              <w:bottom w:val="nil"/>
              <w:right w:val="single" w:sz="8" w:space="0" w:color="auto"/>
            </w:tcBorders>
            <w:shd w:val="clear" w:color="auto" w:fill="auto"/>
            <w:vAlign w:val="center"/>
            <w:hideMark/>
          </w:tcPr>
          <w:p w14:paraId="0300B06F"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1118" w:type="dxa"/>
            <w:tcBorders>
              <w:top w:val="nil"/>
              <w:left w:val="nil"/>
              <w:bottom w:val="nil"/>
              <w:right w:val="single" w:sz="8" w:space="0" w:color="auto"/>
            </w:tcBorders>
            <w:shd w:val="clear" w:color="auto" w:fill="auto"/>
            <w:vAlign w:val="center"/>
            <w:hideMark/>
          </w:tcPr>
          <w:p w14:paraId="4C7D474C"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r>
      <w:tr w:rsidR="00D33F7C" w:rsidRPr="00037B23" w14:paraId="38427AAD" w14:textId="77777777" w:rsidTr="00E213CE">
        <w:trPr>
          <w:trHeight w:val="230"/>
        </w:trPr>
        <w:tc>
          <w:tcPr>
            <w:tcW w:w="3620" w:type="dxa"/>
            <w:tcBorders>
              <w:top w:val="nil"/>
              <w:left w:val="single" w:sz="4" w:space="0" w:color="auto"/>
              <w:bottom w:val="nil"/>
              <w:right w:val="nil"/>
            </w:tcBorders>
            <w:shd w:val="clear" w:color="000000" w:fill="B4C6E7"/>
            <w:vAlign w:val="center"/>
            <w:hideMark/>
          </w:tcPr>
          <w:p w14:paraId="132C10A6"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CME Group</w:t>
            </w:r>
          </w:p>
        </w:tc>
        <w:tc>
          <w:tcPr>
            <w:tcW w:w="1118" w:type="dxa"/>
            <w:tcBorders>
              <w:top w:val="nil"/>
              <w:left w:val="single" w:sz="8" w:space="0" w:color="auto"/>
              <w:bottom w:val="nil"/>
              <w:right w:val="single" w:sz="8" w:space="0" w:color="auto"/>
            </w:tcBorders>
            <w:shd w:val="clear" w:color="auto" w:fill="auto"/>
            <w:vAlign w:val="center"/>
            <w:hideMark/>
          </w:tcPr>
          <w:p w14:paraId="1C877CF5"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166,416,486</w:t>
            </w:r>
          </w:p>
        </w:tc>
        <w:tc>
          <w:tcPr>
            <w:tcW w:w="1118" w:type="dxa"/>
            <w:tcBorders>
              <w:top w:val="nil"/>
              <w:left w:val="nil"/>
              <w:bottom w:val="nil"/>
              <w:right w:val="single" w:sz="8" w:space="0" w:color="auto"/>
            </w:tcBorders>
            <w:shd w:val="clear" w:color="auto" w:fill="auto"/>
            <w:vAlign w:val="center"/>
            <w:hideMark/>
          </w:tcPr>
          <w:p w14:paraId="14D195E1"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66,598,333</w:t>
            </w:r>
          </w:p>
        </w:tc>
        <w:tc>
          <w:tcPr>
            <w:tcW w:w="1118" w:type="dxa"/>
            <w:tcBorders>
              <w:top w:val="nil"/>
              <w:left w:val="nil"/>
              <w:bottom w:val="nil"/>
              <w:right w:val="single" w:sz="8" w:space="0" w:color="auto"/>
            </w:tcBorders>
            <w:shd w:val="clear" w:color="auto" w:fill="auto"/>
            <w:vAlign w:val="center"/>
            <w:hideMark/>
          </w:tcPr>
          <w:p w14:paraId="476F882B"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30,043,702</w:t>
            </w:r>
          </w:p>
        </w:tc>
        <w:tc>
          <w:tcPr>
            <w:tcW w:w="1118" w:type="dxa"/>
            <w:tcBorders>
              <w:top w:val="nil"/>
              <w:left w:val="nil"/>
              <w:bottom w:val="nil"/>
              <w:right w:val="single" w:sz="8" w:space="0" w:color="auto"/>
            </w:tcBorders>
            <w:shd w:val="clear" w:color="auto" w:fill="auto"/>
            <w:vAlign w:val="center"/>
            <w:hideMark/>
          </w:tcPr>
          <w:p w14:paraId="1CC7B2A3"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37,441,724</w:t>
            </w:r>
          </w:p>
        </w:tc>
        <w:tc>
          <w:tcPr>
            <w:tcW w:w="1118" w:type="dxa"/>
            <w:tcBorders>
              <w:top w:val="nil"/>
              <w:left w:val="nil"/>
              <w:bottom w:val="nil"/>
              <w:right w:val="single" w:sz="8" w:space="0" w:color="auto"/>
            </w:tcBorders>
            <w:shd w:val="clear" w:color="auto" w:fill="auto"/>
            <w:vAlign w:val="center"/>
            <w:hideMark/>
          </w:tcPr>
          <w:p w14:paraId="341CE8F6"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20,452,873</w:t>
            </w:r>
          </w:p>
        </w:tc>
        <w:tc>
          <w:tcPr>
            <w:tcW w:w="1118" w:type="dxa"/>
            <w:tcBorders>
              <w:top w:val="nil"/>
              <w:left w:val="nil"/>
              <w:bottom w:val="nil"/>
              <w:right w:val="single" w:sz="8" w:space="0" w:color="auto"/>
            </w:tcBorders>
            <w:shd w:val="clear" w:color="auto" w:fill="auto"/>
            <w:vAlign w:val="center"/>
            <w:hideMark/>
          </w:tcPr>
          <w:p w14:paraId="542205B9"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43,727,713</w:t>
            </w:r>
          </w:p>
        </w:tc>
      </w:tr>
      <w:tr w:rsidR="00D33F7C" w:rsidRPr="00037B23" w14:paraId="5B3A95A7" w14:textId="77777777" w:rsidTr="00E213CE">
        <w:trPr>
          <w:trHeight w:val="230"/>
        </w:trPr>
        <w:tc>
          <w:tcPr>
            <w:tcW w:w="3620" w:type="dxa"/>
            <w:tcBorders>
              <w:top w:val="nil"/>
              <w:left w:val="single" w:sz="4" w:space="0" w:color="auto"/>
              <w:bottom w:val="nil"/>
              <w:right w:val="nil"/>
            </w:tcBorders>
            <w:shd w:val="clear" w:color="000000" w:fill="B4C6E7"/>
            <w:vAlign w:val="center"/>
            <w:hideMark/>
          </w:tcPr>
          <w:p w14:paraId="69690AF9"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ASX Australian Securities Exchange</w:t>
            </w:r>
          </w:p>
        </w:tc>
        <w:tc>
          <w:tcPr>
            <w:tcW w:w="1118" w:type="dxa"/>
            <w:tcBorders>
              <w:top w:val="nil"/>
              <w:left w:val="single" w:sz="8" w:space="0" w:color="auto"/>
              <w:bottom w:val="nil"/>
              <w:right w:val="single" w:sz="8" w:space="0" w:color="auto"/>
            </w:tcBorders>
            <w:shd w:val="clear" w:color="auto" w:fill="auto"/>
            <w:vAlign w:val="center"/>
            <w:hideMark/>
          </w:tcPr>
          <w:p w14:paraId="7DD6E146"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7,587,132</w:t>
            </w:r>
          </w:p>
        </w:tc>
        <w:tc>
          <w:tcPr>
            <w:tcW w:w="1118" w:type="dxa"/>
            <w:tcBorders>
              <w:top w:val="nil"/>
              <w:left w:val="nil"/>
              <w:bottom w:val="nil"/>
              <w:right w:val="single" w:sz="8" w:space="0" w:color="auto"/>
            </w:tcBorders>
            <w:shd w:val="clear" w:color="auto" w:fill="auto"/>
            <w:vAlign w:val="center"/>
            <w:hideMark/>
          </w:tcPr>
          <w:p w14:paraId="378D2D12"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1,213,092</w:t>
            </w:r>
          </w:p>
        </w:tc>
        <w:tc>
          <w:tcPr>
            <w:tcW w:w="1118" w:type="dxa"/>
            <w:tcBorders>
              <w:top w:val="nil"/>
              <w:left w:val="nil"/>
              <w:bottom w:val="nil"/>
              <w:right w:val="single" w:sz="8" w:space="0" w:color="auto"/>
            </w:tcBorders>
            <w:shd w:val="clear" w:color="auto" w:fill="auto"/>
            <w:vAlign w:val="center"/>
            <w:hideMark/>
          </w:tcPr>
          <w:p w14:paraId="3E06E215"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3,475,559</w:t>
            </w:r>
          </w:p>
        </w:tc>
        <w:tc>
          <w:tcPr>
            <w:tcW w:w="1118" w:type="dxa"/>
            <w:tcBorders>
              <w:top w:val="nil"/>
              <w:left w:val="nil"/>
              <w:bottom w:val="nil"/>
              <w:right w:val="single" w:sz="8" w:space="0" w:color="auto"/>
            </w:tcBorders>
            <w:shd w:val="clear" w:color="auto" w:fill="auto"/>
            <w:vAlign w:val="center"/>
            <w:hideMark/>
          </w:tcPr>
          <w:p w14:paraId="291C119A"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9,150</w:t>
            </w:r>
          </w:p>
        </w:tc>
        <w:tc>
          <w:tcPr>
            <w:tcW w:w="1118" w:type="dxa"/>
            <w:tcBorders>
              <w:top w:val="nil"/>
              <w:left w:val="nil"/>
              <w:bottom w:val="nil"/>
              <w:right w:val="single" w:sz="8" w:space="0" w:color="auto"/>
            </w:tcBorders>
            <w:shd w:val="clear" w:color="auto" w:fill="auto"/>
            <w:vAlign w:val="center"/>
            <w:hideMark/>
          </w:tcPr>
          <w:p w14:paraId="34DC0FD9"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708</w:t>
            </w:r>
          </w:p>
        </w:tc>
        <w:tc>
          <w:tcPr>
            <w:tcW w:w="1118" w:type="dxa"/>
            <w:tcBorders>
              <w:top w:val="nil"/>
              <w:left w:val="nil"/>
              <w:bottom w:val="nil"/>
              <w:right w:val="single" w:sz="8" w:space="0" w:color="auto"/>
            </w:tcBorders>
            <w:shd w:val="clear" w:color="auto" w:fill="auto"/>
            <w:vAlign w:val="center"/>
            <w:hideMark/>
          </w:tcPr>
          <w:p w14:paraId="7958B592"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0</w:t>
            </w:r>
          </w:p>
        </w:tc>
      </w:tr>
      <w:tr w:rsidR="00D33F7C" w:rsidRPr="00037B23" w14:paraId="0F428232" w14:textId="77777777" w:rsidTr="00E213CE">
        <w:trPr>
          <w:trHeight w:val="230"/>
        </w:trPr>
        <w:tc>
          <w:tcPr>
            <w:tcW w:w="3620" w:type="dxa"/>
            <w:tcBorders>
              <w:top w:val="nil"/>
              <w:left w:val="single" w:sz="4" w:space="0" w:color="auto"/>
              <w:bottom w:val="nil"/>
              <w:right w:val="nil"/>
            </w:tcBorders>
            <w:shd w:val="clear" w:color="000000" w:fill="B4C6E7"/>
            <w:vAlign w:val="center"/>
            <w:hideMark/>
          </w:tcPr>
          <w:p w14:paraId="718C0BFF"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Japan Exchange Group</w:t>
            </w:r>
          </w:p>
        </w:tc>
        <w:tc>
          <w:tcPr>
            <w:tcW w:w="1118" w:type="dxa"/>
            <w:tcBorders>
              <w:top w:val="nil"/>
              <w:left w:val="single" w:sz="8" w:space="0" w:color="auto"/>
              <w:bottom w:val="nil"/>
              <w:right w:val="single" w:sz="8" w:space="0" w:color="auto"/>
            </w:tcBorders>
            <w:shd w:val="clear" w:color="auto" w:fill="auto"/>
            <w:vAlign w:val="center"/>
            <w:hideMark/>
          </w:tcPr>
          <w:p w14:paraId="24B517CB"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413,969</w:t>
            </w:r>
          </w:p>
        </w:tc>
        <w:tc>
          <w:tcPr>
            <w:tcW w:w="1118" w:type="dxa"/>
            <w:tcBorders>
              <w:top w:val="nil"/>
              <w:left w:val="nil"/>
              <w:bottom w:val="nil"/>
              <w:right w:val="single" w:sz="8" w:space="0" w:color="auto"/>
            </w:tcBorders>
            <w:shd w:val="clear" w:color="auto" w:fill="auto"/>
            <w:vAlign w:val="center"/>
            <w:hideMark/>
          </w:tcPr>
          <w:p w14:paraId="525E9EC9"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1118" w:type="dxa"/>
            <w:tcBorders>
              <w:top w:val="nil"/>
              <w:left w:val="nil"/>
              <w:bottom w:val="nil"/>
              <w:right w:val="single" w:sz="8" w:space="0" w:color="auto"/>
            </w:tcBorders>
            <w:shd w:val="clear" w:color="auto" w:fill="auto"/>
            <w:vAlign w:val="center"/>
            <w:hideMark/>
          </w:tcPr>
          <w:p w14:paraId="12FE6F45"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89,764</w:t>
            </w:r>
          </w:p>
        </w:tc>
        <w:tc>
          <w:tcPr>
            <w:tcW w:w="1118" w:type="dxa"/>
            <w:tcBorders>
              <w:top w:val="nil"/>
              <w:left w:val="nil"/>
              <w:bottom w:val="nil"/>
              <w:right w:val="single" w:sz="8" w:space="0" w:color="auto"/>
            </w:tcBorders>
            <w:shd w:val="clear" w:color="auto" w:fill="auto"/>
            <w:vAlign w:val="center"/>
            <w:hideMark/>
          </w:tcPr>
          <w:p w14:paraId="45FF7345"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9,626</w:t>
            </w:r>
          </w:p>
        </w:tc>
        <w:tc>
          <w:tcPr>
            <w:tcW w:w="1118" w:type="dxa"/>
            <w:tcBorders>
              <w:top w:val="nil"/>
              <w:left w:val="nil"/>
              <w:bottom w:val="nil"/>
              <w:right w:val="single" w:sz="8" w:space="0" w:color="auto"/>
            </w:tcBorders>
            <w:shd w:val="clear" w:color="auto" w:fill="auto"/>
            <w:vAlign w:val="center"/>
            <w:hideMark/>
          </w:tcPr>
          <w:p w14:paraId="73F609A9"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1118" w:type="dxa"/>
            <w:tcBorders>
              <w:top w:val="nil"/>
              <w:left w:val="nil"/>
              <w:bottom w:val="nil"/>
              <w:right w:val="single" w:sz="8" w:space="0" w:color="auto"/>
            </w:tcBorders>
            <w:shd w:val="clear" w:color="auto" w:fill="auto"/>
            <w:vAlign w:val="center"/>
            <w:hideMark/>
          </w:tcPr>
          <w:p w14:paraId="40DD924E"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652</w:t>
            </w:r>
          </w:p>
        </w:tc>
      </w:tr>
      <w:tr w:rsidR="00D33F7C" w:rsidRPr="00037B23" w14:paraId="300A5107" w14:textId="77777777" w:rsidTr="00E213CE">
        <w:trPr>
          <w:trHeight w:val="230"/>
        </w:trPr>
        <w:tc>
          <w:tcPr>
            <w:tcW w:w="3620" w:type="dxa"/>
            <w:tcBorders>
              <w:top w:val="nil"/>
              <w:left w:val="single" w:sz="4" w:space="0" w:color="auto"/>
              <w:bottom w:val="nil"/>
              <w:right w:val="nil"/>
            </w:tcBorders>
            <w:shd w:val="clear" w:color="000000" w:fill="B4C6E7"/>
            <w:vAlign w:val="center"/>
            <w:hideMark/>
          </w:tcPr>
          <w:p w14:paraId="05897310"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Korea Exchange</w:t>
            </w:r>
          </w:p>
        </w:tc>
        <w:tc>
          <w:tcPr>
            <w:tcW w:w="1118" w:type="dxa"/>
            <w:tcBorders>
              <w:top w:val="nil"/>
              <w:left w:val="single" w:sz="8" w:space="0" w:color="auto"/>
              <w:bottom w:val="nil"/>
              <w:right w:val="single" w:sz="8" w:space="0" w:color="auto"/>
            </w:tcBorders>
            <w:shd w:val="clear" w:color="auto" w:fill="auto"/>
            <w:vAlign w:val="center"/>
            <w:hideMark/>
          </w:tcPr>
          <w:p w14:paraId="050FD773"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3,217,110</w:t>
            </w:r>
          </w:p>
        </w:tc>
        <w:tc>
          <w:tcPr>
            <w:tcW w:w="1118" w:type="dxa"/>
            <w:tcBorders>
              <w:top w:val="nil"/>
              <w:left w:val="nil"/>
              <w:bottom w:val="nil"/>
              <w:right w:val="single" w:sz="8" w:space="0" w:color="auto"/>
            </w:tcBorders>
            <w:shd w:val="clear" w:color="auto" w:fill="auto"/>
            <w:vAlign w:val="center"/>
            <w:hideMark/>
          </w:tcPr>
          <w:p w14:paraId="4BC917D1"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336,293</w:t>
            </w:r>
          </w:p>
        </w:tc>
        <w:tc>
          <w:tcPr>
            <w:tcW w:w="1118" w:type="dxa"/>
            <w:tcBorders>
              <w:top w:val="nil"/>
              <w:left w:val="nil"/>
              <w:bottom w:val="nil"/>
              <w:right w:val="single" w:sz="8" w:space="0" w:color="auto"/>
            </w:tcBorders>
            <w:shd w:val="clear" w:color="auto" w:fill="auto"/>
            <w:vAlign w:val="center"/>
            <w:hideMark/>
          </w:tcPr>
          <w:p w14:paraId="7CA379E0"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585,333</w:t>
            </w:r>
          </w:p>
        </w:tc>
        <w:tc>
          <w:tcPr>
            <w:tcW w:w="1118" w:type="dxa"/>
            <w:tcBorders>
              <w:top w:val="nil"/>
              <w:left w:val="nil"/>
              <w:bottom w:val="nil"/>
              <w:right w:val="single" w:sz="8" w:space="0" w:color="auto"/>
            </w:tcBorders>
            <w:shd w:val="clear" w:color="auto" w:fill="auto"/>
            <w:vAlign w:val="center"/>
            <w:hideMark/>
          </w:tcPr>
          <w:p w14:paraId="2687751F"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1118" w:type="dxa"/>
            <w:tcBorders>
              <w:top w:val="nil"/>
              <w:left w:val="nil"/>
              <w:bottom w:val="nil"/>
              <w:right w:val="single" w:sz="8" w:space="0" w:color="auto"/>
            </w:tcBorders>
            <w:shd w:val="clear" w:color="auto" w:fill="auto"/>
            <w:vAlign w:val="center"/>
            <w:hideMark/>
          </w:tcPr>
          <w:p w14:paraId="35A4EBB9"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1118" w:type="dxa"/>
            <w:tcBorders>
              <w:top w:val="nil"/>
              <w:left w:val="nil"/>
              <w:bottom w:val="nil"/>
              <w:right w:val="single" w:sz="8" w:space="0" w:color="auto"/>
            </w:tcBorders>
            <w:shd w:val="clear" w:color="auto" w:fill="auto"/>
            <w:vAlign w:val="center"/>
            <w:hideMark/>
          </w:tcPr>
          <w:p w14:paraId="12F3DA4C"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r>
      <w:tr w:rsidR="00D33F7C" w:rsidRPr="00037B23" w14:paraId="6CDD2BEC" w14:textId="77777777" w:rsidTr="00E213CE">
        <w:trPr>
          <w:trHeight w:val="230"/>
        </w:trPr>
        <w:tc>
          <w:tcPr>
            <w:tcW w:w="3620" w:type="dxa"/>
            <w:tcBorders>
              <w:top w:val="nil"/>
              <w:left w:val="single" w:sz="4" w:space="0" w:color="auto"/>
              <w:bottom w:val="nil"/>
              <w:right w:val="nil"/>
            </w:tcBorders>
            <w:shd w:val="clear" w:color="000000" w:fill="B4C6E7"/>
            <w:vAlign w:val="center"/>
            <w:hideMark/>
          </w:tcPr>
          <w:p w14:paraId="16D354F5"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National Stock Exchange of India</w:t>
            </w:r>
          </w:p>
        </w:tc>
        <w:tc>
          <w:tcPr>
            <w:tcW w:w="1118" w:type="dxa"/>
            <w:tcBorders>
              <w:top w:val="nil"/>
              <w:left w:val="single" w:sz="8" w:space="0" w:color="auto"/>
              <w:bottom w:val="nil"/>
              <w:right w:val="single" w:sz="8" w:space="0" w:color="auto"/>
            </w:tcBorders>
            <w:shd w:val="clear" w:color="auto" w:fill="auto"/>
            <w:vAlign w:val="center"/>
            <w:hideMark/>
          </w:tcPr>
          <w:p w14:paraId="446F058F"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141,400</w:t>
            </w:r>
          </w:p>
        </w:tc>
        <w:tc>
          <w:tcPr>
            <w:tcW w:w="1118" w:type="dxa"/>
            <w:tcBorders>
              <w:top w:val="nil"/>
              <w:left w:val="nil"/>
              <w:bottom w:val="nil"/>
              <w:right w:val="single" w:sz="8" w:space="0" w:color="auto"/>
            </w:tcBorders>
            <w:shd w:val="clear" w:color="auto" w:fill="auto"/>
            <w:vAlign w:val="center"/>
            <w:hideMark/>
          </w:tcPr>
          <w:p w14:paraId="72350E85"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388</w:t>
            </w:r>
          </w:p>
        </w:tc>
        <w:tc>
          <w:tcPr>
            <w:tcW w:w="1118" w:type="dxa"/>
            <w:tcBorders>
              <w:top w:val="nil"/>
              <w:left w:val="nil"/>
              <w:bottom w:val="nil"/>
              <w:right w:val="single" w:sz="8" w:space="0" w:color="auto"/>
            </w:tcBorders>
            <w:shd w:val="clear" w:color="auto" w:fill="auto"/>
            <w:vAlign w:val="center"/>
            <w:hideMark/>
          </w:tcPr>
          <w:p w14:paraId="787B00C5"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40,882</w:t>
            </w:r>
          </w:p>
        </w:tc>
        <w:tc>
          <w:tcPr>
            <w:tcW w:w="1118" w:type="dxa"/>
            <w:tcBorders>
              <w:top w:val="nil"/>
              <w:left w:val="nil"/>
              <w:bottom w:val="nil"/>
              <w:right w:val="single" w:sz="8" w:space="0" w:color="auto"/>
            </w:tcBorders>
            <w:shd w:val="clear" w:color="auto" w:fill="auto"/>
            <w:vAlign w:val="center"/>
            <w:hideMark/>
          </w:tcPr>
          <w:p w14:paraId="21D97A88"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0</w:t>
            </w:r>
          </w:p>
        </w:tc>
        <w:tc>
          <w:tcPr>
            <w:tcW w:w="1118" w:type="dxa"/>
            <w:tcBorders>
              <w:top w:val="nil"/>
              <w:left w:val="nil"/>
              <w:bottom w:val="nil"/>
              <w:right w:val="single" w:sz="8" w:space="0" w:color="auto"/>
            </w:tcBorders>
            <w:shd w:val="clear" w:color="auto" w:fill="auto"/>
            <w:vAlign w:val="center"/>
            <w:hideMark/>
          </w:tcPr>
          <w:p w14:paraId="2F3E7BB7"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0</w:t>
            </w:r>
          </w:p>
        </w:tc>
        <w:tc>
          <w:tcPr>
            <w:tcW w:w="1118" w:type="dxa"/>
            <w:tcBorders>
              <w:top w:val="nil"/>
              <w:left w:val="nil"/>
              <w:bottom w:val="nil"/>
              <w:right w:val="single" w:sz="8" w:space="0" w:color="auto"/>
            </w:tcBorders>
            <w:shd w:val="clear" w:color="auto" w:fill="auto"/>
            <w:vAlign w:val="center"/>
            <w:hideMark/>
          </w:tcPr>
          <w:p w14:paraId="0B1CD9D3"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0</w:t>
            </w:r>
          </w:p>
        </w:tc>
      </w:tr>
      <w:tr w:rsidR="00D33F7C" w:rsidRPr="00037B23" w14:paraId="740745D2" w14:textId="77777777" w:rsidTr="00E213CE">
        <w:trPr>
          <w:trHeight w:val="230"/>
        </w:trPr>
        <w:tc>
          <w:tcPr>
            <w:tcW w:w="3620" w:type="dxa"/>
            <w:tcBorders>
              <w:top w:val="nil"/>
              <w:left w:val="single" w:sz="4" w:space="0" w:color="auto"/>
              <w:bottom w:val="nil"/>
              <w:right w:val="nil"/>
            </w:tcBorders>
            <w:shd w:val="clear" w:color="000000" w:fill="B4C6E7"/>
            <w:vAlign w:val="center"/>
            <w:hideMark/>
          </w:tcPr>
          <w:p w14:paraId="7BEAE661"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Singapore Exchange</w:t>
            </w:r>
          </w:p>
        </w:tc>
        <w:tc>
          <w:tcPr>
            <w:tcW w:w="1118" w:type="dxa"/>
            <w:tcBorders>
              <w:top w:val="nil"/>
              <w:left w:val="single" w:sz="8" w:space="0" w:color="auto"/>
              <w:bottom w:val="nil"/>
              <w:right w:val="single" w:sz="8" w:space="0" w:color="auto"/>
            </w:tcBorders>
            <w:shd w:val="clear" w:color="auto" w:fill="auto"/>
            <w:vAlign w:val="center"/>
            <w:hideMark/>
          </w:tcPr>
          <w:p w14:paraId="7D951BEF"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14,797</w:t>
            </w:r>
          </w:p>
        </w:tc>
        <w:tc>
          <w:tcPr>
            <w:tcW w:w="1118" w:type="dxa"/>
            <w:tcBorders>
              <w:top w:val="nil"/>
              <w:left w:val="nil"/>
              <w:bottom w:val="nil"/>
              <w:right w:val="single" w:sz="8" w:space="0" w:color="auto"/>
            </w:tcBorders>
            <w:shd w:val="clear" w:color="auto" w:fill="auto"/>
            <w:vAlign w:val="center"/>
            <w:hideMark/>
          </w:tcPr>
          <w:p w14:paraId="5C5D9409"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1118" w:type="dxa"/>
            <w:tcBorders>
              <w:top w:val="nil"/>
              <w:left w:val="nil"/>
              <w:bottom w:val="nil"/>
              <w:right w:val="single" w:sz="8" w:space="0" w:color="auto"/>
            </w:tcBorders>
            <w:shd w:val="clear" w:color="auto" w:fill="auto"/>
            <w:vAlign w:val="center"/>
            <w:hideMark/>
          </w:tcPr>
          <w:p w14:paraId="0D0512FC"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13,751</w:t>
            </w:r>
          </w:p>
        </w:tc>
        <w:tc>
          <w:tcPr>
            <w:tcW w:w="1118" w:type="dxa"/>
            <w:tcBorders>
              <w:top w:val="nil"/>
              <w:left w:val="nil"/>
              <w:bottom w:val="nil"/>
              <w:right w:val="single" w:sz="8" w:space="0" w:color="auto"/>
            </w:tcBorders>
            <w:shd w:val="clear" w:color="auto" w:fill="auto"/>
            <w:vAlign w:val="center"/>
            <w:hideMark/>
          </w:tcPr>
          <w:p w14:paraId="16B60EBD"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1118" w:type="dxa"/>
            <w:tcBorders>
              <w:top w:val="nil"/>
              <w:left w:val="nil"/>
              <w:bottom w:val="nil"/>
              <w:right w:val="single" w:sz="8" w:space="0" w:color="auto"/>
            </w:tcBorders>
            <w:shd w:val="clear" w:color="auto" w:fill="auto"/>
            <w:vAlign w:val="center"/>
            <w:hideMark/>
          </w:tcPr>
          <w:p w14:paraId="61601D2F"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1118" w:type="dxa"/>
            <w:tcBorders>
              <w:top w:val="nil"/>
              <w:left w:val="nil"/>
              <w:bottom w:val="nil"/>
              <w:right w:val="single" w:sz="8" w:space="0" w:color="auto"/>
            </w:tcBorders>
            <w:shd w:val="clear" w:color="auto" w:fill="auto"/>
            <w:vAlign w:val="center"/>
            <w:hideMark/>
          </w:tcPr>
          <w:p w14:paraId="3F4C7A94"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r>
      <w:tr w:rsidR="00D33F7C" w:rsidRPr="00037B23" w14:paraId="5C846C96" w14:textId="77777777" w:rsidTr="00E213CE">
        <w:trPr>
          <w:trHeight w:val="230"/>
        </w:trPr>
        <w:tc>
          <w:tcPr>
            <w:tcW w:w="3620" w:type="dxa"/>
            <w:tcBorders>
              <w:top w:val="nil"/>
              <w:left w:val="single" w:sz="4" w:space="0" w:color="auto"/>
              <w:bottom w:val="nil"/>
              <w:right w:val="nil"/>
            </w:tcBorders>
            <w:shd w:val="clear" w:color="000000" w:fill="B4C6E7"/>
            <w:vAlign w:val="center"/>
            <w:hideMark/>
          </w:tcPr>
          <w:p w14:paraId="560E831F"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China Financial Futures Exchange</w:t>
            </w:r>
          </w:p>
        </w:tc>
        <w:tc>
          <w:tcPr>
            <w:tcW w:w="1118" w:type="dxa"/>
            <w:tcBorders>
              <w:top w:val="nil"/>
              <w:left w:val="single" w:sz="8" w:space="0" w:color="auto"/>
              <w:bottom w:val="nil"/>
              <w:right w:val="single" w:sz="8" w:space="0" w:color="auto"/>
            </w:tcBorders>
            <w:shd w:val="clear" w:color="auto" w:fill="auto"/>
            <w:vAlign w:val="center"/>
            <w:hideMark/>
          </w:tcPr>
          <w:p w14:paraId="05C92397"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2,104,536</w:t>
            </w:r>
          </w:p>
        </w:tc>
        <w:tc>
          <w:tcPr>
            <w:tcW w:w="1118" w:type="dxa"/>
            <w:tcBorders>
              <w:top w:val="nil"/>
              <w:left w:val="nil"/>
              <w:bottom w:val="nil"/>
              <w:right w:val="single" w:sz="8" w:space="0" w:color="auto"/>
            </w:tcBorders>
            <w:shd w:val="clear" w:color="auto" w:fill="auto"/>
            <w:vAlign w:val="center"/>
            <w:hideMark/>
          </w:tcPr>
          <w:p w14:paraId="10671DD7"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359,919</w:t>
            </w:r>
          </w:p>
        </w:tc>
        <w:tc>
          <w:tcPr>
            <w:tcW w:w="1118" w:type="dxa"/>
            <w:tcBorders>
              <w:top w:val="nil"/>
              <w:left w:val="nil"/>
              <w:bottom w:val="nil"/>
              <w:right w:val="single" w:sz="8" w:space="0" w:color="auto"/>
            </w:tcBorders>
            <w:shd w:val="clear" w:color="auto" w:fill="auto"/>
            <w:vAlign w:val="center"/>
            <w:hideMark/>
          </w:tcPr>
          <w:p w14:paraId="5EF08D9B"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207,594</w:t>
            </w:r>
          </w:p>
        </w:tc>
        <w:tc>
          <w:tcPr>
            <w:tcW w:w="1118" w:type="dxa"/>
            <w:tcBorders>
              <w:top w:val="nil"/>
              <w:left w:val="nil"/>
              <w:bottom w:val="nil"/>
              <w:right w:val="single" w:sz="8" w:space="0" w:color="auto"/>
            </w:tcBorders>
            <w:shd w:val="clear" w:color="auto" w:fill="auto"/>
            <w:vAlign w:val="center"/>
            <w:hideMark/>
          </w:tcPr>
          <w:p w14:paraId="4D755E9B"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1118" w:type="dxa"/>
            <w:tcBorders>
              <w:top w:val="nil"/>
              <w:left w:val="nil"/>
              <w:bottom w:val="nil"/>
              <w:right w:val="single" w:sz="8" w:space="0" w:color="auto"/>
            </w:tcBorders>
            <w:shd w:val="clear" w:color="auto" w:fill="auto"/>
            <w:vAlign w:val="center"/>
            <w:hideMark/>
          </w:tcPr>
          <w:p w14:paraId="2ABB3E58"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1118" w:type="dxa"/>
            <w:tcBorders>
              <w:top w:val="nil"/>
              <w:left w:val="nil"/>
              <w:bottom w:val="nil"/>
              <w:right w:val="single" w:sz="8" w:space="0" w:color="auto"/>
            </w:tcBorders>
            <w:shd w:val="clear" w:color="auto" w:fill="auto"/>
            <w:vAlign w:val="center"/>
            <w:hideMark/>
          </w:tcPr>
          <w:p w14:paraId="6C538E3B"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r>
      <w:tr w:rsidR="00D33F7C" w:rsidRPr="00037B23" w14:paraId="2A7B5BB1" w14:textId="77777777" w:rsidTr="00E213CE">
        <w:trPr>
          <w:trHeight w:val="230"/>
        </w:trPr>
        <w:tc>
          <w:tcPr>
            <w:tcW w:w="3620" w:type="dxa"/>
            <w:tcBorders>
              <w:top w:val="nil"/>
              <w:left w:val="single" w:sz="4" w:space="0" w:color="auto"/>
              <w:bottom w:val="nil"/>
              <w:right w:val="nil"/>
            </w:tcBorders>
            <w:shd w:val="clear" w:color="000000" w:fill="B4C6E7"/>
            <w:vAlign w:val="center"/>
            <w:hideMark/>
          </w:tcPr>
          <w:p w14:paraId="5F4699C5"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Deutsche Boerse AG</w:t>
            </w:r>
          </w:p>
        </w:tc>
        <w:tc>
          <w:tcPr>
            <w:tcW w:w="1118" w:type="dxa"/>
            <w:tcBorders>
              <w:top w:val="nil"/>
              <w:left w:val="single" w:sz="8" w:space="0" w:color="auto"/>
              <w:bottom w:val="nil"/>
              <w:right w:val="single" w:sz="8" w:space="0" w:color="auto"/>
            </w:tcBorders>
            <w:shd w:val="clear" w:color="auto" w:fill="auto"/>
            <w:vAlign w:val="center"/>
            <w:hideMark/>
          </w:tcPr>
          <w:p w14:paraId="32860E42"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44,838,937</w:t>
            </w:r>
          </w:p>
        </w:tc>
        <w:tc>
          <w:tcPr>
            <w:tcW w:w="1118" w:type="dxa"/>
            <w:tcBorders>
              <w:top w:val="nil"/>
              <w:left w:val="nil"/>
              <w:bottom w:val="nil"/>
              <w:right w:val="single" w:sz="8" w:space="0" w:color="auto"/>
            </w:tcBorders>
            <w:shd w:val="clear" w:color="auto" w:fill="auto"/>
            <w:vAlign w:val="center"/>
            <w:hideMark/>
          </w:tcPr>
          <w:p w14:paraId="5BDDBED6"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8,209,463</w:t>
            </w:r>
          </w:p>
        </w:tc>
        <w:tc>
          <w:tcPr>
            <w:tcW w:w="1118" w:type="dxa"/>
            <w:tcBorders>
              <w:top w:val="nil"/>
              <w:left w:val="nil"/>
              <w:bottom w:val="nil"/>
              <w:right w:val="single" w:sz="8" w:space="0" w:color="auto"/>
            </w:tcBorders>
            <w:shd w:val="clear" w:color="auto" w:fill="auto"/>
            <w:vAlign w:val="center"/>
            <w:hideMark/>
          </w:tcPr>
          <w:p w14:paraId="64EEEECF"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6,126,606</w:t>
            </w:r>
          </w:p>
        </w:tc>
        <w:tc>
          <w:tcPr>
            <w:tcW w:w="1118" w:type="dxa"/>
            <w:tcBorders>
              <w:top w:val="nil"/>
              <w:left w:val="nil"/>
              <w:bottom w:val="nil"/>
              <w:right w:val="single" w:sz="8" w:space="0" w:color="auto"/>
            </w:tcBorders>
            <w:shd w:val="clear" w:color="auto" w:fill="auto"/>
            <w:vAlign w:val="center"/>
            <w:hideMark/>
          </w:tcPr>
          <w:p w14:paraId="3D4C5796"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4,697,146</w:t>
            </w:r>
          </w:p>
        </w:tc>
        <w:tc>
          <w:tcPr>
            <w:tcW w:w="1118" w:type="dxa"/>
            <w:tcBorders>
              <w:top w:val="nil"/>
              <w:left w:val="nil"/>
              <w:bottom w:val="nil"/>
              <w:right w:val="single" w:sz="8" w:space="0" w:color="auto"/>
            </w:tcBorders>
            <w:shd w:val="clear" w:color="auto" w:fill="auto"/>
            <w:vAlign w:val="center"/>
            <w:hideMark/>
          </w:tcPr>
          <w:p w14:paraId="34C8EDE9"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941,047</w:t>
            </w:r>
          </w:p>
        </w:tc>
        <w:tc>
          <w:tcPr>
            <w:tcW w:w="1118" w:type="dxa"/>
            <w:tcBorders>
              <w:top w:val="nil"/>
              <w:left w:val="nil"/>
              <w:bottom w:val="nil"/>
              <w:right w:val="single" w:sz="8" w:space="0" w:color="auto"/>
            </w:tcBorders>
            <w:shd w:val="clear" w:color="auto" w:fill="auto"/>
            <w:vAlign w:val="center"/>
            <w:hideMark/>
          </w:tcPr>
          <w:p w14:paraId="1B5BC403"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1,277,866</w:t>
            </w:r>
          </w:p>
        </w:tc>
      </w:tr>
      <w:tr w:rsidR="00D33F7C" w:rsidRPr="00037B23" w14:paraId="32E38896" w14:textId="77777777" w:rsidTr="00E213CE">
        <w:trPr>
          <w:trHeight w:val="230"/>
        </w:trPr>
        <w:tc>
          <w:tcPr>
            <w:tcW w:w="3620" w:type="dxa"/>
            <w:tcBorders>
              <w:top w:val="nil"/>
              <w:left w:val="single" w:sz="4" w:space="0" w:color="auto"/>
              <w:bottom w:val="nil"/>
              <w:right w:val="nil"/>
            </w:tcBorders>
            <w:shd w:val="clear" w:color="000000" w:fill="B4C6E7"/>
            <w:vAlign w:val="center"/>
            <w:hideMark/>
          </w:tcPr>
          <w:p w14:paraId="59795C68"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Moscow Exchange</w:t>
            </w:r>
          </w:p>
        </w:tc>
        <w:tc>
          <w:tcPr>
            <w:tcW w:w="1118" w:type="dxa"/>
            <w:tcBorders>
              <w:top w:val="nil"/>
              <w:left w:val="single" w:sz="8" w:space="0" w:color="auto"/>
              <w:bottom w:val="nil"/>
              <w:right w:val="single" w:sz="8" w:space="0" w:color="auto"/>
            </w:tcBorders>
            <w:shd w:val="clear" w:color="auto" w:fill="auto"/>
            <w:vAlign w:val="center"/>
            <w:hideMark/>
          </w:tcPr>
          <w:p w14:paraId="1FDAEA15"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5,589</w:t>
            </w:r>
          </w:p>
        </w:tc>
        <w:tc>
          <w:tcPr>
            <w:tcW w:w="1118" w:type="dxa"/>
            <w:tcBorders>
              <w:top w:val="nil"/>
              <w:left w:val="nil"/>
              <w:bottom w:val="nil"/>
              <w:right w:val="single" w:sz="8" w:space="0" w:color="auto"/>
            </w:tcBorders>
            <w:shd w:val="clear" w:color="auto" w:fill="auto"/>
            <w:vAlign w:val="center"/>
            <w:hideMark/>
          </w:tcPr>
          <w:p w14:paraId="2C52FB7A"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3</w:t>
            </w:r>
          </w:p>
        </w:tc>
        <w:tc>
          <w:tcPr>
            <w:tcW w:w="1118" w:type="dxa"/>
            <w:tcBorders>
              <w:top w:val="nil"/>
              <w:left w:val="nil"/>
              <w:bottom w:val="nil"/>
              <w:right w:val="single" w:sz="8" w:space="0" w:color="auto"/>
            </w:tcBorders>
            <w:shd w:val="clear" w:color="auto" w:fill="auto"/>
            <w:vAlign w:val="center"/>
            <w:hideMark/>
          </w:tcPr>
          <w:p w14:paraId="0686349E"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40,790</w:t>
            </w:r>
          </w:p>
        </w:tc>
        <w:tc>
          <w:tcPr>
            <w:tcW w:w="1118" w:type="dxa"/>
            <w:tcBorders>
              <w:top w:val="nil"/>
              <w:left w:val="nil"/>
              <w:bottom w:val="nil"/>
              <w:right w:val="single" w:sz="8" w:space="0" w:color="auto"/>
            </w:tcBorders>
            <w:shd w:val="clear" w:color="auto" w:fill="auto"/>
            <w:vAlign w:val="center"/>
            <w:hideMark/>
          </w:tcPr>
          <w:p w14:paraId="659D34D6"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1118" w:type="dxa"/>
            <w:tcBorders>
              <w:top w:val="nil"/>
              <w:left w:val="nil"/>
              <w:bottom w:val="nil"/>
              <w:right w:val="single" w:sz="8" w:space="0" w:color="auto"/>
            </w:tcBorders>
            <w:shd w:val="clear" w:color="auto" w:fill="auto"/>
            <w:vAlign w:val="center"/>
            <w:hideMark/>
          </w:tcPr>
          <w:p w14:paraId="5B00F2B9"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1118" w:type="dxa"/>
            <w:tcBorders>
              <w:top w:val="nil"/>
              <w:left w:val="nil"/>
              <w:bottom w:val="nil"/>
              <w:right w:val="single" w:sz="8" w:space="0" w:color="auto"/>
            </w:tcBorders>
            <w:shd w:val="clear" w:color="auto" w:fill="auto"/>
            <w:vAlign w:val="center"/>
            <w:hideMark/>
          </w:tcPr>
          <w:p w14:paraId="4E6C7C25"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r>
      <w:tr w:rsidR="00D33F7C" w:rsidRPr="00037B23" w14:paraId="098CEDD5" w14:textId="77777777" w:rsidTr="00E213CE">
        <w:trPr>
          <w:trHeight w:val="242"/>
        </w:trPr>
        <w:tc>
          <w:tcPr>
            <w:tcW w:w="3620" w:type="dxa"/>
            <w:tcBorders>
              <w:top w:val="nil"/>
              <w:left w:val="single" w:sz="4" w:space="0" w:color="auto"/>
              <w:bottom w:val="nil"/>
              <w:right w:val="nil"/>
            </w:tcBorders>
            <w:shd w:val="clear" w:color="000000" w:fill="B4C6E7"/>
            <w:vAlign w:val="center"/>
            <w:hideMark/>
          </w:tcPr>
          <w:p w14:paraId="5DFBA09B"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Nasdaq Nordic and Baltics</w:t>
            </w:r>
          </w:p>
        </w:tc>
        <w:tc>
          <w:tcPr>
            <w:tcW w:w="1118" w:type="dxa"/>
            <w:tcBorders>
              <w:top w:val="nil"/>
              <w:left w:val="single" w:sz="8" w:space="0" w:color="auto"/>
              <w:bottom w:val="single" w:sz="8" w:space="0" w:color="auto"/>
              <w:right w:val="single" w:sz="8" w:space="0" w:color="auto"/>
            </w:tcBorders>
            <w:shd w:val="clear" w:color="auto" w:fill="auto"/>
            <w:vAlign w:val="center"/>
            <w:hideMark/>
          </w:tcPr>
          <w:p w14:paraId="194D4A67"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1,104,808</w:t>
            </w:r>
          </w:p>
        </w:tc>
        <w:tc>
          <w:tcPr>
            <w:tcW w:w="1118" w:type="dxa"/>
            <w:tcBorders>
              <w:top w:val="nil"/>
              <w:left w:val="nil"/>
              <w:bottom w:val="single" w:sz="8" w:space="0" w:color="auto"/>
              <w:right w:val="single" w:sz="8" w:space="0" w:color="auto"/>
            </w:tcBorders>
            <w:shd w:val="clear" w:color="auto" w:fill="auto"/>
            <w:vAlign w:val="center"/>
            <w:hideMark/>
          </w:tcPr>
          <w:p w14:paraId="452C2111"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133,218</w:t>
            </w:r>
          </w:p>
        </w:tc>
        <w:tc>
          <w:tcPr>
            <w:tcW w:w="1118" w:type="dxa"/>
            <w:tcBorders>
              <w:top w:val="nil"/>
              <w:left w:val="nil"/>
              <w:bottom w:val="single" w:sz="8" w:space="0" w:color="auto"/>
              <w:right w:val="single" w:sz="8" w:space="0" w:color="auto"/>
            </w:tcBorders>
            <w:shd w:val="clear" w:color="auto" w:fill="auto"/>
            <w:vAlign w:val="center"/>
            <w:hideMark/>
          </w:tcPr>
          <w:p w14:paraId="48FD663D"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1,830,241</w:t>
            </w:r>
          </w:p>
        </w:tc>
        <w:tc>
          <w:tcPr>
            <w:tcW w:w="1118" w:type="dxa"/>
            <w:tcBorders>
              <w:top w:val="nil"/>
              <w:left w:val="nil"/>
              <w:bottom w:val="single" w:sz="8" w:space="0" w:color="auto"/>
              <w:right w:val="single" w:sz="8" w:space="0" w:color="auto"/>
            </w:tcBorders>
            <w:shd w:val="clear" w:color="auto" w:fill="auto"/>
            <w:vAlign w:val="center"/>
            <w:hideMark/>
          </w:tcPr>
          <w:p w14:paraId="3C47FC91"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445,763</w:t>
            </w:r>
          </w:p>
        </w:tc>
        <w:tc>
          <w:tcPr>
            <w:tcW w:w="1118" w:type="dxa"/>
            <w:tcBorders>
              <w:top w:val="nil"/>
              <w:left w:val="nil"/>
              <w:bottom w:val="single" w:sz="8" w:space="0" w:color="auto"/>
              <w:right w:val="single" w:sz="8" w:space="0" w:color="auto"/>
            </w:tcBorders>
            <w:shd w:val="clear" w:color="auto" w:fill="auto"/>
            <w:vAlign w:val="center"/>
            <w:hideMark/>
          </w:tcPr>
          <w:p w14:paraId="30B10850"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53,750</w:t>
            </w:r>
          </w:p>
        </w:tc>
        <w:tc>
          <w:tcPr>
            <w:tcW w:w="1118" w:type="dxa"/>
            <w:tcBorders>
              <w:top w:val="nil"/>
              <w:left w:val="nil"/>
              <w:bottom w:val="single" w:sz="8" w:space="0" w:color="auto"/>
              <w:right w:val="single" w:sz="8" w:space="0" w:color="auto"/>
            </w:tcBorders>
            <w:shd w:val="clear" w:color="auto" w:fill="auto"/>
            <w:vAlign w:val="center"/>
            <w:hideMark/>
          </w:tcPr>
          <w:p w14:paraId="1298C366"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0</w:t>
            </w:r>
          </w:p>
        </w:tc>
      </w:tr>
      <w:tr w:rsidR="00D33F7C" w:rsidRPr="00037B23" w14:paraId="325E775D" w14:textId="77777777" w:rsidTr="00E213CE">
        <w:trPr>
          <w:trHeight w:val="242"/>
        </w:trPr>
        <w:tc>
          <w:tcPr>
            <w:tcW w:w="3620" w:type="dxa"/>
            <w:tcBorders>
              <w:top w:val="single" w:sz="8" w:space="0" w:color="auto"/>
              <w:left w:val="single" w:sz="8" w:space="0" w:color="auto"/>
              <w:bottom w:val="single" w:sz="8" w:space="0" w:color="auto"/>
              <w:right w:val="nil"/>
            </w:tcBorders>
            <w:shd w:val="clear" w:color="000000" w:fill="D9E1F2"/>
            <w:vAlign w:val="center"/>
            <w:hideMark/>
          </w:tcPr>
          <w:p w14:paraId="7E8CCCAE" w14:textId="77777777" w:rsidR="00D33F7C" w:rsidRPr="00037B23" w:rsidRDefault="00D33F7C" w:rsidP="00E213CE">
            <w:pPr>
              <w:rPr>
                <w:rFonts w:ascii="Garamond" w:eastAsia="Times New Roman" w:hAnsi="Garamond" w:cs="Calibri"/>
                <w:b/>
                <w:bCs/>
                <w:color w:val="000000"/>
                <w:sz w:val="20"/>
                <w:szCs w:val="20"/>
                <w:lang w:val="en-IN" w:eastAsia="en-IN" w:bidi="hi-IN"/>
              </w:rPr>
            </w:pPr>
            <w:r w:rsidRPr="00037B23">
              <w:rPr>
                <w:rFonts w:ascii="Garamond" w:eastAsia="Times New Roman" w:hAnsi="Garamond" w:cs="Calibri"/>
                <w:b/>
                <w:bCs/>
                <w:color w:val="000000"/>
                <w:sz w:val="20"/>
                <w:szCs w:val="20"/>
                <w:lang w:val="en-IN" w:eastAsia="en-IN" w:bidi="hi-IN"/>
              </w:rPr>
              <w:t>Grand Total</w:t>
            </w:r>
          </w:p>
        </w:tc>
        <w:tc>
          <w:tcPr>
            <w:tcW w:w="1118" w:type="dxa"/>
            <w:tcBorders>
              <w:top w:val="nil"/>
              <w:left w:val="nil"/>
              <w:bottom w:val="single" w:sz="8" w:space="0" w:color="auto"/>
              <w:right w:val="nil"/>
            </w:tcBorders>
            <w:shd w:val="clear" w:color="000000" w:fill="D9E1F2"/>
            <w:vAlign w:val="bottom"/>
            <w:hideMark/>
          </w:tcPr>
          <w:p w14:paraId="7A953A46" w14:textId="77777777" w:rsidR="00D33F7C" w:rsidRPr="00037B23" w:rsidRDefault="00D33F7C" w:rsidP="00E213CE">
            <w:pPr>
              <w:jc w:val="right"/>
              <w:rPr>
                <w:rFonts w:ascii="Garamond" w:eastAsia="Times New Roman" w:hAnsi="Garamond" w:cs="Calibri"/>
                <w:b/>
                <w:bCs/>
                <w:color w:val="000000"/>
                <w:sz w:val="20"/>
                <w:szCs w:val="20"/>
                <w:lang w:val="en-IN" w:eastAsia="en-IN" w:bidi="hi-IN"/>
              </w:rPr>
            </w:pPr>
            <w:r w:rsidRPr="00037B23">
              <w:rPr>
                <w:rFonts w:ascii="Garamond" w:eastAsia="Times New Roman" w:hAnsi="Garamond" w:cs="Calibri"/>
                <w:b/>
                <w:bCs/>
                <w:color w:val="000000"/>
                <w:sz w:val="20"/>
                <w:szCs w:val="20"/>
                <w:lang w:val="en-IN" w:eastAsia="en-IN" w:bidi="hi-IN"/>
              </w:rPr>
              <w:t xml:space="preserve"> 268,933,338</w:t>
            </w:r>
          </w:p>
        </w:tc>
        <w:tc>
          <w:tcPr>
            <w:tcW w:w="1118" w:type="dxa"/>
            <w:tcBorders>
              <w:top w:val="nil"/>
              <w:left w:val="nil"/>
              <w:bottom w:val="single" w:sz="8" w:space="0" w:color="auto"/>
              <w:right w:val="nil"/>
            </w:tcBorders>
            <w:shd w:val="clear" w:color="000000" w:fill="D9E1F2"/>
            <w:vAlign w:val="bottom"/>
            <w:hideMark/>
          </w:tcPr>
          <w:p w14:paraId="49E9946D" w14:textId="77777777" w:rsidR="00D33F7C" w:rsidRPr="00037B23" w:rsidRDefault="00D33F7C" w:rsidP="00E213CE">
            <w:pPr>
              <w:jc w:val="right"/>
              <w:rPr>
                <w:rFonts w:ascii="Garamond" w:eastAsia="Times New Roman" w:hAnsi="Garamond" w:cs="Calibri"/>
                <w:b/>
                <w:bCs/>
                <w:color w:val="000000"/>
                <w:sz w:val="20"/>
                <w:szCs w:val="20"/>
                <w:lang w:val="en-IN" w:eastAsia="en-IN" w:bidi="hi-IN"/>
              </w:rPr>
            </w:pPr>
            <w:r w:rsidRPr="00037B23">
              <w:rPr>
                <w:rFonts w:ascii="Garamond" w:eastAsia="Times New Roman" w:hAnsi="Garamond" w:cs="Calibri"/>
                <w:b/>
                <w:bCs/>
                <w:color w:val="000000"/>
                <w:sz w:val="20"/>
                <w:szCs w:val="20"/>
                <w:lang w:val="en-IN" w:eastAsia="en-IN" w:bidi="hi-IN"/>
              </w:rPr>
              <w:t xml:space="preserve"> 77,619,761</w:t>
            </w:r>
          </w:p>
        </w:tc>
        <w:tc>
          <w:tcPr>
            <w:tcW w:w="1118" w:type="dxa"/>
            <w:tcBorders>
              <w:top w:val="nil"/>
              <w:left w:val="nil"/>
              <w:bottom w:val="single" w:sz="8" w:space="0" w:color="auto"/>
              <w:right w:val="nil"/>
            </w:tcBorders>
            <w:shd w:val="clear" w:color="000000" w:fill="D9E1F2"/>
            <w:vAlign w:val="bottom"/>
            <w:hideMark/>
          </w:tcPr>
          <w:p w14:paraId="20F00353" w14:textId="77777777" w:rsidR="00D33F7C" w:rsidRPr="00037B23" w:rsidRDefault="00D33F7C" w:rsidP="00E213CE">
            <w:pPr>
              <w:jc w:val="right"/>
              <w:rPr>
                <w:rFonts w:ascii="Garamond" w:eastAsia="Times New Roman" w:hAnsi="Garamond" w:cs="Calibri"/>
                <w:b/>
                <w:bCs/>
                <w:color w:val="000000"/>
                <w:sz w:val="20"/>
                <w:szCs w:val="20"/>
                <w:lang w:val="en-IN" w:eastAsia="en-IN" w:bidi="hi-IN"/>
              </w:rPr>
            </w:pPr>
            <w:r w:rsidRPr="00037B23">
              <w:rPr>
                <w:rFonts w:ascii="Garamond" w:eastAsia="Times New Roman" w:hAnsi="Garamond" w:cs="Calibri"/>
                <w:b/>
                <w:bCs/>
                <w:color w:val="000000"/>
                <w:sz w:val="20"/>
                <w:szCs w:val="20"/>
                <w:lang w:val="en-IN" w:eastAsia="en-IN" w:bidi="hi-IN"/>
              </w:rPr>
              <w:t xml:space="preserve"> 74,273,018</w:t>
            </w:r>
          </w:p>
        </w:tc>
        <w:tc>
          <w:tcPr>
            <w:tcW w:w="1118" w:type="dxa"/>
            <w:tcBorders>
              <w:top w:val="nil"/>
              <w:left w:val="nil"/>
              <w:bottom w:val="single" w:sz="8" w:space="0" w:color="auto"/>
              <w:right w:val="nil"/>
            </w:tcBorders>
            <w:shd w:val="clear" w:color="000000" w:fill="D9E1F2"/>
            <w:vAlign w:val="bottom"/>
            <w:hideMark/>
          </w:tcPr>
          <w:p w14:paraId="32BC45F2" w14:textId="77777777" w:rsidR="00D33F7C" w:rsidRPr="00037B23" w:rsidRDefault="00D33F7C" w:rsidP="00E213CE">
            <w:pPr>
              <w:jc w:val="right"/>
              <w:rPr>
                <w:rFonts w:ascii="Garamond" w:eastAsia="Times New Roman" w:hAnsi="Garamond" w:cs="Calibri"/>
                <w:b/>
                <w:bCs/>
                <w:color w:val="000000"/>
                <w:sz w:val="20"/>
                <w:szCs w:val="20"/>
                <w:lang w:val="en-IN" w:eastAsia="en-IN" w:bidi="hi-IN"/>
              </w:rPr>
            </w:pPr>
            <w:r w:rsidRPr="00037B23">
              <w:rPr>
                <w:rFonts w:ascii="Garamond" w:eastAsia="Times New Roman" w:hAnsi="Garamond" w:cs="Calibri"/>
                <w:b/>
                <w:bCs/>
                <w:color w:val="000000"/>
                <w:sz w:val="20"/>
                <w:szCs w:val="20"/>
                <w:lang w:val="en-IN" w:eastAsia="en-IN" w:bidi="hi-IN"/>
              </w:rPr>
              <w:t xml:space="preserve"> 52,702,189</w:t>
            </w:r>
          </w:p>
        </w:tc>
        <w:tc>
          <w:tcPr>
            <w:tcW w:w="1118" w:type="dxa"/>
            <w:tcBorders>
              <w:top w:val="nil"/>
              <w:left w:val="nil"/>
              <w:bottom w:val="single" w:sz="8" w:space="0" w:color="auto"/>
              <w:right w:val="nil"/>
            </w:tcBorders>
            <w:shd w:val="clear" w:color="000000" w:fill="D9E1F2"/>
            <w:vAlign w:val="bottom"/>
            <w:hideMark/>
          </w:tcPr>
          <w:p w14:paraId="7BD410A1" w14:textId="77777777" w:rsidR="00D33F7C" w:rsidRPr="00037B23" w:rsidRDefault="00D33F7C" w:rsidP="00E213CE">
            <w:pPr>
              <w:jc w:val="right"/>
              <w:rPr>
                <w:rFonts w:ascii="Garamond" w:eastAsia="Times New Roman" w:hAnsi="Garamond" w:cs="Calibri"/>
                <w:b/>
                <w:bCs/>
                <w:color w:val="000000"/>
                <w:sz w:val="20"/>
                <w:szCs w:val="20"/>
                <w:lang w:val="en-IN" w:eastAsia="en-IN" w:bidi="hi-IN"/>
              </w:rPr>
            </w:pPr>
            <w:r w:rsidRPr="00037B23">
              <w:rPr>
                <w:rFonts w:ascii="Garamond" w:eastAsia="Times New Roman" w:hAnsi="Garamond" w:cs="Calibri"/>
                <w:b/>
                <w:bCs/>
                <w:color w:val="000000"/>
                <w:sz w:val="20"/>
                <w:szCs w:val="20"/>
                <w:lang w:val="en-IN" w:eastAsia="en-IN" w:bidi="hi-IN"/>
              </w:rPr>
              <w:t xml:space="preserve"> 21,448,609</w:t>
            </w:r>
          </w:p>
        </w:tc>
        <w:tc>
          <w:tcPr>
            <w:tcW w:w="1118" w:type="dxa"/>
            <w:tcBorders>
              <w:top w:val="nil"/>
              <w:left w:val="nil"/>
              <w:bottom w:val="single" w:sz="8" w:space="0" w:color="auto"/>
              <w:right w:val="single" w:sz="8" w:space="0" w:color="auto"/>
            </w:tcBorders>
            <w:shd w:val="clear" w:color="000000" w:fill="D9E1F2"/>
            <w:vAlign w:val="bottom"/>
            <w:hideMark/>
          </w:tcPr>
          <w:p w14:paraId="118EE7C7" w14:textId="77777777" w:rsidR="00D33F7C" w:rsidRPr="00037B23" w:rsidRDefault="00D33F7C" w:rsidP="00E213CE">
            <w:pPr>
              <w:jc w:val="right"/>
              <w:rPr>
                <w:rFonts w:ascii="Garamond" w:eastAsia="Times New Roman" w:hAnsi="Garamond" w:cs="Calibri"/>
                <w:b/>
                <w:bCs/>
                <w:color w:val="000000"/>
                <w:sz w:val="20"/>
                <w:szCs w:val="20"/>
                <w:lang w:val="en-IN" w:eastAsia="en-IN" w:bidi="hi-IN"/>
              </w:rPr>
            </w:pPr>
            <w:r w:rsidRPr="00037B23">
              <w:rPr>
                <w:rFonts w:ascii="Garamond" w:eastAsia="Times New Roman" w:hAnsi="Garamond" w:cs="Calibri"/>
                <w:b/>
                <w:bCs/>
                <w:color w:val="000000"/>
                <w:sz w:val="20"/>
                <w:szCs w:val="20"/>
                <w:lang w:val="en-IN" w:eastAsia="en-IN" w:bidi="hi-IN"/>
              </w:rPr>
              <w:t xml:space="preserve"> 81,972,599</w:t>
            </w:r>
          </w:p>
        </w:tc>
      </w:tr>
    </w:tbl>
    <w:p w14:paraId="6D15FBDB" w14:textId="77777777" w:rsidR="00D33F7C" w:rsidRPr="002061D1" w:rsidRDefault="00D33F7C" w:rsidP="00D33F7C">
      <w:pPr>
        <w:spacing w:line="23" w:lineRule="atLeast"/>
        <w:rPr>
          <w:rFonts w:ascii="Garamond" w:eastAsia="Times New Roman" w:hAnsi="Garamond"/>
          <w:bCs/>
          <w:sz w:val="18"/>
          <w:szCs w:val="18"/>
          <w:lang w:val="en-US"/>
        </w:rPr>
      </w:pPr>
      <w:r w:rsidRPr="002061D1">
        <w:rPr>
          <w:rFonts w:ascii="Garamond" w:eastAsia="Times New Roman" w:hAnsi="Garamond"/>
          <w:bCs/>
          <w:sz w:val="18"/>
          <w:szCs w:val="18"/>
          <w:lang w:val="en-US"/>
        </w:rPr>
        <w:tab/>
      </w:r>
    </w:p>
    <w:p w14:paraId="7F6BEEED" w14:textId="77777777" w:rsidR="00D33F7C" w:rsidRPr="002061D1" w:rsidRDefault="00D33F7C" w:rsidP="00D33F7C">
      <w:pPr>
        <w:spacing w:line="23" w:lineRule="atLeast"/>
        <w:jc w:val="both"/>
        <w:rPr>
          <w:rFonts w:ascii="Garamond" w:hAnsi="Garamond"/>
          <w:bCs/>
          <w:sz w:val="18"/>
          <w:szCs w:val="18"/>
        </w:rPr>
      </w:pPr>
      <w:r w:rsidRPr="002061D1">
        <w:rPr>
          <w:rFonts w:ascii="Garamond" w:hAnsi="Garamond"/>
          <w:bCs/>
          <w:sz w:val="18"/>
          <w:szCs w:val="18"/>
        </w:rPr>
        <w:t>NA: Not Available</w:t>
      </w:r>
    </w:p>
    <w:p w14:paraId="6AB9E95D" w14:textId="77777777" w:rsidR="00D33F7C" w:rsidRPr="002061D1" w:rsidRDefault="00D33F7C" w:rsidP="00D33F7C">
      <w:pPr>
        <w:spacing w:line="23" w:lineRule="atLeast"/>
        <w:jc w:val="both"/>
        <w:outlineLvl w:val="0"/>
        <w:rPr>
          <w:rFonts w:ascii="Garamond" w:hAnsi="Garamond"/>
          <w:bCs/>
          <w:sz w:val="18"/>
          <w:szCs w:val="18"/>
        </w:rPr>
      </w:pPr>
      <w:r w:rsidRPr="002061D1">
        <w:rPr>
          <w:rFonts w:ascii="Garamond" w:hAnsi="Garamond"/>
          <w:bCs/>
          <w:sz w:val="18"/>
          <w:szCs w:val="18"/>
        </w:rPr>
        <w:t>Source: World Federation of Exchanges</w:t>
      </w:r>
    </w:p>
    <w:p w14:paraId="793A8AF2" w14:textId="77777777" w:rsidR="00D33F7C" w:rsidRPr="002061D1" w:rsidRDefault="00D33F7C" w:rsidP="00D33F7C">
      <w:pPr>
        <w:rPr>
          <w:rFonts w:ascii="Garamond" w:eastAsia="Times New Roman" w:hAnsi="Garamond"/>
          <w:bCs/>
          <w:sz w:val="22"/>
          <w:szCs w:val="22"/>
          <w:lang w:val="en-US"/>
        </w:rPr>
      </w:pPr>
    </w:p>
    <w:p w14:paraId="55F150E9" w14:textId="77777777" w:rsidR="00D33F7C" w:rsidRPr="001D2656" w:rsidRDefault="00D33F7C" w:rsidP="00D33F7C">
      <w:pPr>
        <w:rPr>
          <w:rFonts w:ascii="Garamond" w:eastAsia="Times New Roman" w:hAnsi="Garamond"/>
          <w:bCs/>
          <w:sz w:val="22"/>
          <w:szCs w:val="22"/>
          <w:lang w:val="en-US"/>
        </w:rPr>
      </w:pPr>
      <w:r w:rsidRPr="001D2656">
        <w:rPr>
          <w:rFonts w:ascii="Garamond" w:eastAsia="Times New Roman" w:hAnsi="Garamond"/>
          <w:bCs/>
          <w:sz w:val="22"/>
          <w:szCs w:val="22"/>
          <w:lang w:val="en-US"/>
        </w:rPr>
        <w:br w:type="page"/>
      </w:r>
    </w:p>
    <w:p w14:paraId="25B9E32C" w14:textId="77777777" w:rsidR="00D33F7C" w:rsidRPr="001D2656" w:rsidRDefault="00D33F7C" w:rsidP="00D33F7C">
      <w:pPr>
        <w:spacing w:line="23" w:lineRule="atLeast"/>
        <w:rPr>
          <w:rFonts w:ascii="Garamond" w:hAnsi="Garamond"/>
          <w:b/>
          <w:bCs/>
          <w:szCs w:val="22"/>
        </w:rPr>
      </w:pPr>
      <w:r w:rsidRPr="001D2656">
        <w:rPr>
          <w:rFonts w:ascii="Garamond" w:eastAsia="Times New Roman" w:hAnsi="Garamond"/>
          <w:b/>
          <w:bCs/>
          <w:szCs w:val="22"/>
          <w:lang w:val="en-US"/>
        </w:rPr>
        <w:lastRenderedPageBreak/>
        <w:t>Table A8: Commodity Futures and Options Traded in Major Exchanges</w:t>
      </w:r>
    </w:p>
    <w:p w14:paraId="674CD15E" w14:textId="77777777" w:rsidR="00D33F7C" w:rsidRPr="001D2656" w:rsidRDefault="00D33F7C" w:rsidP="00D33F7C">
      <w:pPr>
        <w:spacing w:line="23" w:lineRule="atLeast"/>
        <w:ind w:right="348"/>
        <w:jc w:val="right"/>
        <w:rPr>
          <w:rFonts w:ascii="Garamond" w:hAnsi="Garamond"/>
          <w:bCs/>
          <w:sz w:val="22"/>
          <w:szCs w:val="22"/>
        </w:rPr>
      </w:pPr>
      <w:r w:rsidRPr="001D2656">
        <w:rPr>
          <w:rFonts w:ascii="Garamond" w:hAnsi="Garamond"/>
          <w:bCs/>
          <w:sz w:val="22"/>
          <w:szCs w:val="22"/>
        </w:rPr>
        <w:t>Notional Turnover in (USD million)</w:t>
      </w:r>
    </w:p>
    <w:tbl>
      <w:tblPr>
        <w:tblW w:w="10163" w:type="dxa"/>
        <w:tblInd w:w="113" w:type="dxa"/>
        <w:tblLook w:val="04A0" w:firstRow="1" w:lastRow="0" w:firstColumn="1" w:lastColumn="0" w:noHBand="0" w:noVBand="1"/>
      </w:tblPr>
      <w:tblGrid>
        <w:gridCol w:w="3498"/>
        <w:gridCol w:w="1170"/>
        <w:gridCol w:w="1097"/>
        <w:gridCol w:w="1101"/>
        <w:gridCol w:w="1098"/>
        <w:gridCol w:w="1096"/>
        <w:gridCol w:w="1103"/>
      </w:tblGrid>
      <w:tr w:rsidR="00D33F7C" w:rsidRPr="00037B23" w14:paraId="322D9042" w14:textId="77777777" w:rsidTr="00E213CE">
        <w:trPr>
          <w:trHeight w:val="209"/>
        </w:trPr>
        <w:tc>
          <w:tcPr>
            <w:tcW w:w="3498" w:type="dxa"/>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14:paraId="090900CF" w14:textId="77777777" w:rsidR="00D33F7C" w:rsidRPr="00037B23" w:rsidRDefault="00D33F7C" w:rsidP="00E213CE">
            <w:pPr>
              <w:jc w:val="center"/>
              <w:rPr>
                <w:rFonts w:ascii="Garamond" w:eastAsia="Times New Roman" w:hAnsi="Garamond" w:cs="Calibri"/>
                <w:b/>
                <w:bCs/>
                <w:color w:val="000000"/>
                <w:sz w:val="20"/>
                <w:szCs w:val="20"/>
                <w:lang w:val="en-IN" w:eastAsia="en-IN" w:bidi="hi-IN"/>
              </w:rPr>
            </w:pPr>
            <w:r w:rsidRPr="00037B23">
              <w:rPr>
                <w:rFonts w:ascii="Garamond" w:eastAsia="Times New Roman" w:hAnsi="Garamond" w:cs="Calibri"/>
                <w:b/>
                <w:bCs/>
                <w:color w:val="000000"/>
                <w:sz w:val="20"/>
                <w:szCs w:val="20"/>
                <w:lang w:val="en-IN" w:eastAsia="en-IN" w:bidi="hi-IN"/>
              </w:rPr>
              <w:t>Exchange</w:t>
            </w:r>
          </w:p>
        </w:tc>
        <w:tc>
          <w:tcPr>
            <w:tcW w:w="6665" w:type="dxa"/>
            <w:gridSpan w:val="6"/>
            <w:tcBorders>
              <w:top w:val="single" w:sz="4" w:space="0" w:color="auto"/>
              <w:left w:val="nil"/>
              <w:bottom w:val="single" w:sz="4" w:space="0" w:color="auto"/>
              <w:right w:val="single" w:sz="4" w:space="0" w:color="auto"/>
            </w:tcBorders>
            <w:shd w:val="clear" w:color="000000" w:fill="B4C6E7"/>
            <w:vAlign w:val="center"/>
            <w:hideMark/>
          </w:tcPr>
          <w:p w14:paraId="3970A9C4" w14:textId="77777777" w:rsidR="00D33F7C" w:rsidRPr="00037B23" w:rsidRDefault="00D33F7C" w:rsidP="00E213CE">
            <w:pPr>
              <w:jc w:val="center"/>
              <w:rPr>
                <w:rFonts w:ascii="Garamond" w:eastAsia="Times New Roman" w:hAnsi="Garamond" w:cs="Calibri"/>
                <w:b/>
                <w:bCs/>
                <w:color w:val="000000"/>
                <w:sz w:val="20"/>
                <w:szCs w:val="20"/>
                <w:lang w:val="en-IN" w:eastAsia="en-IN" w:bidi="hi-IN"/>
              </w:rPr>
            </w:pPr>
            <w:r w:rsidRPr="00037B23">
              <w:rPr>
                <w:rFonts w:ascii="Garamond" w:eastAsia="Times New Roman" w:hAnsi="Garamond" w:cs="Calibri"/>
                <w:b/>
                <w:bCs/>
                <w:color w:val="000000"/>
                <w:sz w:val="20"/>
                <w:szCs w:val="20"/>
                <w:lang w:val="en-IN" w:eastAsia="en-IN" w:bidi="hi-IN"/>
              </w:rPr>
              <w:t>May-21</w:t>
            </w:r>
          </w:p>
        </w:tc>
      </w:tr>
      <w:tr w:rsidR="00D33F7C" w:rsidRPr="00037B23" w14:paraId="7D6DF6C8" w14:textId="77777777" w:rsidTr="00E213CE">
        <w:trPr>
          <w:trHeight w:val="209"/>
        </w:trPr>
        <w:tc>
          <w:tcPr>
            <w:tcW w:w="3498" w:type="dxa"/>
            <w:vMerge/>
            <w:tcBorders>
              <w:top w:val="single" w:sz="4" w:space="0" w:color="auto"/>
              <w:left w:val="single" w:sz="4" w:space="0" w:color="auto"/>
              <w:bottom w:val="single" w:sz="4" w:space="0" w:color="auto"/>
              <w:right w:val="single" w:sz="4" w:space="0" w:color="auto"/>
            </w:tcBorders>
            <w:vAlign w:val="center"/>
            <w:hideMark/>
          </w:tcPr>
          <w:p w14:paraId="1903F577" w14:textId="77777777" w:rsidR="00D33F7C" w:rsidRPr="00037B23" w:rsidRDefault="00D33F7C" w:rsidP="00E213CE">
            <w:pPr>
              <w:rPr>
                <w:rFonts w:ascii="Garamond" w:eastAsia="Times New Roman" w:hAnsi="Garamond" w:cs="Calibri"/>
                <w:b/>
                <w:bCs/>
                <w:color w:val="000000"/>
                <w:sz w:val="20"/>
                <w:szCs w:val="20"/>
                <w:lang w:val="en-IN" w:eastAsia="en-IN" w:bidi="hi-IN"/>
              </w:rPr>
            </w:pPr>
          </w:p>
        </w:tc>
        <w:tc>
          <w:tcPr>
            <w:tcW w:w="3368" w:type="dxa"/>
            <w:gridSpan w:val="3"/>
            <w:tcBorders>
              <w:top w:val="single" w:sz="4" w:space="0" w:color="auto"/>
              <w:left w:val="nil"/>
              <w:bottom w:val="single" w:sz="4" w:space="0" w:color="auto"/>
              <w:right w:val="single" w:sz="4" w:space="0" w:color="auto"/>
            </w:tcBorders>
            <w:shd w:val="clear" w:color="000000" w:fill="B4C6E7"/>
            <w:vAlign w:val="center"/>
            <w:hideMark/>
          </w:tcPr>
          <w:p w14:paraId="47ECA6A1" w14:textId="77777777" w:rsidR="00D33F7C" w:rsidRPr="00037B23" w:rsidRDefault="00D33F7C" w:rsidP="00E213CE">
            <w:pPr>
              <w:jc w:val="center"/>
              <w:rPr>
                <w:rFonts w:ascii="Garamond" w:eastAsia="Times New Roman" w:hAnsi="Garamond" w:cs="Calibri"/>
                <w:b/>
                <w:bCs/>
                <w:color w:val="000000"/>
                <w:sz w:val="20"/>
                <w:szCs w:val="20"/>
                <w:lang w:val="en-IN" w:eastAsia="en-IN" w:bidi="hi-IN"/>
              </w:rPr>
            </w:pPr>
            <w:r w:rsidRPr="00037B23">
              <w:rPr>
                <w:rFonts w:ascii="Garamond" w:eastAsia="Times New Roman" w:hAnsi="Garamond" w:cs="Calibri"/>
                <w:b/>
                <w:bCs/>
                <w:color w:val="000000"/>
                <w:sz w:val="20"/>
                <w:szCs w:val="20"/>
                <w:lang w:val="en-IN" w:eastAsia="en-IN" w:bidi="hi-IN"/>
              </w:rPr>
              <w:t>Commodities Futures</w:t>
            </w:r>
          </w:p>
        </w:tc>
        <w:tc>
          <w:tcPr>
            <w:tcW w:w="3296" w:type="dxa"/>
            <w:gridSpan w:val="3"/>
            <w:tcBorders>
              <w:top w:val="single" w:sz="4" w:space="0" w:color="auto"/>
              <w:left w:val="nil"/>
              <w:bottom w:val="single" w:sz="4" w:space="0" w:color="auto"/>
              <w:right w:val="single" w:sz="4" w:space="0" w:color="auto"/>
            </w:tcBorders>
            <w:shd w:val="clear" w:color="000000" w:fill="B4C6E7"/>
            <w:vAlign w:val="center"/>
            <w:hideMark/>
          </w:tcPr>
          <w:p w14:paraId="5CC14481" w14:textId="77777777" w:rsidR="00D33F7C" w:rsidRPr="00037B23" w:rsidRDefault="00D33F7C" w:rsidP="00E213CE">
            <w:pPr>
              <w:jc w:val="center"/>
              <w:rPr>
                <w:rFonts w:ascii="Garamond" w:eastAsia="Times New Roman" w:hAnsi="Garamond" w:cs="Calibri"/>
                <w:b/>
                <w:bCs/>
                <w:color w:val="000000"/>
                <w:sz w:val="20"/>
                <w:szCs w:val="20"/>
                <w:lang w:val="en-IN" w:eastAsia="en-IN" w:bidi="hi-IN"/>
              </w:rPr>
            </w:pPr>
            <w:r w:rsidRPr="00037B23">
              <w:rPr>
                <w:rFonts w:ascii="Garamond" w:eastAsia="Times New Roman" w:hAnsi="Garamond" w:cs="Calibri"/>
                <w:b/>
                <w:bCs/>
                <w:color w:val="000000"/>
                <w:sz w:val="20"/>
                <w:szCs w:val="20"/>
                <w:lang w:val="en-IN" w:eastAsia="en-IN" w:bidi="hi-IN"/>
              </w:rPr>
              <w:t>Commodities Options</w:t>
            </w:r>
          </w:p>
        </w:tc>
      </w:tr>
      <w:tr w:rsidR="00D33F7C" w:rsidRPr="00037B23" w14:paraId="63D28CA9" w14:textId="77777777" w:rsidTr="00E213CE">
        <w:trPr>
          <w:trHeight w:val="544"/>
        </w:trPr>
        <w:tc>
          <w:tcPr>
            <w:tcW w:w="3498" w:type="dxa"/>
            <w:vMerge/>
            <w:tcBorders>
              <w:top w:val="single" w:sz="4" w:space="0" w:color="auto"/>
              <w:left w:val="single" w:sz="4" w:space="0" w:color="auto"/>
              <w:bottom w:val="single" w:sz="4" w:space="0" w:color="auto"/>
              <w:right w:val="single" w:sz="4" w:space="0" w:color="auto"/>
            </w:tcBorders>
            <w:vAlign w:val="center"/>
            <w:hideMark/>
          </w:tcPr>
          <w:p w14:paraId="7EA14266" w14:textId="77777777" w:rsidR="00D33F7C" w:rsidRPr="00037B23" w:rsidRDefault="00D33F7C" w:rsidP="00E213CE">
            <w:pPr>
              <w:rPr>
                <w:rFonts w:ascii="Garamond" w:eastAsia="Times New Roman" w:hAnsi="Garamond" w:cs="Calibri"/>
                <w:b/>
                <w:bCs/>
                <w:color w:val="000000"/>
                <w:sz w:val="20"/>
                <w:szCs w:val="20"/>
                <w:lang w:val="en-IN" w:eastAsia="en-IN" w:bidi="hi-IN"/>
              </w:rPr>
            </w:pPr>
          </w:p>
        </w:tc>
        <w:tc>
          <w:tcPr>
            <w:tcW w:w="1170" w:type="dxa"/>
            <w:tcBorders>
              <w:top w:val="nil"/>
              <w:left w:val="nil"/>
              <w:bottom w:val="single" w:sz="4" w:space="0" w:color="auto"/>
              <w:right w:val="single" w:sz="4" w:space="0" w:color="auto"/>
            </w:tcBorders>
            <w:shd w:val="clear" w:color="000000" w:fill="B4C6E7"/>
            <w:vAlign w:val="center"/>
            <w:hideMark/>
          </w:tcPr>
          <w:p w14:paraId="0B7D4B0E" w14:textId="77777777" w:rsidR="00D33F7C" w:rsidRPr="00037B23" w:rsidRDefault="00D33F7C" w:rsidP="00E213CE">
            <w:pPr>
              <w:jc w:val="center"/>
              <w:rPr>
                <w:rFonts w:ascii="Garamond" w:eastAsia="Times New Roman" w:hAnsi="Garamond" w:cs="Calibri"/>
                <w:b/>
                <w:bCs/>
                <w:color w:val="000000"/>
                <w:sz w:val="20"/>
                <w:szCs w:val="20"/>
                <w:lang w:val="en-IN" w:eastAsia="en-IN" w:bidi="hi-IN"/>
              </w:rPr>
            </w:pPr>
            <w:r w:rsidRPr="00037B23">
              <w:rPr>
                <w:rFonts w:ascii="Garamond" w:eastAsia="Times New Roman" w:hAnsi="Garamond" w:cs="Calibri"/>
                <w:b/>
                <w:bCs/>
                <w:color w:val="000000"/>
                <w:sz w:val="20"/>
                <w:szCs w:val="20"/>
                <w:lang w:val="en-IN" w:eastAsia="en-IN" w:bidi="hi-IN"/>
              </w:rPr>
              <w:t>Number of</w:t>
            </w:r>
            <w:r w:rsidRPr="00037B23">
              <w:rPr>
                <w:rFonts w:ascii="Garamond" w:eastAsia="Times New Roman" w:hAnsi="Garamond" w:cs="Calibri"/>
                <w:b/>
                <w:bCs/>
                <w:color w:val="000000"/>
                <w:sz w:val="20"/>
                <w:szCs w:val="20"/>
                <w:lang w:val="en-IN" w:eastAsia="en-IN" w:bidi="hi-IN"/>
              </w:rPr>
              <w:br/>
              <w:t>Contracts Traded</w:t>
            </w:r>
          </w:p>
        </w:tc>
        <w:tc>
          <w:tcPr>
            <w:tcW w:w="1097" w:type="dxa"/>
            <w:tcBorders>
              <w:top w:val="nil"/>
              <w:left w:val="nil"/>
              <w:bottom w:val="single" w:sz="4" w:space="0" w:color="auto"/>
              <w:right w:val="single" w:sz="4" w:space="0" w:color="auto"/>
            </w:tcBorders>
            <w:shd w:val="clear" w:color="000000" w:fill="B4C6E7"/>
            <w:vAlign w:val="center"/>
            <w:hideMark/>
          </w:tcPr>
          <w:p w14:paraId="60B4FF46" w14:textId="77777777" w:rsidR="00D33F7C" w:rsidRPr="00037B23" w:rsidRDefault="00D33F7C" w:rsidP="00E213CE">
            <w:pPr>
              <w:jc w:val="center"/>
              <w:rPr>
                <w:rFonts w:ascii="Garamond" w:eastAsia="Times New Roman" w:hAnsi="Garamond" w:cs="Calibri"/>
                <w:b/>
                <w:bCs/>
                <w:color w:val="000000"/>
                <w:sz w:val="20"/>
                <w:szCs w:val="20"/>
                <w:lang w:val="en-IN" w:eastAsia="en-IN" w:bidi="hi-IN"/>
              </w:rPr>
            </w:pPr>
            <w:r w:rsidRPr="00037B23">
              <w:rPr>
                <w:rFonts w:ascii="Garamond" w:eastAsia="Times New Roman" w:hAnsi="Garamond" w:cs="Calibri"/>
                <w:b/>
                <w:bCs/>
                <w:color w:val="000000"/>
                <w:sz w:val="20"/>
                <w:szCs w:val="20"/>
                <w:lang w:val="en-IN" w:eastAsia="en-IN" w:bidi="hi-IN"/>
              </w:rPr>
              <w:t>Notional</w:t>
            </w:r>
            <w:r w:rsidRPr="00037B23">
              <w:rPr>
                <w:rFonts w:ascii="Garamond" w:eastAsia="Times New Roman" w:hAnsi="Garamond" w:cs="Calibri"/>
                <w:b/>
                <w:bCs/>
                <w:color w:val="000000"/>
                <w:sz w:val="20"/>
                <w:szCs w:val="20"/>
                <w:lang w:val="en-IN" w:eastAsia="en-IN" w:bidi="hi-IN"/>
              </w:rPr>
              <w:br/>
              <w:t>Turnover</w:t>
            </w:r>
          </w:p>
        </w:tc>
        <w:tc>
          <w:tcPr>
            <w:tcW w:w="1100" w:type="dxa"/>
            <w:tcBorders>
              <w:top w:val="nil"/>
              <w:left w:val="nil"/>
              <w:bottom w:val="single" w:sz="4" w:space="0" w:color="auto"/>
              <w:right w:val="single" w:sz="4" w:space="0" w:color="auto"/>
            </w:tcBorders>
            <w:shd w:val="clear" w:color="000000" w:fill="B4C6E7"/>
            <w:vAlign w:val="center"/>
            <w:hideMark/>
          </w:tcPr>
          <w:p w14:paraId="1AB1FA32" w14:textId="77777777" w:rsidR="00D33F7C" w:rsidRPr="00037B23" w:rsidRDefault="00D33F7C" w:rsidP="00E213CE">
            <w:pPr>
              <w:jc w:val="center"/>
              <w:rPr>
                <w:rFonts w:ascii="Garamond" w:eastAsia="Times New Roman" w:hAnsi="Garamond" w:cs="Calibri"/>
                <w:b/>
                <w:bCs/>
                <w:color w:val="000000"/>
                <w:sz w:val="20"/>
                <w:szCs w:val="20"/>
                <w:lang w:val="en-IN" w:eastAsia="en-IN" w:bidi="hi-IN"/>
              </w:rPr>
            </w:pPr>
            <w:r w:rsidRPr="00037B23">
              <w:rPr>
                <w:rFonts w:ascii="Garamond" w:eastAsia="Times New Roman" w:hAnsi="Garamond" w:cs="Calibri"/>
                <w:b/>
                <w:bCs/>
                <w:color w:val="000000"/>
                <w:sz w:val="20"/>
                <w:szCs w:val="20"/>
                <w:lang w:val="en-IN" w:eastAsia="en-IN" w:bidi="hi-IN"/>
              </w:rPr>
              <w:t>Open</w:t>
            </w:r>
            <w:r w:rsidRPr="00037B23">
              <w:rPr>
                <w:rFonts w:ascii="Garamond" w:eastAsia="Times New Roman" w:hAnsi="Garamond" w:cs="Calibri"/>
                <w:b/>
                <w:bCs/>
                <w:color w:val="000000"/>
                <w:sz w:val="20"/>
                <w:szCs w:val="20"/>
                <w:lang w:val="en-IN" w:eastAsia="en-IN" w:bidi="hi-IN"/>
              </w:rPr>
              <w:br/>
              <w:t>Interest</w:t>
            </w:r>
          </w:p>
        </w:tc>
        <w:tc>
          <w:tcPr>
            <w:tcW w:w="1098" w:type="dxa"/>
            <w:tcBorders>
              <w:top w:val="nil"/>
              <w:left w:val="nil"/>
              <w:bottom w:val="single" w:sz="4" w:space="0" w:color="auto"/>
              <w:right w:val="single" w:sz="4" w:space="0" w:color="auto"/>
            </w:tcBorders>
            <w:shd w:val="clear" w:color="000000" w:fill="B4C6E7"/>
            <w:vAlign w:val="center"/>
            <w:hideMark/>
          </w:tcPr>
          <w:p w14:paraId="38D81ADE" w14:textId="77777777" w:rsidR="00D33F7C" w:rsidRPr="00037B23" w:rsidRDefault="00D33F7C" w:rsidP="00E213CE">
            <w:pPr>
              <w:jc w:val="center"/>
              <w:rPr>
                <w:rFonts w:ascii="Garamond" w:eastAsia="Times New Roman" w:hAnsi="Garamond" w:cs="Calibri"/>
                <w:b/>
                <w:bCs/>
                <w:color w:val="000000"/>
                <w:sz w:val="20"/>
                <w:szCs w:val="20"/>
                <w:lang w:val="en-IN" w:eastAsia="en-IN" w:bidi="hi-IN"/>
              </w:rPr>
            </w:pPr>
            <w:r w:rsidRPr="00037B23">
              <w:rPr>
                <w:rFonts w:ascii="Garamond" w:eastAsia="Times New Roman" w:hAnsi="Garamond" w:cs="Calibri"/>
                <w:b/>
                <w:bCs/>
                <w:color w:val="000000"/>
                <w:sz w:val="20"/>
                <w:szCs w:val="20"/>
                <w:lang w:val="en-IN" w:eastAsia="en-IN" w:bidi="hi-IN"/>
              </w:rPr>
              <w:t>Number of</w:t>
            </w:r>
            <w:r w:rsidRPr="00037B23">
              <w:rPr>
                <w:rFonts w:ascii="Garamond" w:eastAsia="Times New Roman" w:hAnsi="Garamond" w:cs="Calibri"/>
                <w:b/>
                <w:bCs/>
                <w:color w:val="000000"/>
                <w:sz w:val="20"/>
                <w:szCs w:val="20"/>
                <w:lang w:val="en-IN" w:eastAsia="en-IN" w:bidi="hi-IN"/>
              </w:rPr>
              <w:br/>
              <w:t>Contracts Traded</w:t>
            </w:r>
          </w:p>
        </w:tc>
        <w:tc>
          <w:tcPr>
            <w:tcW w:w="1096" w:type="dxa"/>
            <w:tcBorders>
              <w:top w:val="nil"/>
              <w:left w:val="nil"/>
              <w:bottom w:val="single" w:sz="4" w:space="0" w:color="auto"/>
              <w:right w:val="single" w:sz="4" w:space="0" w:color="auto"/>
            </w:tcBorders>
            <w:shd w:val="clear" w:color="000000" w:fill="B4C6E7"/>
            <w:vAlign w:val="center"/>
            <w:hideMark/>
          </w:tcPr>
          <w:p w14:paraId="558B9428" w14:textId="77777777" w:rsidR="00D33F7C" w:rsidRPr="00037B23" w:rsidRDefault="00D33F7C" w:rsidP="00E213CE">
            <w:pPr>
              <w:jc w:val="center"/>
              <w:rPr>
                <w:rFonts w:ascii="Garamond" w:eastAsia="Times New Roman" w:hAnsi="Garamond" w:cs="Calibri"/>
                <w:b/>
                <w:bCs/>
                <w:color w:val="000000"/>
                <w:sz w:val="20"/>
                <w:szCs w:val="20"/>
                <w:lang w:val="en-IN" w:eastAsia="en-IN" w:bidi="hi-IN"/>
              </w:rPr>
            </w:pPr>
            <w:r w:rsidRPr="00037B23">
              <w:rPr>
                <w:rFonts w:ascii="Garamond" w:eastAsia="Times New Roman" w:hAnsi="Garamond" w:cs="Calibri"/>
                <w:b/>
                <w:bCs/>
                <w:color w:val="000000"/>
                <w:sz w:val="20"/>
                <w:szCs w:val="20"/>
                <w:lang w:val="en-IN" w:eastAsia="en-IN" w:bidi="hi-IN"/>
              </w:rPr>
              <w:t>Notional</w:t>
            </w:r>
            <w:r w:rsidRPr="00037B23">
              <w:rPr>
                <w:rFonts w:ascii="Garamond" w:eastAsia="Times New Roman" w:hAnsi="Garamond" w:cs="Calibri"/>
                <w:b/>
                <w:bCs/>
                <w:color w:val="000000"/>
                <w:sz w:val="20"/>
                <w:szCs w:val="20"/>
                <w:lang w:val="en-IN" w:eastAsia="en-IN" w:bidi="hi-IN"/>
              </w:rPr>
              <w:br/>
              <w:t>Turnover</w:t>
            </w:r>
          </w:p>
        </w:tc>
        <w:tc>
          <w:tcPr>
            <w:tcW w:w="1101" w:type="dxa"/>
            <w:tcBorders>
              <w:top w:val="nil"/>
              <w:left w:val="nil"/>
              <w:bottom w:val="single" w:sz="4" w:space="0" w:color="auto"/>
              <w:right w:val="single" w:sz="4" w:space="0" w:color="auto"/>
            </w:tcBorders>
            <w:shd w:val="clear" w:color="000000" w:fill="B4C6E7"/>
            <w:vAlign w:val="center"/>
            <w:hideMark/>
          </w:tcPr>
          <w:p w14:paraId="66BFB6BE" w14:textId="77777777" w:rsidR="00D33F7C" w:rsidRPr="00037B23" w:rsidRDefault="00D33F7C" w:rsidP="00E213CE">
            <w:pPr>
              <w:jc w:val="center"/>
              <w:rPr>
                <w:rFonts w:ascii="Garamond" w:eastAsia="Times New Roman" w:hAnsi="Garamond" w:cs="Calibri"/>
                <w:b/>
                <w:bCs/>
                <w:color w:val="000000"/>
                <w:sz w:val="20"/>
                <w:szCs w:val="20"/>
                <w:lang w:val="en-IN" w:eastAsia="en-IN" w:bidi="hi-IN"/>
              </w:rPr>
            </w:pPr>
            <w:r w:rsidRPr="00037B23">
              <w:rPr>
                <w:rFonts w:ascii="Garamond" w:eastAsia="Times New Roman" w:hAnsi="Garamond" w:cs="Calibri"/>
                <w:b/>
                <w:bCs/>
                <w:color w:val="000000"/>
                <w:sz w:val="20"/>
                <w:szCs w:val="20"/>
                <w:lang w:val="en-IN" w:eastAsia="en-IN" w:bidi="hi-IN"/>
              </w:rPr>
              <w:t>Open</w:t>
            </w:r>
            <w:r w:rsidRPr="00037B23">
              <w:rPr>
                <w:rFonts w:ascii="Garamond" w:eastAsia="Times New Roman" w:hAnsi="Garamond" w:cs="Calibri"/>
                <w:b/>
                <w:bCs/>
                <w:color w:val="000000"/>
                <w:sz w:val="20"/>
                <w:szCs w:val="20"/>
                <w:lang w:val="en-IN" w:eastAsia="en-IN" w:bidi="hi-IN"/>
              </w:rPr>
              <w:br/>
              <w:t>Interest</w:t>
            </w:r>
          </w:p>
        </w:tc>
      </w:tr>
      <w:tr w:rsidR="00D33F7C" w:rsidRPr="00037B23" w14:paraId="13143E69" w14:textId="77777777" w:rsidTr="00E213CE">
        <w:trPr>
          <w:trHeight w:val="209"/>
        </w:trPr>
        <w:tc>
          <w:tcPr>
            <w:tcW w:w="3498" w:type="dxa"/>
            <w:tcBorders>
              <w:top w:val="nil"/>
              <w:left w:val="single" w:sz="4" w:space="0" w:color="auto"/>
              <w:bottom w:val="nil"/>
              <w:right w:val="nil"/>
            </w:tcBorders>
            <w:shd w:val="clear" w:color="000000" w:fill="B4C6E7"/>
            <w:vAlign w:val="center"/>
            <w:hideMark/>
          </w:tcPr>
          <w:p w14:paraId="1F6B0FFB"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B3 - Brasil Bolsa Balcão</w:t>
            </w:r>
          </w:p>
        </w:tc>
        <w:tc>
          <w:tcPr>
            <w:tcW w:w="1170" w:type="dxa"/>
            <w:tcBorders>
              <w:top w:val="single" w:sz="8" w:space="0" w:color="auto"/>
              <w:left w:val="single" w:sz="8" w:space="0" w:color="auto"/>
              <w:bottom w:val="nil"/>
              <w:right w:val="single" w:sz="8" w:space="0" w:color="auto"/>
            </w:tcBorders>
            <w:shd w:val="clear" w:color="auto" w:fill="auto"/>
            <w:vAlign w:val="center"/>
            <w:hideMark/>
          </w:tcPr>
          <w:p w14:paraId="6950C8D4"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375,004</w:t>
            </w:r>
          </w:p>
        </w:tc>
        <w:tc>
          <w:tcPr>
            <w:tcW w:w="1097" w:type="dxa"/>
            <w:tcBorders>
              <w:top w:val="single" w:sz="8" w:space="0" w:color="auto"/>
              <w:left w:val="nil"/>
              <w:bottom w:val="nil"/>
              <w:right w:val="single" w:sz="8" w:space="0" w:color="auto"/>
            </w:tcBorders>
            <w:shd w:val="clear" w:color="auto" w:fill="auto"/>
            <w:vAlign w:val="center"/>
            <w:hideMark/>
          </w:tcPr>
          <w:p w14:paraId="5B355324"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3,934</w:t>
            </w:r>
          </w:p>
        </w:tc>
        <w:tc>
          <w:tcPr>
            <w:tcW w:w="1100" w:type="dxa"/>
            <w:tcBorders>
              <w:top w:val="single" w:sz="8" w:space="0" w:color="auto"/>
              <w:left w:val="nil"/>
              <w:bottom w:val="nil"/>
              <w:right w:val="single" w:sz="8" w:space="0" w:color="auto"/>
            </w:tcBorders>
            <w:shd w:val="clear" w:color="auto" w:fill="auto"/>
            <w:vAlign w:val="center"/>
            <w:hideMark/>
          </w:tcPr>
          <w:p w14:paraId="27C37C06"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122,812</w:t>
            </w:r>
          </w:p>
        </w:tc>
        <w:tc>
          <w:tcPr>
            <w:tcW w:w="1098" w:type="dxa"/>
            <w:tcBorders>
              <w:top w:val="single" w:sz="8" w:space="0" w:color="auto"/>
              <w:left w:val="nil"/>
              <w:bottom w:val="nil"/>
              <w:right w:val="single" w:sz="8" w:space="0" w:color="auto"/>
            </w:tcBorders>
            <w:shd w:val="clear" w:color="auto" w:fill="auto"/>
            <w:vAlign w:val="center"/>
            <w:hideMark/>
          </w:tcPr>
          <w:p w14:paraId="1179B3E5"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90,237</w:t>
            </w:r>
          </w:p>
        </w:tc>
        <w:tc>
          <w:tcPr>
            <w:tcW w:w="1096" w:type="dxa"/>
            <w:tcBorders>
              <w:top w:val="single" w:sz="8" w:space="0" w:color="auto"/>
              <w:left w:val="nil"/>
              <w:bottom w:val="nil"/>
              <w:right w:val="single" w:sz="8" w:space="0" w:color="auto"/>
            </w:tcBorders>
            <w:shd w:val="clear" w:color="auto" w:fill="auto"/>
            <w:vAlign w:val="center"/>
            <w:hideMark/>
          </w:tcPr>
          <w:p w14:paraId="04F71723"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55</w:t>
            </w:r>
          </w:p>
        </w:tc>
        <w:tc>
          <w:tcPr>
            <w:tcW w:w="1101" w:type="dxa"/>
            <w:tcBorders>
              <w:top w:val="single" w:sz="8" w:space="0" w:color="auto"/>
              <w:left w:val="nil"/>
              <w:bottom w:val="nil"/>
              <w:right w:val="single" w:sz="8" w:space="0" w:color="auto"/>
            </w:tcBorders>
            <w:shd w:val="clear" w:color="auto" w:fill="auto"/>
            <w:vAlign w:val="center"/>
            <w:hideMark/>
          </w:tcPr>
          <w:p w14:paraId="163F3D02"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125,588</w:t>
            </w:r>
          </w:p>
        </w:tc>
      </w:tr>
      <w:tr w:rsidR="00D33F7C" w:rsidRPr="00037B23" w14:paraId="6657E02F" w14:textId="77777777" w:rsidTr="00E213CE">
        <w:trPr>
          <w:trHeight w:val="209"/>
        </w:trPr>
        <w:tc>
          <w:tcPr>
            <w:tcW w:w="3498" w:type="dxa"/>
            <w:tcBorders>
              <w:top w:val="nil"/>
              <w:left w:val="single" w:sz="4" w:space="0" w:color="auto"/>
              <w:bottom w:val="nil"/>
              <w:right w:val="nil"/>
            </w:tcBorders>
            <w:shd w:val="clear" w:color="000000" w:fill="B4C6E7"/>
            <w:vAlign w:val="center"/>
            <w:hideMark/>
          </w:tcPr>
          <w:p w14:paraId="0AAAFCF8"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Matba Rofex</w:t>
            </w:r>
          </w:p>
        </w:tc>
        <w:tc>
          <w:tcPr>
            <w:tcW w:w="1170" w:type="dxa"/>
            <w:tcBorders>
              <w:top w:val="nil"/>
              <w:left w:val="single" w:sz="8" w:space="0" w:color="auto"/>
              <w:bottom w:val="nil"/>
              <w:right w:val="single" w:sz="8" w:space="0" w:color="auto"/>
            </w:tcBorders>
            <w:shd w:val="clear" w:color="auto" w:fill="auto"/>
            <w:vAlign w:val="center"/>
            <w:hideMark/>
          </w:tcPr>
          <w:p w14:paraId="5CB759C2"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73,761</w:t>
            </w:r>
          </w:p>
        </w:tc>
        <w:tc>
          <w:tcPr>
            <w:tcW w:w="1097" w:type="dxa"/>
            <w:tcBorders>
              <w:top w:val="nil"/>
              <w:left w:val="nil"/>
              <w:bottom w:val="nil"/>
              <w:right w:val="single" w:sz="8" w:space="0" w:color="auto"/>
            </w:tcBorders>
            <w:shd w:val="clear" w:color="auto" w:fill="auto"/>
            <w:vAlign w:val="center"/>
            <w:hideMark/>
          </w:tcPr>
          <w:p w14:paraId="00FB5301"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1,403</w:t>
            </w:r>
          </w:p>
        </w:tc>
        <w:tc>
          <w:tcPr>
            <w:tcW w:w="1100" w:type="dxa"/>
            <w:tcBorders>
              <w:top w:val="nil"/>
              <w:left w:val="nil"/>
              <w:bottom w:val="nil"/>
              <w:right w:val="single" w:sz="8" w:space="0" w:color="auto"/>
            </w:tcBorders>
            <w:shd w:val="clear" w:color="auto" w:fill="auto"/>
            <w:vAlign w:val="center"/>
            <w:hideMark/>
          </w:tcPr>
          <w:p w14:paraId="44ABF394"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59,286</w:t>
            </w:r>
          </w:p>
        </w:tc>
        <w:tc>
          <w:tcPr>
            <w:tcW w:w="1098" w:type="dxa"/>
            <w:tcBorders>
              <w:top w:val="nil"/>
              <w:left w:val="nil"/>
              <w:bottom w:val="nil"/>
              <w:right w:val="single" w:sz="8" w:space="0" w:color="auto"/>
            </w:tcBorders>
            <w:shd w:val="clear" w:color="auto" w:fill="auto"/>
            <w:vAlign w:val="center"/>
            <w:hideMark/>
          </w:tcPr>
          <w:p w14:paraId="13AC40AC"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11,926</w:t>
            </w:r>
          </w:p>
        </w:tc>
        <w:tc>
          <w:tcPr>
            <w:tcW w:w="1096" w:type="dxa"/>
            <w:tcBorders>
              <w:top w:val="nil"/>
              <w:left w:val="nil"/>
              <w:bottom w:val="nil"/>
              <w:right w:val="single" w:sz="8" w:space="0" w:color="auto"/>
            </w:tcBorders>
            <w:shd w:val="clear" w:color="auto" w:fill="auto"/>
            <w:vAlign w:val="center"/>
            <w:hideMark/>
          </w:tcPr>
          <w:p w14:paraId="5239C580"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14</w:t>
            </w:r>
          </w:p>
        </w:tc>
        <w:tc>
          <w:tcPr>
            <w:tcW w:w="1101" w:type="dxa"/>
            <w:tcBorders>
              <w:top w:val="nil"/>
              <w:left w:val="nil"/>
              <w:bottom w:val="nil"/>
              <w:right w:val="single" w:sz="8" w:space="0" w:color="auto"/>
            </w:tcBorders>
            <w:shd w:val="clear" w:color="auto" w:fill="auto"/>
            <w:vAlign w:val="center"/>
            <w:hideMark/>
          </w:tcPr>
          <w:p w14:paraId="0D5A9020"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28,141</w:t>
            </w:r>
          </w:p>
        </w:tc>
      </w:tr>
      <w:tr w:rsidR="00D33F7C" w:rsidRPr="00037B23" w14:paraId="3ACB7DA1" w14:textId="77777777" w:rsidTr="00E213CE">
        <w:trPr>
          <w:trHeight w:val="209"/>
        </w:trPr>
        <w:tc>
          <w:tcPr>
            <w:tcW w:w="3498" w:type="dxa"/>
            <w:tcBorders>
              <w:top w:val="nil"/>
              <w:left w:val="single" w:sz="4" w:space="0" w:color="auto"/>
              <w:bottom w:val="nil"/>
              <w:right w:val="nil"/>
            </w:tcBorders>
            <w:shd w:val="clear" w:color="000000" w:fill="B4C6E7"/>
            <w:vAlign w:val="center"/>
            <w:hideMark/>
          </w:tcPr>
          <w:p w14:paraId="54404CA1"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CME Group</w:t>
            </w:r>
          </w:p>
        </w:tc>
        <w:tc>
          <w:tcPr>
            <w:tcW w:w="1170" w:type="dxa"/>
            <w:tcBorders>
              <w:top w:val="nil"/>
              <w:left w:val="single" w:sz="8" w:space="0" w:color="auto"/>
              <w:bottom w:val="nil"/>
              <w:right w:val="single" w:sz="8" w:space="0" w:color="auto"/>
            </w:tcBorders>
            <w:shd w:val="clear" w:color="auto" w:fill="auto"/>
            <w:vAlign w:val="center"/>
            <w:hideMark/>
          </w:tcPr>
          <w:p w14:paraId="41C8A95C"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68,853,242</w:t>
            </w:r>
          </w:p>
        </w:tc>
        <w:tc>
          <w:tcPr>
            <w:tcW w:w="1097" w:type="dxa"/>
            <w:tcBorders>
              <w:top w:val="nil"/>
              <w:left w:val="nil"/>
              <w:bottom w:val="nil"/>
              <w:right w:val="single" w:sz="8" w:space="0" w:color="auto"/>
            </w:tcBorders>
            <w:shd w:val="clear" w:color="auto" w:fill="auto"/>
            <w:vAlign w:val="center"/>
            <w:hideMark/>
          </w:tcPr>
          <w:p w14:paraId="4A160557"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4,786,627</w:t>
            </w:r>
          </w:p>
        </w:tc>
        <w:tc>
          <w:tcPr>
            <w:tcW w:w="1100" w:type="dxa"/>
            <w:tcBorders>
              <w:top w:val="nil"/>
              <w:left w:val="nil"/>
              <w:bottom w:val="nil"/>
              <w:right w:val="single" w:sz="8" w:space="0" w:color="auto"/>
            </w:tcBorders>
            <w:shd w:val="clear" w:color="auto" w:fill="auto"/>
            <w:vAlign w:val="center"/>
            <w:hideMark/>
          </w:tcPr>
          <w:p w14:paraId="49D7A90E"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14,127,912</w:t>
            </w:r>
          </w:p>
        </w:tc>
        <w:tc>
          <w:tcPr>
            <w:tcW w:w="1098" w:type="dxa"/>
            <w:tcBorders>
              <w:top w:val="nil"/>
              <w:left w:val="nil"/>
              <w:bottom w:val="nil"/>
              <w:right w:val="single" w:sz="8" w:space="0" w:color="auto"/>
            </w:tcBorders>
            <w:shd w:val="clear" w:color="auto" w:fill="auto"/>
            <w:vAlign w:val="center"/>
            <w:hideMark/>
          </w:tcPr>
          <w:p w14:paraId="717D5EBE"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12,527,714</w:t>
            </w:r>
          </w:p>
        </w:tc>
        <w:tc>
          <w:tcPr>
            <w:tcW w:w="1096" w:type="dxa"/>
            <w:tcBorders>
              <w:top w:val="nil"/>
              <w:left w:val="nil"/>
              <w:bottom w:val="nil"/>
              <w:right w:val="single" w:sz="8" w:space="0" w:color="auto"/>
            </w:tcBorders>
            <w:shd w:val="clear" w:color="auto" w:fill="auto"/>
            <w:vAlign w:val="center"/>
            <w:hideMark/>
          </w:tcPr>
          <w:p w14:paraId="71A88500"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701,746</w:t>
            </w:r>
          </w:p>
        </w:tc>
        <w:tc>
          <w:tcPr>
            <w:tcW w:w="1101" w:type="dxa"/>
            <w:tcBorders>
              <w:top w:val="nil"/>
              <w:left w:val="nil"/>
              <w:bottom w:val="nil"/>
              <w:right w:val="single" w:sz="8" w:space="0" w:color="auto"/>
            </w:tcBorders>
            <w:shd w:val="clear" w:color="auto" w:fill="auto"/>
            <w:vAlign w:val="center"/>
            <w:hideMark/>
          </w:tcPr>
          <w:p w14:paraId="69033314"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11,114,794</w:t>
            </w:r>
          </w:p>
        </w:tc>
      </w:tr>
      <w:tr w:rsidR="00D33F7C" w:rsidRPr="00037B23" w14:paraId="31B1F9F4" w14:textId="77777777" w:rsidTr="00E213CE">
        <w:trPr>
          <w:trHeight w:val="209"/>
        </w:trPr>
        <w:tc>
          <w:tcPr>
            <w:tcW w:w="3498" w:type="dxa"/>
            <w:tcBorders>
              <w:top w:val="nil"/>
              <w:left w:val="single" w:sz="4" w:space="0" w:color="auto"/>
              <w:bottom w:val="nil"/>
              <w:right w:val="nil"/>
            </w:tcBorders>
            <w:shd w:val="clear" w:color="000000" w:fill="B4C6E7"/>
            <w:vAlign w:val="center"/>
            <w:hideMark/>
          </w:tcPr>
          <w:p w14:paraId="2B9F4A87"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ASX Australian Securities Exchange</w:t>
            </w:r>
          </w:p>
        </w:tc>
        <w:tc>
          <w:tcPr>
            <w:tcW w:w="1170" w:type="dxa"/>
            <w:tcBorders>
              <w:top w:val="nil"/>
              <w:left w:val="single" w:sz="8" w:space="0" w:color="auto"/>
              <w:bottom w:val="nil"/>
              <w:right w:val="single" w:sz="8" w:space="0" w:color="auto"/>
            </w:tcBorders>
            <w:shd w:val="clear" w:color="auto" w:fill="auto"/>
            <w:vAlign w:val="center"/>
            <w:hideMark/>
          </w:tcPr>
          <w:p w14:paraId="18FAE9FF"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114,474</w:t>
            </w:r>
          </w:p>
        </w:tc>
        <w:tc>
          <w:tcPr>
            <w:tcW w:w="1097" w:type="dxa"/>
            <w:tcBorders>
              <w:top w:val="nil"/>
              <w:left w:val="nil"/>
              <w:bottom w:val="nil"/>
              <w:right w:val="single" w:sz="8" w:space="0" w:color="auto"/>
            </w:tcBorders>
            <w:shd w:val="clear" w:color="auto" w:fill="auto"/>
            <w:vAlign w:val="center"/>
            <w:hideMark/>
          </w:tcPr>
          <w:p w14:paraId="6CEFA404"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5,251</w:t>
            </w:r>
          </w:p>
        </w:tc>
        <w:tc>
          <w:tcPr>
            <w:tcW w:w="1100" w:type="dxa"/>
            <w:tcBorders>
              <w:top w:val="nil"/>
              <w:left w:val="nil"/>
              <w:bottom w:val="nil"/>
              <w:right w:val="single" w:sz="8" w:space="0" w:color="auto"/>
            </w:tcBorders>
            <w:shd w:val="clear" w:color="auto" w:fill="auto"/>
            <w:vAlign w:val="center"/>
            <w:hideMark/>
          </w:tcPr>
          <w:p w14:paraId="40741920"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196,329</w:t>
            </w:r>
          </w:p>
        </w:tc>
        <w:tc>
          <w:tcPr>
            <w:tcW w:w="1098" w:type="dxa"/>
            <w:tcBorders>
              <w:top w:val="nil"/>
              <w:left w:val="nil"/>
              <w:bottom w:val="nil"/>
              <w:right w:val="single" w:sz="8" w:space="0" w:color="auto"/>
            </w:tcBorders>
            <w:shd w:val="clear" w:color="auto" w:fill="auto"/>
            <w:vAlign w:val="center"/>
            <w:hideMark/>
          </w:tcPr>
          <w:p w14:paraId="40F4BB37"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9,280</w:t>
            </w:r>
          </w:p>
        </w:tc>
        <w:tc>
          <w:tcPr>
            <w:tcW w:w="1096" w:type="dxa"/>
            <w:tcBorders>
              <w:top w:val="nil"/>
              <w:left w:val="nil"/>
              <w:bottom w:val="nil"/>
              <w:right w:val="single" w:sz="8" w:space="0" w:color="auto"/>
            </w:tcBorders>
            <w:shd w:val="clear" w:color="auto" w:fill="auto"/>
            <w:vAlign w:val="center"/>
            <w:hideMark/>
          </w:tcPr>
          <w:p w14:paraId="07BEF79D"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1,998</w:t>
            </w:r>
          </w:p>
        </w:tc>
        <w:tc>
          <w:tcPr>
            <w:tcW w:w="1101" w:type="dxa"/>
            <w:tcBorders>
              <w:top w:val="nil"/>
              <w:left w:val="nil"/>
              <w:bottom w:val="nil"/>
              <w:right w:val="single" w:sz="8" w:space="0" w:color="auto"/>
            </w:tcBorders>
            <w:shd w:val="clear" w:color="auto" w:fill="auto"/>
            <w:vAlign w:val="center"/>
            <w:hideMark/>
          </w:tcPr>
          <w:p w14:paraId="442DF237"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43,335</w:t>
            </w:r>
          </w:p>
        </w:tc>
      </w:tr>
      <w:tr w:rsidR="00D33F7C" w:rsidRPr="00037B23" w14:paraId="479A7B79" w14:textId="77777777" w:rsidTr="00E213CE">
        <w:trPr>
          <w:trHeight w:val="209"/>
        </w:trPr>
        <w:tc>
          <w:tcPr>
            <w:tcW w:w="3498" w:type="dxa"/>
            <w:tcBorders>
              <w:top w:val="nil"/>
              <w:left w:val="single" w:sz="4" w:space="0" w:color="auto"/>
              <w:bottom w:val="nil"/>
              <w:right w:val="nil"/>
            </w:tcBorders>
            <w:shd w:val="clear" w:color="000000" w:fill="B4C6E7"/>
            <w:vAlign w:val="center"/>
            <w:hideMark/>
          </w:tcPr>
          <w:p w14:paraId="13CED48B"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Hong Kong Exchanges and Clearing</w:t>
            </w:r>
          </w:p>
        </w:tc>
        <w:tc>
          <w:tcPr>
            <w:tcW w:w="1170" w:type="dxa"/>
            <w:tcBorders>
              <w:top w:val="nil"/>
              <w:left w:val="single" w:sz="8" w:space="0" w:color="auto"/>
              <w:bottom w:val="nil"/>
              <w:right w:val="single" w:sz="8" w:space="0" w:color="auto"/>
            </w:tcBorders>
            <w:shd w:val="clear" w:color="auto" w:fill="auto"/>
            <w:vAlign w:val="center"/>
            <w:hideMark/>
          </w:tcPr>
          <w:p w14:paraId="00BC963E"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25,547</w:t>
            </w:r>
          </w:p>
        </w:tc>
        <w:tc>
          <w:tcPr>
            <w:tcW w:w="1097" w:type="dxa"/>
            <w:tcBorders>
              <w:top w:val="nil"/>
              <w:left w:val="nil"/>
              <w:bottom w:val="nil"/>
              <w:right w:val="single" w:sz="8" w:space="0" w:color="auto"/>
            </w:tcBorders>
            <w:shd w:val="clear" w:color="auto" w:fill="auto"/>
            <w:vAlign w:val="center"/>
            <w:hideMark/>
          </w:tcPr>
          <w:p w14:paraId="5DDC6F69"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851</w:t>
            </w:r>
          </w:p>
        </w:tc>
        <w:tc>
          <w:tcPr>
            <w:tcW w:w="1100" w:type="dxa"/>
            <w:tcBorders>
              <w:top w:val="nil"/>
              <w:left w:val="nil"/>
              <w:bottom w:val="nil"/>
              <w:right w:val="single" w:sz="8" w:space="0" w:color="auto"/>
            </w:tcBorders>
            <w:shd w:val="clear" w:color="auto" w:fill="auto"/>
            <w:vAlign w:val="center"/>
            <w:hideMark/>
          </w:tcPr>
          <w:p w14:paraId="6CAAF366"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1,132</w:t>
            </w:r>
          </w:p>
        </w:tc>
        <w:tc>
          <w:tcPr>
            <w:tcW w:w="1098" w:type="dxa"/>
            <w:tcBorders>
              <w:top w:val="nil"/>
              <w:left w:val="nil"/>
              <w:bottom w:val="nil"/>
              <w:right w:val="single" w:sz="8" w:space="0" w:color="auto"/>
            </w:tcBorders>
            <w:shd w:val="clear" w:color="auto" w:fill="auto"/>
            <w:vAlign w:val="center"/>
            <w:hideMark/>
          </w:tcPr>
          <w:p w14:paraId="754876B4"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1096" w:type="dxa"/>
            <w:tcBorders>
              <w:top w:val="nil"/>
              <w:left w:val="nil"/>
              <w:bottom w:val="nil"/>
              <w:right w:val="single" w:sz="8" w:space="0" w:color="auto"/>
            </w:tcBorders>
            <w:shd w:val="clear" w:color="auto" w:fill="auto"/>
            <w:vAlign w:val="center"/>
            <w:hideMark/>
          </w:tcPr>
          <w:p w14:paraId="77FED1E5"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1101" w:type="dxa"/>
            <w:tcBorders>
              <w:top w:val="nil"/>
              <w:left w:val="nil"/>
              <w:bottom w:val="nil"/>
              <w:right w:val="single" w:sz="8" w:space="0" w:color="auto"/>
            </w:tcBorders>
            <w:shd w:val="clear" w:color="auto" w:fill="auto"/>
            <w:vAlign w:val="center"/>
            <w:hideMark/>
          </w:tcPr>
          <w:p w14:paraId="05C73DCC"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r>
      <w:tr w:rsidR="00D33F7C" w:rsidRPr="00037B23" w14:paraId="3E0C25DC" w14:textId="77777777" w:rsidTr="00E213CE">
        <w:trPr>
          <w:trHeight w:val="209"/>
        </w:trPr>
        <w:tc>
          <w:tcPr>
            <w:tcW w:w="3498" w:type="dxa"/>
            <w:tcBorders>
              <w:top w:val="nil"/>
              <w:left w:val="single" w:sz="4" w:space="0" w:color="auto"/>
              <w:bottom w:val="nil"/>
              <w:right w:val="nil"/>
            </w:tcBorders>
            <w:shd w:val="clear" w:color="000000" w:fill="B4C6E7"/>
            <w:vAlign w:val="center"/>
            <w:hideMark/>
          </w:tcPr>
          <w:p w14:paraId="0C7FABEC"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National Stock Exchange of India</w:t>
            </w:r>
          </w:p>
        </w:tc>
        <w:tc>
          <w:tcPr>
            <w:tcW w:w="1170" w:type="dxa"/>
            <w:tcBorders>
              <w:top w:val="nil"/>
              <w:left w:val="single" w:sz="8" w:space="0" w:color="auto"/>
              <w:bottom w:val="nil"/>
              <w:right w:val="single" w:sz="8" w:space="0" w:color="auto"/>
            </w:tcBorders>
            <w:shd w:val="clear" w:color="auto" w:fill="auto"/>
            <w:vAlign w:val="center"/>
            <w:hideMark/>
          </w:tcPr>
          <w:p w14:paraId="18F343D8"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2,353</w:t>
            </w:r>
          </w:p>
        </w:tc>
        <w:tc>
          <w:tcPr>
            <w:tcW w:w="1097" w:type="dxa"/>
            <w:tcBorders>
              <w:top w:val="nil"/>
              <w:left w:val="nil"/>
              <w:bottom w:val="nil"/>
              <w:right w:val="single" w:sz="8" w:space="0" w:color="auto"/>
            </w:tcBorders>
            <w:shd w:val="clear" w:color="auto" w:fill="auto"/>
            <w:vAlign w:val="center"/>
            <w:hideMark/>
          </w:tcPr>
          <w:p w14:paraId="477E7768"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43</w:t>
            </w:r>
          </w:p>
        </w:tc>
        <w:tc>
          <w:tcPr>
            <w:tcW w:w="1100" w:type="dxa"/>
            <w:tcBorders>
              <w:top w:val="nil"/>
              <w:left w:val="nil"/>
              <w:bottom w:val="nil"/>
              <w:right w:val="single" w:sz="8" w:space="0" w:color="auto"/>
            </w:tcBorders>
            <w:shd w:val="clear" w:color="auto" w:fill="auto"/>
            <w:vAlign w:val="center"/>
            <w:hideMark/>
          </w:tcPr>
          <w:p w14:paraId="59B7A4A0"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72</w:t>
            </w:r>
          </w:p>
        </w:tc>
        <w:tc>
          <w:tcPr>
            <w:tcW w:w="1098" w:type="dxa"/>
            <w:tcBorders>
              <w:top w:val="nil"/>
              <w:left w:val="nil"/>
              <w:bottom w:val="nil"/>
              <w:right w:val="single" w:sz="8" w:space="0" w:color="auto"/>
            </w:tcBorders>
            <w:shd w:val="clear" w:color="auto" w:fill="auto"/>
            <w:vAlign w:val="center"/>
            <w:hideMark/>
          </w:tcPr>
          <w:p w14:paraId="753371C7"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17,568</w:t>
            </w:r>
          </w:p>
        </w:tc>
        <w:tc>
          <w:tcPr>
            <w:tcW w:w="1096" w:type="dxa"/>
            <w:tcBorders>
              <w:top w:val="nil"/>
              <w:left w:val="nil"/>
              <w:bottom w:val="nil"/>
              <w:right w:val="single" w:sz="8" w:space="0" w:color="auto"/>
            </w:tcBorders>
            <w:shd w:val="clear" w:color="auto" w:fill="auto"/>
            <w:vAlign w:val="center"/>
            <w:hideMark/>
          </w:tcPr>
          <w:p w14:paraId="51A0CF76"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117</w:t>
            </w:r>
          </w:p>
        </w:tc>
        <w:tc>
          <w:tcPr>
            <w:tcW w:w="1101" w:type="dxa"/>
            <w:tcBorders>
              <w:top w:val="nil"/>
              <w:left w:val="nil"/>
              <w:bottom w:val="nil"/>
              <w:right w:val="single" w:sz="8" w:space="0" w:color="auto"/>
            </w:tcBorders>
            <w:shd w:val="clear" w:color="auto" w:fill="auto"/>
            <w:vAlign w:val="center"/>
            <w:hideMark/>
          </w:tcPr>
          <w:p w14:paraId="2143B890"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2,388</w:t>
            </w:r>
          </w:p>
        </w:tc>
      </w:tr>
      <w:tr w:rsidR="00D33F7C" w:rsidRPr="00037B23" w14:paraId="77E86DE6" w14:textId="77777777" w:rsidTr="00E213CE">
        <w:trPr>
          <w:trHeight w:val="209"/>
        </w:trPr>
        <w:tc>
          <w:tcPr>
            <w:tcW w:w="3498" w:type="dxa"/>
            <w:tcBorders>
              <w:top w:val="nil"/>
              <w:left w:val="single" w:sz="4" w:space="0" w:color="auto"/>
              <w:bottom w:val="nil"/>
              <w:right w:val="nil"/>
            </w:tcBorders>
            <w:shd w:val="clear" w:color="000000" w:fill="B4C6E7"/>
            <w:vAlign w:val="center"/>
            <w:hideMark/>
          </w:tcPr>
          <w:p w14:paraId="73152F94"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NZX Limited</w:t>
            </w:r>
          </w:p>
        </w:tc>
        <w:tc>
          <w:tcPr>
            <w:tcW w:w="1170" w:type="dxa"/>
            <w:tcBorders>
              <w:top w:val="nil"/>
              <w:left w:val="single" w:sz="8" w:space="0" w:color="auto"/>
              <w:bottom w:val="nil"/>
              <w:right w:val="single" w:sz="8" w:space="0" w:color="auto"/>
            </w:tcBorders>
            <w:shd w:val="clear" w:color="auto" w:fill="auto"/>
            <w:vAlign w:val="center"/>
            <w:hideMark/>
          </w:tcPr>
          <w:p w14:paraId="0ECF259F"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18,689</w:t>
            </w:r>
          </w:p>
        </w:tc>
        <w:tc>
          <w:tcPr>
            <w:tcW w:w="1097" w:type="dxa"/>
            <w:tcBorders>
              <w:top w:val="nil"/>
              <w:left w:val="nil"/>
              <w:bottom w:val="nil"/>
              <w:right w:val="single" w:sz="8" w:space="0" w:color="auto"/>
            </w:tcBorders>
            <w:shd w:val="clear" w:color="auto" w:fill="auto"/>
            <w:vAlign w:val="center"/>
            <w:hideMark/>
          </w:tcPr>
          <w:p w14:paraId="3BE30B1F"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130</w:t>
            </w:r>
          </w:p>
        </w:tc>
        <w:tc>
          <w:tcPr>
            <w:tcW w:w="1100" w:type="dxa"/>
            <w:tcBorders>
              <w:top w:val="nil"/>
              <w:left w:val="nil"/>
              <w:bottom w:val="nil"/>
              <w:right w:val="single" w:sz="8" w:space="0" w:color="auto"/>
            </w:tcBorders>
            <w:shd w:val="clear" w:color="auto" w:fill="auto"/>
            <w:vAlign w:val="center"/>
            <w:hideMark/>
          </w:tcPr>
          <w:p w14:paraId="102E6D3F"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50,869</w:t>
            </w:r>
          </w:p>
        </w:tc>
        <w:tc>
          <w:tcPr>
            <w:tcW w:w="1098" w:type="dxa"/>
            <w:tcBorders>
              <w:top w:val="nil"/>
              <w:left w:val="nil"/>
              <w:bottom w:val="nil"/>
              <w:right w:val="single" w:sz="8" w:space="0" w:color="auto"/>
            </w:tcBorders>
            <w:shd w:val="clear" w:color="auto" w:fill="auto"/>
            <w:vAlign w:val="center"/>
            <w:hideMark/>
          </w:tcPr>
          <w:p w14:paraId="6021BA37"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990</w:t>
            </w:r>
          </w:p>
        </w:tc>
        <w:tc>
          <w:tcPr>
            <w:tcW w:w="1096" w:type="dxa"/>
            <w:tcBorders>
              <w:top w:val="nil"/>
              <w:left w:val="nil"/>
              <w:bottom w:val="nil"/>
              <w:right w:val="single" w:sz="8" w:space="0" w:color="auto"/>
            </w:tcBorders>
            <w:shd w:val="clear" w:color="auto" w:fill="auto"/>
            <w:vAlign w:val="center"/>
            <w:hideMark/>
          </w:tcPr>
          <w:p w14:paraId="08F1AFE4"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10</w:t>
            </w:r>
          </w:p>
        </w:tc>
        <w:tc>
          <w:tcPr>
            <w:tcW w:w="1101" w:type="dxa"/>
            <w:tcBorders>
              <w:top w:val="nil"/>
              <w:left w:val="nil"/>
              <w:bottom w:val="nil"/>
              <w:right w:val="single" w:sz="8" w:space="0" w:color="auto"/>
            </w:tcBorders>
            <w:shd w:val="clear" w:color="auto" w:fill="auto"/>
            <w:vAlign w:val="center"/>
            <w:hideMark/>
          </w:tcPr>
          <w:p w14:paraId="3AF5847C"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7,488</w:t>
            </w:r>
          </w:p>
        </w:tc>
      </w:tr>
      <w:tr w:rsidR="00D33F7C" w:rsidRPr="00037B23" w14:paraId="40FB117E" w14:textId="77777777" w:rsidTr="00E213CE">
        <w:trPr>
          <w:trHeight w:val="209"/>
        </w:trPr>
        <w:tc>
          <w:tcPr>
            <w:tcW w:w="3498" w:type="dxa"/>
            <w:tcBorders>
              <w:top w:val="nil"/>
              <w:left w:val="single" w:sz="4" w:space="0" w:color="auto"/>
              <w:bottom w:val="nil"/>
              <w:right w:val="nil"/>
            </w:tcBorders>
            <w:shd w:val="clear" w:color="000000" w:fill="B4C6E7"/>
            <w:vAlign w:val="center"/>
            <w:hideMark/>
          </w:tcPr>
          <w:p w14:paraId="2ACCFD21"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Singapore Exchange</w:t>
            </w:r>
          </w:p>
        </w:tc>
        <w:tc>
          <w:tcPr>
            <w:tcW w:w="1170" w:type="dxa"/>
            <w:tcBorders>
              <w:top w:val="nil"/>
              <w:left w:val="single" w:sz="8" w:space="0" w:color="auto"/>
              <w:bottom w:val="nil"/>
              <w:right w:val="single" w:sz="8" w:space="0" w:color="auto"/>
            </w:tcBorders>
            <w:shd w:val="clear" w:color="auto" w:fill="auto"/>
            <w:vAlign w:val="center"/>
            <w:hideMark/>
          </w:tcPr>
          <w:p w14:paraId="1517961C"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1,943,200</w:t>
            </w:r>
          </w:p>
        </w:tc>
        <w:tc>
          <w:tcPr>
            <w:tcW w:w="1097" w:type="dxa"/>
            <w:tcBorders>
              <w:top w:val="nil"/>
              <w:left w:val="nil"/>
              <w:bottom w:val="nil"/>
              <w:right w:val="single" w:sz="8" w:space="0" w:color="auto"/>
            </w:tcBorders>
            <w:shd w:val="clear" w:color="auto" w:fill="auto"/>
            <w:vAlign w:val="center"/>
            <w:hideMark/>
          </w:tcPr>
          <w:p w14:paraId="44E66FB6"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1100" w:type="dxa"/>
            <w:tcBorders>
              <w:top w:val="nil"/>
              <w:left w:val="nil"/>
              <w:bottom w:val="nil"/>
              <w:right w:val="single" w:sz="8" w:space="0" w:color="auto"/>
            </w:tcBorders>
            <w:shd w:val="clear" w:color="auto" w:fill="auto"/>
            <w:vAlign w:val="center"/>
            <w:hideMark/>
          </w:tcPr>
          <w:p w14:paraId="57587427"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1,105,747</w:t>
            </w:r>
          </w:p>
        </w:tc>
        <w:tc>
          <w:tcPr>
            <w:tcW w:w="1098" w:type="dxa"/>
            <w:tcBorders>
              <w:top w:val="nil"/>
              <w:left w:val="nil"/>
              <w:bottom w:val="nil"/>
              <w:right w:val="single" w:sz="8" w:space="0" w:color="auto"/>
            </w:tcBorders>
            <w:shd w:val="clear" w:color="auto" w:fill="auto"/>
            <w:vAlign w:val="center"/>
            <w:hideMark/>
          </w:tcPr>
          <w:p w14:paraId="776CF09A"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381,223</w:t>
            </w:r>
          </w:p>
        </w:tc>
        <w:tc>
          <w:tcPr>
            <w:tcW w:w="1096" w:type="dxa"/>
            <w:tcBorders>
              <w:top w:val="nil"/>
              <w:left w:val="nil"/>
              <w:bottom w:val="nil"/>
              <w:right w:val="single" w:sz="8" w:space="0" w:color="auto"/>
            </w:tcBorders>
            <w:shd w:val="clear" w:color="auto" w:fill="auto"/>
            <w:vAlign w:val="center"/>
            <w:hideMark/>
          </w:tcPr>
          <w:p w14:paraId="29574E7D"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1101" w:type="dxa"/>
            <w:tcBorders>
              <w:top w:val="nil"/>
              <w:left w:val="nil"/>
              <w:bottom w:val="nil"/>
              <w:right w:val="single" w:sz="8" w:space="0" w:color="auto"/>
            </w:tcBorders>
            <w:shd w:val="clear" w:color="auto" w:fill="auto"/>
            <w:vAlign w:val="center"/>
            <w:hideMark/>
          </w:tcPr>
          <w:p w14:paraId="156AE5B5"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780,898</w:t>
            </w:r>
          </w:p>
        </w:tc>
      </w:tr>
      <w:tr w:rsidR="00D33F7C" w:rsidRPr="00037B23" w14:paraId="0C4B0774" w14:textId="77777777" w:rsidTr="00E213CE">
        <w:trPr>
          <w:trHeight w:val="209"/>
        </w:trPr>
        <w:tc>
          <w:tcPr>
            <w:tcW w:w="3498" w:type="dxa"/>
            <w:tcBorders>
              <w:top w:val="nil"/>
              <w:left w:val="single" w:sz="4" w:space="0" w:color="auto"/>
              <w:bottom w:val="nil"/>
              <w:right w:val="nil"/>
            </w:tcBorders>
            <w:shd w:val="clear" w:color="000000" w:fill="B4C6E7"/>
            <w:vAlign w:val="center"/>
            <w:hideMark/>
          </w:tcPr>
          <w:p w14:paraId="7ADAE636"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Taiwan Futures Exchange</w:t>
            </w:r>
          </w:p>
        </w:tc>
        <w:tc>
          <w:tcPr>
            <w:tcW w:w="1170" w:type="dxa"/>
            <w:tcBorders>
              <w:top w:val="nil"/>
              <w:left w:val="single" w:sz="8" w:space="0" w:color="auto"/>
              <w:bottom w:val="nil"/>
              <w:right w:val="single" w:sz="8" w:space="0" w:color="auto"/>
            </w:tcBorders>
            <w:shd w:val="clear" w:color="auto" w:fill="auto"/>
            <w:vAlign w:val="center"/>
            <w:hideMark/>
          </w:tcPr>
          <w:p w14:paraId="3ABEA4D9"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13,866</w:t>
            </w:r>
          </w:p>
        </w:tc>
        <w:tc>
          <w:tcPr>
            <w:tcW w:w="1097" w:type="dxa"/>
            <w:tcBorders>
              <w:top w:val="nil"/>
              <w:left w:val="nil"/>
              <w:bottom w:val="nil"/>
              <w:right w:val="single" w:sz="8" w:space="0" w:color="auto"/>
            </w:tcBorders>
            <w:shd w:val="clear" w:color="auto" w:fill="auto"/>
            <w:vAlign w:val="center"/>
            <w:hideMark/>
          </w:tcPr>
          <w:p w14:paraId="3EC6DCCB"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272</w:t>
            </w:r>
          </w:p>
        </w:tc>
        <w:tc>
          <w:tcPr>
            <w:tcW w:w="1100" w:type="dxa"/>
            <w:tcBorders>
              <w:top w:val="nil"/>
              <w:left w:val="nil"/>
              <w:bottom w:val="nil"/>
              <w:right w:val="single" w:sz="8" w:space="0" w:color="auto"/>
            </w:tcBorders>
            <w:shd w:val="clear" w:color="auto" w:fill="auto"/>
            <w:vAlign w:val="center"/>
            <w:hideMark/>
          </w:tcPr>
          <w:p w14:paraId="6E1127EB"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1,519</w:t>
            </w:r>
          </w:p>
        </w:tc>
        <w:tc>
          <w:tcPr>
            <w:tcW w:w="1098" w:type="dxa"/>
            <w:tcBorders>
              <w:top w:val="nil"/>
              <w:left w:val="nil"/>
              <w:bottom w:val="nil"/>
              <w:right w:val="single" w:sz="8" w:space="0" w:color="auto"/>
            </w:tcBorders>
            <w:shd w:val="clear" w:color="auto" w:fill="auto"/>
            <w:vAlign w:val="center"/>
            <w:hideMark/>
          </w:tcPr>
          <w:p w14:paraId="233549D9"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2,327</w:t>
            </w:r>
          </w:p>
        </w:tc>
        <w:tc>
          <w:tcPr>
            <w:tcW w:w="1096" w:type="dxa"/>
            <w:tcBorders>
              <w:top w:val="nil"/>
              <w:left w:val="nil"/>
              <w:bottom w:val="nil"/>
              <w:right w:val="single" w:sz="8" w:space="0" w:color="auto"/>
            </w:tcBorders>
            <w:shd w:val="clear" w:color="auto" w:fill="auto"/>
            <w:vAlign w:val="center"/>
            <w:hideMark/>
          </w:tcPr>
          <w:p w14:paraId="4E5EDDD3"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26</w:t>
            </w:r>
          </w:p>
        </w:tc>
        <w:tc>
          <w:tcPr>
            <w:tcW w:w="1101" w:type="dxa"/>
            <w:tcBorders>
              <w:top w:val="nil"/>
              <w:left w:val="nil"/>
              <w:bottom w:val="nil"/>
              <w:right w:val="single" w:sz="8" w:space="0" w:color="auto"/>
            </w:tcBorders>
            <w:shd w:val="clear" w:color="auto" w:fill="auto"/>
            <w:vAlign w:val="center"/>
            <w:hideMark/>
          </w:tcPr>
          <w:p w14:paraId="2870D93F"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782</w:t>
            </w:r>
          </w:p>
        </w:tc>
      </w:tr>
      <w:tr w:rsidR="00D33F7C" w:rsidRPr="00037B23" w14:paraId="4772221B" w14:textId="77777777" w:rsidTr="00E213CE">
        <w:trPr>
          <w:trHeight w:val="209"/>
        </w:trPr>
        <w:tc>
          <w:tcPr>
            <w:tcW w:w="3498" w:type="dxa"/>
            <w:tcBorders>
              <w:top w:val="nil"/>
              <w:left w:val="single" w:sz="4" w:space="0" w:color="auto"/>
              <w:bottom w:val="nil"/>
              <w:right w:val="nil"/>
            </w:tcBorders>
            <w:shd w:val="clear" w:color="000000" w:fill="B4C6E7"/>
            <w:vAlign w:val="center"/>
            <w:hideMark/>
          </w:tcPr>
          <w:p w14:paraId="35699E25"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Thailand Futures Exchange</w:t>
            </w:r>
          </w:p>
        </w:tc>
        <w:tc>
          <w:tcPr>
            <w:tcW w:w="1170" w:type="dxa"/>
            <w:tcBorders>
              <w:top w:val="nil"/>
              <w:left w:val="single" w:sz="8" w:space="0" w:color="auto"/>
              <w:bottom w:val="nil"/>
              <w:right w:val="single" w:sz="8" w:space="0" w:color="auto"/>
            </w:tcBorders>
            <w:shd w:val="clear" w:color="auto" w:fill="auto"/>
            <w:vAlign w:val="center"/>
            <w:hideMark/>
          </w:tcPr>
          <w:p w14:paraId="2FE4C357"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921,925</w:t>
            </w:r>
          </w:p>
        </w:tc>
        <w:tc>
          <w:tcPr>
            <w:tcW w:w="1097" w:type="dxa"/>
            <w:tcBorders>
              <w:top w:val="nil"/>
              <w:left w:val="nil"/>
              <w:bottom w:val="nil"/>
              <w:right w:val="single" w:sz="8" w:space="0" w:color="auto"/>
            </w:tcBorders>
            <w:shd w:val="clear" w:color="auto" w:fill="auto"/>
            <w:vAlign w:val="center"/>
            <w:hideMark/>
          </w:tcPr>
          <w:p w14:paraId="7626A889"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1100" w:type="dxa"/>
            <w:tcBorders>
              <w:top w:val="nil"/>
              <w:left w:val="nil"/>
              <w:bottom w:val="nil"/>
              <w:right w:val="single" w:sz="8" w:space="0" w:color="auto"/>
            </w:tcBorders>
            <w:shd w:val="clear" w:color="auto" w:fill="auto"/>
            <w:vAlign w:val="center"/>
            <w:hideMark/>
          </w:tcPr>
          <w:p w14:paraId="441C77FF"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46,758</w:t>
            </w:r>
          </w:p>
        </w:tc>
        <w:tc>
          <w:tcPr>
            <w:tcW w:w="1098" w:type="dxa"/>
            <w:tcBorders>
              <w:top w:val="nil"/>
              <w:left w:val="nil"/>
              <w:bottom w:val="nil"/>
              <w:right w:val="single" w:sz="8" w:space="0" w:color="auto"/>
            </w:tcBorders>
            <w:shd w:val="clear" w:color="auto" w:fill="auto"/>
            <w:vAlign w:val="center"/>
            <w:hideMark/>
          </w:tcPr>
          <w:p w14:paraId="13343E97"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1096" w:type="dxa"/>
            <w:tcBorders>
              <w:top w:val="nil"/>
              <w:left w:val="nil"/>
              <w:bottom w:val="nil"/>
              <w:right w:val="single" w:sz="8" w:space="0" w:color="auto"/>
            </w:tcBorders>
            <w:shd w:val="clear" w:color="auto" w:fill="auto"/>
            <w:vAlign w:val="center"/>
            <w:hideMark/>
          </w:tcPr>
          <w:p w14:paraId="5651EF3C"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1101" w:type="dxa"/>
            <w:tcBorders>
              <w:top w:val="nil"/>
              <w:left w:val="nil"/>
              <w:bottom w:val="nil"/>
              <w:right w:val="single" w:sz="8" w:space="0" w:color="auto"/>
            </w:tcBorders>
            <w:shd w:val="clear" w:color="auto" w:fill="auto"/>
            <w:vAlign w:val="center"/>
            <w:hideMark/>
          </w:tcPr>
          <w:p w14:paraId="2053BC79"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r>
      <w:tr w:rsidR="00D33F7C" w:rsidRPr="00037B23" w14:paraId="4CAD8274" w14:textId="77777777" w:rsidTr="00E213CE">
        <w:trPr>
          <w:trHeight w:val="209"/>
        </w:trPr>
        <w:tc>
          <w:tcPr>
            <w:tcW w:w="3498" w:type="dxa"/>
            <w:tcBorders>
              <w:top w:val="nil"/>
              <w:left w:val="single" w:sz="4" w:space="0" w:color="auto"/>
              <w:bottom w:val="nil"/>
              <w:right w:val="nil"/>
            </w:tcBorders>
            <w:shd w:val="clear" w:color="000000" w:fill="B4C6E7"/>
            <w:vAlign w:val="center"/>
            <w:hideMark/>
          </w:tcPr>
          <w:p w14:paraId="00934FD6"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Bursa Malaysia Derivatives</w:t>
            </w:r>
          </w:p>
        </w:tc>
        <w:tc>
          <w:tcPr>
            <w:tcW w:w="1170" w:type="dxa"/>
            <w:tcBorders>
              <w:top w:val="nil"/>
              <w:left w:val="single" w:sz="8" w:space="0" w:color="auto"/>
              <w:bottom w:val="nil"/>
              <w:right w:val="single" w:sz="8" w:space="0" w:color="auto"/>
            </w:tcBorders>
            <w:shd w:val="clear" w:color="auto" w:fill="auto"/>
            <w:vAlign w:val="center"/>
            <w:hideMark/>
          </w:tcPr>
          <w:p w14:paraId="2E6A790B"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1,174,934</w:t>
            </w:r>
          </w:p>
        </w:tc>
        <w:tc>
          <w:tcPr>
            <w:tcW w:w="1097" w:type="dxa"/>
            <w:tcBorders>
              <w:top w:val="nil"/>
              <w:left w:val="nil"/>
              <w:bottom w:val="nil"/>
              <w:right w:val="single" w:sz="8" w:space="0" w:color="auto"/>
            </w:tcBorders>
            <w:shd w:val="clear" w:color="auto" w:fill="auto"/>
            <w:vAlign w:val="center"/>
            <w:hideMark/>
          </w:tcPr>
          <w:p w14:paraId="45B26C98"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28,299</w:t>
            </w:r>
          </w:p>
        </w:tc>
        <w:tc>
          <w:tcPr>
            <w:tcW w:w="1100" w:type="dxa"/>
            <w:tcBorders>
              <w:top w:val="nil"/>
              <w:left w:val="nil"/>
              <w:bottom w:val="nil"/>
              <w:right w:val="single" w:sz="8" w:space="0" w:color="auto"/>
            </w:tcBorders>
            <w:shd w:val="clear" w:color="auto" w:fill="auto"/>
            <w:vAlign w:val="center"/>
            <w:hideMark/>
          </w:tcPr>
          <w:p w14:paraId="68FCE124"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183,934</w:t>
            </w:r>
          </w:p>
        </w:tc>
        <w:tc>
          <w:tcPr>
            <w:tcW w:w="1098" w:type="dxa"/>
            <w:tcBorders>
              <w:top w:val="nil"/>
              <w:left w:val="nil"/>
              <w:bottom w:val="nil"/>
              <w:right w:val="single" w:sz="8" w:space="0" w:color="auto"/>
            </w:tcBorders>
            <w:shd w:val="clear" w:color="auto" w:fill="auto"/>
            <w:vAlign w:val="center"/>
            <w:hideMark/>
          </w:tcPr>
          <w:p w14:paraId="48560309"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9,700</w:t>
            </w:r>
          </w:p>
        </w:tc>
        <w:tc>
          <w:tcPr>
            <w:tcW w:w="1096" w:type="dxa"/>
            <w:tcBorders>
              <w:top w:val="nil"/>
              <w:left w:val="nil"/>
              <w:bottom w:val="nil"/>
              <w:right w:val="single" w:sz="8" w:space="0" w:color="auto"/>
            </w:tcBorders>
            <w:shd w:val="clear" w:color="auto" w:fill="auto"/>
            <w:vAlign w:val="center"/>
            <w:hideMark/>
          </w:tcPr>
          <w:p w14:paraId="26BF4BC2"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0</w:t>
            </w:r>
          </w:p>
        </w:tc>
        <w:tc>
          <w:tcPr>
            <w:tcW w:w="1101" w:type="dxa"/>
            <w:tcBorders>
              <w:top w:val="nil"/>
              <w:left w:val="nil"/>
              <w:bottom w:val="nil"/>
              <w:right w:val="single" w:sz="8" w:space="0" w:color="auto"/>
            </w:tcBorders>
            <w:shd w:val="clear" w:color="auto" w:fill="auto"/>
            <w:vAlign w:val="center"/>
            <w:hideMark/>
          </w:tcPr>
          <w:p w14:paraId="13CA2300"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29,800</w:t>
            </w:r>
          </w:p>
        </w:tc>
      </w:tr>
      <w:tr w:rsidR="00D33F7C" w:rsidRPr="00037B23" w14:paraId="377AEA75" w14:textId="77777777" w:rsidTr="00E213CE">
        <w:trPr>
          <w:trHeight w:val="209"/>
        </w:trPr>
        <w:tc>
          <w:tcPr>
            <w:tcW w:w="3498" w:type="dxa"/>
            <w:tcBorders>
              <w:top w:val="nil"/>
              <w:left w:val="single" w:sz="4" w:space="0" w:color="auto"/>
              <w:bottom w:val="nil"/>
              <w:right w:val="nil"/>
            </w:tcBorders>
            <w:shd w:val="clear" w:color="000000" w:fill="B4C6E7"/>
            <w:vAlign w:val="center"/>
            <w:hideMark/>
          </w:tcPr>
          <w:p w14:paraId="3772729C"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Zhengzhou Commodity Exchange</w:t>
            </w:r>
          </w:p>
        </w:tc>
        <w:tc>
          <w:tcPr>
            <w:tcW w:w="1170" w:type="dxa"/>
            <w:tcBorders>
              <w:top w:val="nil"/>
              <w:left w:val="single" w:sz="8" w:space="0" w:color="auto"/>
              <w:bottom w:val="nil"/>
              <w:right w:val="single" w:sz="8" w:space="0" w:color="auto"/>
            </w:tcBorders>
            <w:shd w:val="clear" w:color="auto" w:fill="auto"/>
            <w:vAlign w:val="center"/>
            <w:hideMark/>
          </w:tcPr>
          <w:p w14:paraId="3CA395AD"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229,658,618</w:t>
            </w:r>
          </w:p>
        </w:tc>
        <w:tc>
          <w:tcPr>
            <w:tcW w:w="1097" w:type="dxa"/>
            <w:tcBorders>
              <w:top w:val="nil"/>
              <w:left w:val="nil"/>
              <w:bottom w:val="nil"/>
              <w:right w:val="single" w:sz="8" w:space="0" w:color="auto"/>
            </w:tcBorders>
            <w:shd w:val="clear" w:color="auto" w:fill="auto"/>
            <w:vAlign w:val="center"/>
            <w:hideMark/>
          </w:tcPr>
          <w:p w14:paraId="6AB1E0DE"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1,578,109</w:t>
            </w:r>
          </w:p>
        </w:tc>
        <w:tc>
          <w:tcPr>
            <w:tcW w:w="1100" w:type="dxa"/>
            <w:tcBorders>
              <w:top w:val="nil"/>
              <w:left w:val="nil"/>
              <w:bottom w:val="nil"/>
              <w:right w:val="single" w:sz="8" w:space="0" w:color="auto"/>
            </w:tcBorders>
            <w:shd w:val="clear" w:color="auto" w:fill="auto"/>
            <w:vAlign w:val="center"/>
            <w:hideMark/>
          </w:tcPr>
          <w:p w14:paraId="450C8861"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8,735,162</w:t>
            </w:r>
          </w:p>
        </w:tc>
        <w:tc>
          <w:tcPr>
            <w:tcW w:w="1098" w:type="dxa"/>
            <w:tcBorders>
              <w:top w:val="nil"/>
              <w:left w:val="nil"/>
              <w:bottom w:val="nil"/>
              <w:right w:val="single" w:sz="8" w:space="0" w:color="auto"/>
            </w:tcBorders>
            <w:shd w:val="clear" w:color="auto" w:fill="auto"/>
            <w:vAlign w:val="center"/>
            <w:hideMark/>
          </w:tcPr>
          <w:p w14:paraId="0CD8C204"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6,304,894</w:t>
            </w:r>
          </w:p>
        </w:tc>
        <w:tc>
          <w:tcPr>
            <w:tcW w:w="1096" w:type="dxa"/>
            <w:tcBorders>
              <w:top w:val="nil"/>
              <w:left w:val="nil"/>
              <w:bottom w:val="nil"/>
              <w:right w:val="single" w:sz="8" w:space="0" w:color="auto"/>
            </w:tcBorders>
            <w:shd w:val="clear" w:color="auto" w:fill="auto"/>
            <w:vAlign w:val="center"/>
            <w:hideMark/>
          </w:tcPr>
          <w:p w14:paraId="7297BF95"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963</w:t>
            </w:r>
          </w:p>
        </w:tc>
        <w:tc>
          <w:tcPr>
            <w:tcW w:w="1101" w:type="dxa"/>
            <w:tcBorders>
              <w:top w:val="nil"/>
              <w:left w:val="nil"/>
              <w:bottom w:val="nil"/>
              <w:right w:val="single" w:sz="8" w:space="0" w:color="auto"/>
            </w:tcBorders>
            <w:shd w:val="clear" w:color="auto" w:fill="auto"/>
            <w:vAlign w:val="center"/>
            <w:hideMark/>
          </w:tcPr>
          <w:p w14:paraId="429DB6CF"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914,574</w:t>
            </w:r>
          </w:p>
        </w:tc>
      </w:tr>
      <w:tr w:rsidR="00D33F7C" w:rsidRPr="00037B23" w14:paraId="2286310D" w14:textId="77777777" w:rsidTr="00E213CE">
        <w:trPr>
          <w:trHeight w:val="209"/>
        </w:trPr>
        <w:tc>
          <w:tcPr>
            <w:tcW w:w="3498" w:type="dxa"/>
            <w:tcBorders>
              <w:top w:val="nil"/>
              <w:left w:val="single" w:sz="4" w:space="0" w:color="auto"/>
              <w:bottom w:val="nil"/>
              <w:right w:val="nil"/>
            </w:tcBorders>
            <w:shd w:val="clear" w:color="000000" w:fill="B4C6E7"/>
            <w:vAlign w:val="center"/>
            <w:hideMark/>
          </w:tcPr>
          <w:p w14:paraId="01815A62"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Dalian Commodity Exchange</w:t>
            </w:r>
          </w:p>
        </w:tc>
        <w:tc>
          <w:tcPr>
            <w:tcW w:w="1170" w:type="dxa"/>
            <w:tcBorders>
              <w:top w:val="nil"/>
              <w:left w:val="single" w:sz="8" w:space="0" w:color="auto"/>
              <w:bottom w:val="nil"/>
              <w:right w:val="single" w:sz="8" w:space="0" w:color="auto"/>
            </w:tcBorders>
            <w:shd w:val="clear" w:color="auto" w:fill="auto"/>
            <w:vAlign w:val="center"/>
            <w:hideMark/>
          </w:tcPr>
          <w:p w14:paraId="5A7506D7"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164,630,192</w:t>
            </w:r>
          </w:p>
        </w:tc>
        <w:tc>
          <w:tcPr>
            <w:tcW w:w="1097" w:type="dxa"/>
            <w:tcBorders>
              <w:top w:val="nil"/>
              <w:left w:val="nil"/>
              <w:bottom w:val="nil"/>
              <w:right w:val="single" w:sz="8" w:space="0" w:color="auto"/>
            </w:tcBorders>
            <w:shd w:val="clear" w:color="auto" w:fill="auto"/>
            <w:vAlign w:val="center"/>
            <w:hideMark/>
          </w:tcPr>
          <w:p w14:paraId="56944A82"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1,708,911</w:t>
            </w:r>
          </w:p>
        </w:tc>
        <w:tc>
          <w:tcPr>
            <w:tcW w:w="1100" w:type="dxa"/>
            <w:tcBorders>
              <w:top w:val="nil"/>
              <w:left w:val="nil"/>
              <w:bottom w:val="nil"/>
              <w:right w:val="single" w:sz="8" w:space="0" w:color="auto"/>
            </w:tcBorders>
            <w:shd w:val="clear" w:color="auto" w:fill="auto"/>
            <w:vAlign w:val="center"/>
            <w:hideMark/>
          </w:tcPr>
          <w:p w14:paraId="11FB51D1"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8,553,437</w:t>
            </w:r>
          </w:p>
        </w:tc>
        <w:tc>
          <w:tcPr>
            <w:tcW w:w="1098" w:type="dxa"/>
            <w:tcBorders>
              <w:top w:val="nil"/>
              <w:left w:val="nil"/>
              <w:bottom w:val="nil"/>
              <w:right w:val="single" w:sz="8" w:space="0" w:color="auto"/>
            </w:tcBorders>
            <w:shd w:val="clear" w:color="auto" w:fill="auto"/>
            <w:vAlign w:val="center"/>
            <w:hideMark/>
          </w:tcPr>
          <w:p w14:paraId="717E8AAD"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5,435,054</w:t>
            </w:r>
          </w:p>
        </w:tc>
        <w:tc>
          <w:tcPr>
            <w:tcW w:w="1096" w:type="dxa"/>
            <w:tcBorders>
              <w:top w:val="nil"/>
              <w:left w:val="nil"/>
              <w:bottom w:val="nil"/>
              <w:right w:val="single" w:sz="8" w:space="0" w:color="auto"/>
            </w:tcBorders>
            <w:shd w:val="clear" w:color="auto" w:fill="auto"/>
            <w:vAlign w:val="center"/>
            <w:hideMark/>
          </w:tcPr>
          <w:p w14:paraId="1E9B0131"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1,270</w:t>
            </w:r>
          </w:p>
        </w:tc>
        <w:tc>
          <w:tcPr>
            <w:tcW w:w="1101" w:type="dxa"/>
            <w:tcBorders>
              <w:top w:val="nil"/>
              <w:left w:val="nil"/>
              <w:bottom w:val="nil"/>
              <w:right w:val="single" w:sz="8" w:space="0" w:color="auto"/>
            </w:tcBorders>
            <w:shd w:val="clear" w:color="auto" w:fill="auto"/>
            <w:vAlign w:val="center"/>
            <w:hideMark/>
          </w:tcPr>
          <w:p w14:paraId="3B896F78"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1,225,632</w:t>
            </w:r>
          </w:p>
        </w:tc>
      </w:tr>
      <w:tr w:rsidR="00D33F7C" w:rsidRPr="00037B23" w14:paraId="36207EE0" w14:textId="77777777" w:rsidTr="00E213CE">
        <w:trPr>
          <w:trHeight w:val="209"/>
        </w:trPr>
        <w:tc>
          <w:tcPr>
            <w:tcW w:w="3498" w:type="dxa"/>
            <w:tcBorders>
              <w:top w:val="nil"/>
              <w:left w:val="single" w:sz="4" w:space="0" w:color="auto"/>
              <w:bottom w:val="nil"/>
              <w:right w:val="nil"/>
            </w:tcBorders>
            <w:shd w:val="clear" w:color="000000" w:fill="B4C6E7"/>
            <w:vAlign w:val="center"/>
            <w:hideMark/>
          </w:tcPr>
          <w:p w14:paraId="11148D20"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Multi Commodity Exchange of India</w:t>
            </w:r>
          </w:p>
        </w:tc>
        <w:tc>
          <w:tcPr>
            <w:tcW w:w="1170" w:type="dxa"/>
            <w:tcBorders>
              <w:top w:val="nil"/>
              <w:left w:val="single" w:sz="8" w:space="0" w:color="auto"/>
              <w:bottom w:val="nil"/>
              <w:right w:val="single" w:sz="8" w:space="0" w:color="auto"/>
            </w:tcBorders>
            <w:shd w:val="clear" w:color="auto" w:fill="auto"/>
            <w:vAlign w:val="center"/>
            <w:hideMark/>
          </w:tcPr>
          <w:p w14:paraId="5C76D073"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15,183,048</w:t>
            </w:r>
          </w:p>
        </w:tc>
        <w:tc>
          <w:tcPr>
            <w:tcW w:w="1097" w:type="dxa"/>
            <w:tcBorders>
              <w:top w:val="nil"/>
              <w:left w:val="nil"/>
              <w:bottom w:val="nil"/>
              <w:right w:val="single" w:sz="8" w:space="0" w:color="auto"/>
            </w:tcBorders>
            <w:shd w:val="clear" w:color="auto" w:fill="auto"/>
            <w:vAlign w:val="center"/>
            <w:hideMark/>
          </w:tcPr>
          <w:p w14:paraId="5527C516"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92,138</w:t>
            </w:r>
          </w:p>
        </w:tc>
        <w:tc>
          <w:tcPr>
            <w:tcW w:w="1100" w:type="dxa"/>
            <w:tcBorders>
              <w:top w:val="nil"/>
              <w:left w:val="nil"/>
              <w:bottom w:val="nil"/>
              <w:right w:val="single" w:sz="8" w:space="0" w:color="auto"/>
            </w:tcBorders>
            <w:shd w:val="clear" w:color="auto" w:fill="auto"/>
            <w:vAlign w:val="center"/>
            <w:hideMark/>
          </w:tcPr>
          <w:p w14:paraId="71C0B9C0"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244,722</w:t>
            </w:r>
          </w:p>
        </w:tc>
        <w:tc>
          <w:tcPr>
            <w:tcW w:w="1098" w:type="dxa"/>
            <w:tcBorders>
              <w:top w:val="nil"/>
              <w:left w:val="nil"/>
              <w:bottom w:val="nil"/>
              <w:right w:val="single" w:sz="8" w:space="0" w:color="auto"/>
            </w:tcBorders>
            <w:shd w:val="clear" w:color="auto" w:fill="auto"/>
            <w:vAlign w:val="center"/>
            <w:hideMark/>
          </w:tcPr>
          <w:p w14:paraId="09A2F603"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530,286</w:t>
            </w:r>
          </w:p>
        </w:tc>
        <w:tc>
          <w:tcPr>
            <w:tcW w:w="1096" w:type="dxa"/>
            <w:tcBorders>
              <w:top w:val="nil"/>
              <w:left w:val="nil"/>
              <w:bottom w:val="nil"/>
              <w:right w:val="single" w:sz="8" w:space="0" w:color="auto"/>
            </w:tcBorders>
            <w:shd w:val="clear" w:color="auto" w:fill="auto"/>
            <w:vAlign w:val="center"/>
            <w:hideMark/>
          </w:tcPr>
          <w:p w14:paraId="4BC47CEC"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5,756</w:t>
            </w:r>
          </w:p>
        </w:tc>
        <w:tc>
          <w:tcPr>
            <w:tcW w:w="1101" w:type="dxa"/>
            <w:tcBorders>
              <w:top w:val="nil"/>
              <w:left w:val="nil"/>
              <w:bottom w:val="nil"/>
              <w:right w:val="single" w:sz="8" w:space="0" w:color="auto"/>
            </w:tcBorders>
            <w:shd w:val="clear" w:color="auto" w:fill="auto"/>
            <w:vAlign w:val="center"/>
            <w:hideMark/>
          </w:tcPr>
          <w:p w14:paraId="4BF94D8A"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11,929</w:t>
            </w:r>
          </w:p>
        </w:tc>
      </w:tr>
      <w:tr w:rsidR="00D33F7C" w:rsidRPr="00037B23" w14:paraId="38B5D6AF" w14:textId="77777777" w:rsidTr="00E213CE">
        <w:trPr>
          <w:trHeight w:val="209"/>
        </w:trPr>
        <w:tc>
          <w:tcPr>
            <w:tcW w:w="3498" w:type="dxa"/>
            <w:tcBorders>
              <w:top w:val="nil"/>
              <w:left w:val="single" w:sz="4" w:space="0" w:color="auto"/>
              <w:bottom w:val="nil"/>
              <w:right w:val="nil"/>
            </w:tcBorders>
            <w:shd w:val="clear" w:color="000000" w:fill="B4C6E7"/>
            <w:vAlign w:val="center"/>
            <w:hideMark/>
          </w:tcPr>
          <w:p w14:paraId="17B025C1"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Shanghai Futures Exchange</w:t>
            </w:r>
          </w:p>
        </w:tc>
        <w:tc>
          <w:tcPr>
            <w:tcW w:w="1170" w:type="dxa"/>
            <w:tcBorders>
              <w:top w:val="nil"/>
              <w:left w:val="single" w:sz="8" w:space="0" w:color="auto"/>
              <w:bottom w:val="nil"/>
              <w:right w:val="single" w:sz="8" w:space="0" w:color="auto"/>
            </w:tcBorders>
            <w:shd w:val="clear" w:color="auto" w:fill="auto"/>
            <w:vAlign w:val="center"/>
            <w:hideMark/>
          </w:tcPr>
          <w:p w14:paraId="5BA51070"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218,064,267</w:t>
            </w:r>
          </w:p>
        </w:tc>
        <w:tc>
          <w:tcPr>
            <w:tcW w:w="1097" w:type="dxa"/>
            <w:tcBorders>
              <w:top w:val="nil"/>
              <w:left w:val="nil"/>
              <w:bottom w:val="nil"/>
              <w:right w:val="single" w:sz="8" w:space="0" w:color="auto"/>
            </w:tcBorders>
            <w:shd w:val="clear" w:color="auto" w:fill="auto"/>
            <w:vAlign w:val="center"/>
            <w:hideMark/>
          </w:tcPr>
          <w:p w14:paraId="667482C9"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3,071,585</w:t>
            </w:r>
          </w:p>
        </w:tc>
        <w:tc>
          <w:tcPr>
            <w:tcW w:w="1100" w:type="dxa"/>
            <w:tcBorders>
              <w:top w:val="nil"/>
              <w:left w:val="nil"/>
              <w:bottom w:val="nil"/>
              <w:right w:val="single" w:sz="8" w:space="0" w:color="auto"/>
            </w:tcBorders>
            <w:shd w:val="clear" w:color="auto" w:fill="auto"/>
            <w:vAlign w:val="center"/>
            <w:hideMark/>
          </w:tcPr>
          <w:p w14:paraId="1ECA3AA7"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5,935,373</w:t>
            </w:r>
          </w:p>
        </w:tc>
        <w:tc>
          <w:tcPr>
            <w:tcW w:w="1098" w:type="dxa"/>
            <w:tcBorders>
              <w:top w:val="nil"/>
              <w:left w:val="nil"/>
              <w:bottom w:val="nil"/>
              <w:right w:val="single" w:sz="8" w:space="0" w:color="auto"/>
            </w:tcBorders>
            <w:shd w:val="clear" w:color="auto" w:fill="auto"/>
            <w:vAlign w:val="center"/>
            <w:hideMark/>
          </w:tcPr>
          <w:p w14:paraId="4F38E625"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2,336,248</w:t>
            </w:r>
          </w:p>
        </w:tc>
        <w:tc>
          <w:tcPr>
            <w:tcW w:w="1096" w:type="dxa"/>
            <w:tcBorders>
              <w:top w:val="nil"/>
              <w:left w:val="nil"/>
              <w:bottom w:val="nil"/>
              <w:right w:val="single" w:sz="8" w:space="0" w:color="auto"/>
            </w:tcBorders>
            <w:shd w:val="clear" w:color="auto" w:fill="auto"/>
            <w:vAlign w:val="center"/>
            <w:hideMark/>
          </w:tcPr>
          <w:p w14:paraId="54E1EC3C"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1,139</w:t>
            </w:r>
          </w:p>
        </w:tc>
        <w:tc>
          <w:tcPr>
            <w:tcW w:w="1101" w:type="dxa"/>
            <w:tcBorders>
              <w:top w:val="nil"/>
              <w:left w:val="nil"/>
              <w:bottom w:val="nil"/>
              <w:right w:val="single" w:sz="8" w:space="0" w:color="auto"/>
            </w:tcBorders>
            <w:shd w:val="clear" w:color="auto" w:fill="auto"/>
            <w:vAlign w:val="center"/>
            <w:hideMark/>
          </w:tcPr>
          <w:p w14:paraId="7A30AEFB"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177,711</w:t>
            </w:r>
          </w:p>
        </w:tc>
      </w:tr>
      <w:tr w:rsidR="00D33F7C" w:rsidRPr="00037B23" w14:paraId="783269B6" w14:textId="77777777" w:rsidTr="00E213CE">
        <w:trPr>
          <w:trHeight w:val="209"/>
        </w:trPr>
        <w:tc>
          <w:tcPr>
            <w:tcW w:w="3498" w:type="dxa"/>
            <w:tcBorders>
              <w:top w:val="nil"/>
              <w:left w:val="single" w:sz="4" w:space="0" w:color="auto"/>
              <w:bottom w:val="nil"/>
              <w:right w:val="nil"/>
            </w:tcBorders>
            <w:shd w:val="clear" w:color="000000" w:fill="B4C6E7"/>
            <w:vAlign w:val="center"/>
            <w:hideMark/>
          </w:tcPr>
          <w:p w14:paraId="32F9C906"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Borsa Istanbul</w:t>
            </w:r>
          </w:p>
        </w:tc>
        <w:tc>
          <w:tcPr>
            <w:tcW w:w="1170" w:type="dxa"/>
            <w:tcBorders>
              <w:top w:val="nil"/>
              <w:left w:val="single" w:sz="8" w:space="0" w:color="auto"/>
              <w:bottom w:val="nil"/>
              <w:right w:val="single" w:sz="8" w:space="0" w:color="auto"/>
            </w:tcBorders>
            <w:shd w:val="clear" w:color="auto" w:fill="auto"/>
            <w:vAlign w:val="center"/>
            <w:hideMark/>
          </w:tcPr>
          <w:p w14:paraId="33A1AFAA"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7,934,230</w:t>
            </w:r>
          </w:p>
        </w:tc>
        <w:tc>
          <w:tcPr>
            <w:tcW w:w="1097" w:type="dxa"/>
            <w:tcBorders>
              <w:top w:val="nil"/>
              <w:left w:val="nil"/>
              <w:bottom w:val="nil"/>
              <w:right w:val="single" w:sz="8" w:space="0" w:color="auto"/>
            </w:tcBorders>
            <w:shd w:val="clear" w:color="auto" w:fill="auto"/>
            <w:vAlign w:val="center"/>
            <w:hideMark/>
          </w:tcPr>
          <w:p w14:paraId="5CDCE758"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2,545</w:t>
            </w:r>
          </w:p>
        </w:tc>
        <w:tc>
          <w:tcPr>
            <w:tcW w:w="1100" w:type="dxa"/>
            <w:tcBorders>
              <w:top w:val="nil"/>
              <w:left w:val="nil"/>
              <w:bottom w:val="nil"/>
              <w:right w:val="single" w:sz="8" w:space="0" w:color="auto"/>
            </w:tcBorders>
            <w:shd w:val="clear" w:color="auto" w:fill="auto"/>
            <w:vAlign w:val="center"/>
            <w:hideMark/>
          </w:tcPr>
          <w:p w14:paraId="21A40BF6"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1,525,115</w:t>
            </w:r>
          </w:p>
        </w:tc>
        <w:tc>
          <w:tcPr>
            <w:tcW w:w="1098" w:type="dxa"/>
            <w:tcBorders>
              <w:top w:val="nil"/>
              <w:left w:val="nil"/>
              <w:bottom w:val="nil"/>
              <w:right w:val="single" w:sz="8" w:space="0" w:color="auto"/>
            </w:tcBorders>
            <w:shd w:val="clear" w:color="auto" w:fill="auto"/>
            <w:vAlign w:val="center"/>
            <w:hideMark/>
          </w:tcPr>
          <w:p w14:paraId="2D6BB2E9"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1096" w:type="dxa"/>
            <w:tcBorders>
              <w:top w:val="nil"/>
              <w:left w:val="nil"/>
              <w:bottom w:val="nil"/>
              <w:right w:val="single" w:sz="8" w:space="0" w:color="auto"/>
            </w:tcBorders>
            <w:shd w:val="clear" w:color="auto" w:fill="auto"/>
            <w:vAlign w:val="center"/>
            <w:hideMark/>
          </w:tcPr>
          <w:p w14:paraId="17BB669E"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1101" w:type="dxa"/>
            <w:tcBorders>
              <w:top w:val="nil"/>
              <w:left w:val="nil"/>
              <w:bottom w:val="nil"/>
              <w:right w:val="single" w:sz="8" w:space="0" w:color="auto"/>
            </w:tcBorders>
            <w:shd w:val="clear" w:color="auto" w:fill="auto"/>
            <w:vAlign w:val="center"/>
            <w:hideMark/>
          </w:tcPr>
          <w:p w14:paraId="0B5C8A4D"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r>
      <w:tr w:rsidR="00D33F7C" w:rsidRPr="00037B23" w14:paraId="270B6E27" w14:textId="77777777" w:rsidTr="00E213CE">
        <w:trPr>
          <w:trHeight w:val="209"/>
        </w:trPr>
        <w:tc>
          <w:tcPr>
            <w:tcW w:w="3498" w:type="dxa"/>
            <w:tcBorders>
              <w:top w:val="nil"/>
              <w:left w:val="single" w:sz="4" w:space="0" w:color="auto"/>
              <w:bottom w:val="nil"/>
              <w:right w:val="nil"/>
            </w:tcBorders>
            <w:shd w:val="clear" w:color="000000" w:fill="B4C6E7"/>
            <w:vAlign w:val="center"/>
            <w:hideMark/>
          </w:tcPr>
          <w:p w14:paraId="410E5EBB"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Deutsche Boerse AG</w:t>
            </w:r>
          </w:p>
        </w:tc>
        <w:tc>
          <w:tcPr>
            <w:tcW w:w="1170" w:type="dxa"/>
            <w:tcBorders>
              <w:top w:val="nil"/>
              <w:left w:val="single" w:sz="8" w:space="0" w:color="auto"/>
              <w:bottom w:val="nil"/>
              <w:right w:val="single" w:sz="8" w:space="0" w:color="auto"/>
            </w:tcBorders>
            <w:shd w:val="clear" w:color="auto" w:fill="auto"/>
            <w:vAlign w:val="center"/>
            <w:hideMark/>
          </w:tcPr>
          <w:p w14:paraId="5F551043"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450,961</w:t>
            </w:r>
          </w:p>
        </w:tc>
        <w:tc>
          <w:tcPr>
            <w:tcW w:w="1097" w:type="dxa"/>
            <w:tcBorders>
              <w:top w:val="nil"/>
              <w:left w:val="nil"/>
              <w:bottom w:val="nil"/>
              <w:right w:val="single" w:sz="8" w:space="0" w:color="auto"/>
            </w:tcBorders>
            <w:shd w:val="clear" w:color="auto" w:fill="auto"/>
            <w:vAlign w:val="center"/>
            <w:hideMark/>
          </w:tcPr>
          <w:p w14:paraId="5D5DBC7F"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35,625</w:t>
            </w:r>
          </w:p>
        </w:tc>
        <w:tc>
          <w:tcPr>
            <w:tcW w:w="1100" w:type="dxa"/>
            <w:tcBorders>
              <w:top w:val="nil"/>
              <w:left w:val="nil"/>
              <w:bottom w:val="nil"/>
              <w:right w:val="single" w:sz="8" w:space="0" w:color="auto"/>
            </w:tcBorders>
            <w:shd w:val="clear" w:color="auto" w:fill="auto"/>
            <w:vAlign w:val="center"/>
            <w:hideMark/>
          </w:tcPr>
          <w:p w14:paraId="70152C06"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1,852,412</w:t>
            </w:r>
          </w:p>
        </w:tc>
        <w:tc>
          <w:tcPr>
            <w:tcW w:w="1098" w:type="dxa"/>
            <w:tcBorders>
              <w:top w:val="nil"/>
              <w:left w:val="nil"/>
              <w:bottom w:val="nil"/>
              <w:right w:val="single" w:sz="8" w:space="0" w:color="auto"/>
            </w:tcBorders>
            <w:shd w:val="clear" w:color="auto" w:fill="auto"/>
            <w:vAlign w:val="center"/>
            <w:hideMark/>
          </w:tcPr>
          <w:p w14:paraId="7746E4DA"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167,189</w:t>
            </w:r>
          </w:p>
        </w:tc>
        <w:tc>
          <w:tcPr>
            <w:tcW w:w="1096" w:type="dxa"/>
            <w:tcBorders>
              <w:top w:val="nil"/>
              <w:left w:val="nil"/>
              <w:bottom w:val="nil"/>
              <w:right w:val="single" w:sz="8" w:space="0" w:color="auto"/>
            </w:tcBorders>
            <w:shd w:val="clear" w:color="auto" w:fill="auto"/>
            <w:vAlign w:val="center"/>
            <w:hideMark/>
          </w:tcPr>
          <w:p w14:paraId="75C67701"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1,518</w:t>
            </w:r>
          </w:p>
        </w:tc>
        <w:tc>
          <w:tcPr>
            <w:tcW w:w="1101" w:type="dxa"/>
            <w:tcBorders>
              <w:top w:val="nil"/>
              <w:left w:val="nil"/>
              <w:bottom w:val="nil"/>
              <w:right w:val="single" w:sz="8" w:space="0" w:color="auto"/>
            </w:tcBorders>
            <w:shd w:val="clear" w:color="auto" w:fill="auto"/>
            <w:vAlign w:val="center"/>
            <w:hideMark/>
          </w:tcPr>
          <w:p w14:paraId="59D04C49"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339,278</w:t>
            </w:r>
          </w:p>
        </w:tc>
      </w:tr>
      <w:tr w:rsidR="00D33F7C" w:rsidRPr="00037B23" w14:paraId="02B3622B" w14:textId="77777777" w:rsidTr="00E213CE">
        <w:trPr>
          <w:trHeight w:val="209"/>
        </w:trPr>
        <w:tc>
          <w:tcPr>
            <w:tcW w:w="3498" w:type="dxa"/>
            <w:tcBorders>
              <w:top w:val="nil"/>
              <w:left w:val="single" w:sz="4" w:space="0" w:color="auto"/>
              <w:bottom w:val="nil"/>
              <w:right w:val="nil"/>
            </w:tcBorders>
            <w:shd w:val="clear" w:color="000000" w:fill="B4C6E7"/>
            <w:vAlign w:val="center"/>
            <w:hideMark/>
          </w:tcPr>
          <w:p w14:paraId="7C8D9BA4"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Euronext</w:t>
            </w:r>
          </w:p>
        </w:tc>
        <w:tc>
          <w:tcPr>
            <w:tcW w:w="1170" w:type="dxa"/>
            <w:tcBorders>
              <w:top w:val="nil"/>
              <w:left w:val="single" w:sz="8" w:space="0" w:color="auto"/>
              <w:bottom w:val="nil"/>
              <w:right w:val="single" w:sz="8" w:space="0" w:color="auto"/>
            </w:tcBorders>
            <w:shd w:val="clear" w:color="auto" w:fill="auto"/>
            <w:vAlign w:val="center"/>
            <w:hideMark/>
          </w:tcPr>
          <w:p w14:paraId="5F98DBBC"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1,321,813</w:t>
            </w:r>
          </w:p>
        </w:tc>
        <w:tc>
          <w:tcPr>
            <w:tcW w:w="1097" w:type="dxa"/>
            <w:tcBorders>
              <w:top w:val="nil"/>
              <w:left w:val="nil"/>
              <w:bottom w:val="nil"/>
              <w:right w:val="single" w:sz="8" w:space="0" w:color="auto"/>
            </w:tcBorders>
            <w:shd w:val="clear" w:color="auto" w:fill="auto"/>
            <w:vAlign w:val="center"/>
            <w:hideMark/>
          </w:tcPr>
          <w:p w14:paraId="0632B090"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20,895</w:t>
            </w:r>
          </w:p>
        </w:tc>
        <w:tc>
          <w:tcPr>
            <w:tcW w:w="1100" w:type="dxa"/>
            <w:tcBorders>
              <w:top w:val="nil"/>
              <w:left w:val="nil"/>
              <w:bottom w:val="nil"/>
              <w:right w:val="single" w:sz="8" w:space="0" w:color="auto"/>
            </w:tcBorders>
            <w:shd w:val="clear" w:color="auto" w:fill="auto"/>
            <w:vAlign w:val="center"/>
            <w:hideMark/>
          </w:tcPr>
          <w:p w14:paraId="61AC420D"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569,035</w:t>
            </w:r>
          </w:p>
        </w:tc>
        <w:tc>
          <w:tcPr>
            <w:tcW w:w="1098" w:type="dxa"/>
            <w:tcBorders>
              <w:top w:val="nil"/>
              <w:left w:val="nil"/>
              <w:bottom w:val="nil"/>
              <w:right w:val="single" w:sz="8" w:space="0" w:color="auto"/>
            </w:tcBorders>
            <w:shd w:val="clear" w:color="auto" w:fill="auto"/>
            <w:vAlign w:val="center"/>
            <w:hideMark/>
          </w:tcPr>
          <w:p w14:paraId="286EE057"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158,102</w:t>
            </w:r>
          </w:p>
        </w:tc>
        <w:tc>
          <w:tcPr>
            <w:tcW w:w="1096" w:type="dxa"/>
            <w:tcBorders>
              <w:top w:val="nil"/>
              <w:left w:val="nil"/>
              <w:bottom w:val="nil"/>
              <w:right w:val="single" w:sz="8" w:space="0" w:color="auto"/>
            </w:tcBorders>
            <w:shd w:val="clear" w:color="auto" w:fill="auto"/>
            <w:vAlign w:val="center"/>
            <w:hideMark/>
          </w:tcPr>
          <w:p w14:paraId="40A1277F"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2,522</w:t>
            </w:r>
          </w:p>
        </w:tc>
        <w:tc>
          <w:tcPr>
            <w:tcW w:w="1101" w:type="dxa"/>
            <w:tcBorders>
              <w:top w:val="nil"/>
              <w:left w:val="nil"/>
              <w:bottom w:val="nil"/>
              <w:right w:val="single" w:sz="8" w:space="0" w:color="auto"/>
            </w:tcBorders>
            <w:shd w:val="clear" w:color="auto" w:fill="auto"/>
            <w:vAlign w:val="center"/>
            <w:hideMark/>
          </w:tcPr>
          <w:p w14:paraId="01750E54"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262,779</w:t>
            </w:r>
          </w:p>
        </w:tc>
      </w:tr>
      <w:tr w:rsidR="00D33F7C" w:rsidRPr="00037B23" w14:paraId="0CBC9722" w14:textId="77777777" w:rsidTr="00E213CE">
        <w:trPr>
          <w:trHeight w:val="209"/>
        </w:trPr>
        <w:tc>
          <w:tcPr>
            <w:tcW w:w="3498" w:type="dxa"/>
            <w:tcBorders>
              <w:top w:val="nil"/>
              <w:left w:val="single" w:sz="4" w:space="0" w:color="auto"/>
              <w:bottom w:val="nil"/>
              <w:right w:val="nil"/>
            </w:tcBorders>
            <w:shd w:val="clear" w:color="000000" w:fill="B4C6E7"/>
            <w:vAlign w:val="center"/>
            <w:hideMark/>
          </w:tcPr>
          <w:p w14:paraId="36C9C132"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LSE Group London Stock Exchange</w:t>
            </w:r>
          </w:p>
        </w:tc>
        <w:tc>
          <w:tcPr>
            <w:tcW w:w="1170" w:type="dxa"/>
            <w:tcBorders>
              <w:top w:val="nil"/>
              <w:left w:val="single" w:sz="8" w:space="0" w:color="auto"/>
              <w:bottom w:val="nil"/>
              <w:right w:val="single" w:sz="8" w:space="0" w:color="auto"/>
            </w:tcBorders>
            <w:shd w:val="clear" w:color="auto" w:fill="auto"/>
            <w:vAlign w:val="center"/>
            <w:hideMark/>
          </w:tcPr>
          <w:p w14:paraId="75057BA1"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1097" w:type="dxa"/>
            <w:tcBorders>
              <w:top w:val="nil"/>
              <w:left w:val="nil"/>
              <w:bottom w:val="nil"/>
              <w:right w:val="single" w:sz="8" w:space="0" w:color="auto"/>
            </w:tcBorders>
            <w:shd w:val="clear" w:color="auto" w:fill="auto"/>
            <w:vAlign w:val="center"/>
            <w:hideMark/>
          </w:tcPr>
          <w:p w14:paraId="6E64C69F"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1100" w:type="dxa"/>
            <w:tcBorders>
              <w:top w:val="nil"/>
              <w:left w:val="nil"/>
              <w:bottom w:val="nil"/>
              <w:right w:val="single" w:sz="8" w:space="0" w:color="auto"/>
            </w:tcBorders>
            <w:shd w:val="clear" w:color="auto" w:fill="auto"/>
            <w:vAlign w:val="center"/>
            <w:hideMark/>
          </w:tcPr>
          <w:p w14:paraId="2B24BAC6"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1098" w:type="dxa"/>
            <w:tcBorders>
              <w:top w:val="nil"/>
              <w:left w:val="nil"/>
              <w:bottom w:val="nil"/>
              <w:right w:val="single" w:sz="8" w:space="0" w:color="auto"/>
            </w:tcBorders>
            <w:shd w:val="clear" w:color="auto" w:fill="auto"/>
            <w:vAlign w:val="center"/>
            <w:hideMark/>
          </w:tcPr>
          <w:p w14:paraId="3B1DFEE5"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1096" w:type="dxa"/>
            <w:tcBorders>
              <w:top w:val="nil"/>
              <w:left w:val="nil"/>
              <w:bottom w:val="nil"/>
              <w:right w:val="single" w:sz="8" w:space="0" w:color="auto"/>
            </w:tcBorders>
            <w:shd w:val="clear" w:color="auto" w:fill="auto"/>
            <w:vAlign w:val="center"/>
            <w:hideMark/>
          </w:tcPr>
          <w:p w14:paraId="08C85D2E"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1101" w:type="dxa"/>
            <w:tcBorders>
              <w:top w:val="nil"/>
              <w:left w:val="nil"/>
              <w:bottom w:val="nil"/>
              <w:right w:val="single" w:sz="8" w:space="0" w:color="auto"/>
            </w:tcBorders>
            <w:shd w:val="clear" w:color="auto" w:fill="auto"/>
            <w:vAlign w:val="center"/>
            <w:hideMark/>
          </w:tcPr>
          <w:p w14:paraId="09AB53DA"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r>
      <w:tr w:rsidR="00D33F7C" w:rsidRPr="00037B23" w14:paraId="015DF3DD" w14:textId="77777777" w:rsidTr="00E213CE">
        <w:trPr>
          <w:trHeight w:val="209"/>
        </w:trPr>
        <w:tc>
          <w:tcPr>
            <w:tcW w:w="3498" w:type="dxa"/>
            <w:tcBorders>
              <w:top w:val="nil"/>
              <w:left w:val="single" w:sz="4" w:space="0" w:color="auto"/>
              <w:bottom w:val="nil"/>
              <w:right w:val="nil"/>
            </w:tcBorders>
            <w:shd w:val="clear" w:color="000000" w:fill="B4C6E7"/>
            <w:vAlign w:val="center"/>
            <w:hideMark/>
          </w:tcPr>
          <w:p w14:paraId="39FEAB06"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Moscow Exchange</w:t>
            </w:r>
          </w:p>
        </w:tc>
        <w:tc>
          <w:tcPr>
            <w:tcW w:w="1170" w:type="dxa"/>
            <w:tcBorders>
              <w:top w:val="nil"/>
              <w:left w:val="single" w:sz="8" w:space="0" w:color="auto"/>
              <w:bottom w:val="nil"/>
              <w:right w:val="single" w:sz="8" w:space="0" w:color="auto"/>
            </w:tcBorders>
            <w:shd w:val="clear" w:color="auto" w:fill="auto"/>
            <w:vAlign w:val="center"/>
            <w:hideMark/>
          </w:tcPr>
          <w:p w14:paraId="79F3DD71"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52,604,601</w:t>
            </w:r>
          </w:p>
        </w:tc>
        <w:tc>
          <w:tcPr>
            <w:tcW w:w="1097" w:type="dxa"/>
            <w:tcBorders>
              <w:top w:val="nil"/>
              <w:left w:val="nil"/>
              <w:bottom w:val="nil"/>
              <w:right w:val="single" w:sz="8" w:space="0" w:color="auto"/>
            </w:tcBorders>
            <w:shd w:val="clear" w:color="auto" w:fill="auto"/>
            <w:vAlign w:val="center"/>
            <w:hideMark/>
          </w:tcPr>
          <w:p w14:paraId="1B833735"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38,243</w:t>
            </w:r>
          </w:p>
        </w:tc>
        <w:tc>
          <w:tcPr>
            <w:tcW w:w="1100" w:type="dxa"/>
            <w:tcBorders>
              <w:top w:val="nil"/>
              <w:left w:val="nil"/>
              <w:bottom w:val="nil"/>
              <w:right w:val="single" w:sz="8" w:space="0" w:color="auto"/>
            </w:tcBorders>
            <w:shd w:val="clear" w:color="auto" w:fill="auto"/>
            <w:vAlign w:val="center"/>
            <w:hideMark/>
          </w:tcPr>
          <w:p w14:paraId="13E9A92C"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1,923,192</w:t>
            </w:r>
          </w:p>
        </w:tc>
        <w:tc>
          <w:tcPr>
            <w:tcW w:w="1098" w:type="dxa"/>
            <w:tcBorders>
              <w:top w:val="nil"/>
              <w:left w:val="nil"/>
              <w:bottom w:val="nil"/>
              <w:right w:val="single" w:sz="8" w:space="0" w:color="auto"/>
            </w:tcBorders>
            <w:shd w:val="clear" w:color="auto" w:fill="auto"/>
            <w:vAlign w:val="center"/>
            <w:hideMark/>
          </w:tcPr>
          <w:p w14:paraId="060BCA50"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416,649</w:t>
            </w:r>
          </w:p>
        </w:tc>
        <w:tc>
          <w:tcPr>
            <w:tcW w:w="1096" w:type="dxa"/>
            <w:tcBorders>
              <w:top w:val="nil"/>
              <w:left w:val="nil"/>
              <w:bottom w:val="nil"/>
              <w:right w:val="single" w:sz="8" w:space="0" w:color="auto"/>
            </w:tcBorders>
            <w:shd w:val="clear" w:color="auto" w:fill="auto"/>
            <w:vAlign w:val="center"/>
            <w:hideMark/>
          </w:tcPr>
          <w:p w14:paraId="0D5D23ED"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283</w:t>
            </w:r>
          </w:p>
        </w:tc>
        <w:tc>
          <w:tcPr>
            <w:tcW w:w="1101" w:type="dxa"/>
            <w:tcBorders>
              <w:top w:val="nil"/>
              <w:left w:val="nil"/>
              <w:bottom w:val="nil"/>
              <w:right w:val="single" w:sz="8" w:space="0" w:color="auto"/>
            </w:tcBorders>
            <w:shd w:val="clear" w:color="auto" w:fill="auto"/>
            <w:vAlign w:val="center"/>
            <w:hideMark/>
          </w:tcPr>
          <w:p w14:paraId="4937EBCD"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82,834</w:t>
            </w:r>
          </w:p>
        </w:tc>
      </w:tr>
      <w:tr w:rsidR="00D33F7C" w:rsidRPr="00037B23" w14:paraId="09D8D31B" w14:textId="77777777" w:rsidTr="00E213CE">
        <w:trPr>
          <w:trHeight w:val="209"/>
        </w:trPr>
        <w:tc>
          <w:tcPr>
            <w:tcW w:w="3498" w:type="dxa"/>
            <w:tcBorders>
              <w:top w:val="nil"/>
              <w:left w:val="single" w:sz="4" w:space="0" w:color="auto"/>
              <w:bottom w:val="nil"/>
              <w:right w:val="nil"/>
            </w:tcBorders>
            <w:shd w:val="clear" w:color="000000" w:fill="B4C6E7"/>
            <w:vAlign w:val="center"/>
            <w:hideMark/>
          </w:tcPr>
          <w:p w14:paraId="0C611757"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Dubai Gold and Commodities Exchange</w:t>
            </w:r>
          </w:p>
        </w:tc>
        <w:tc>
          <w:tcPr>
            <w:tcW w:w="1170" w:type="dxa"/>
            <w:tcBorders>
              <w:top w:val="nil"/>
              <w:left w:val="single" w:sz="8" w:space="0" w:color="auto"/>
              <w:bottom w:val="nil"/>
              <w:right w:val="single" w:sz="8" w:space="0" w:color="auto"/>
            </w:tcBorders>
            <w:shd w:val="clear" w:color="auto" w:fill="auto"/>
            <w:vAlign w:val="center"/>
            <w:hideMark/>
          </w:tcPr>
          <w:p w14:paraId="03C924F9"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8,996</w:t>
            </w:r>
          </w:p>
        </w:tc>
        <w:tc>
          <w:tcPr>
            <w:tcW w:w="1097" w:type="dxa"/>
            <w:tcBorders>
              <w:top w:val="nil"/>
              <w:left w:val="nil"/>
              <w:bottom w:val="nil"/>
              <w:right w:val="single" w:sz="8" w:space="0" w:color="auto"/>
            </w:tcBorders>
            <w:shd w:val="clear" w:color="auto" w:fill="auto"/>
            <w:vAlign w:val="center"/>
            <w:hideMark/>
          </w:tcPr>
          <w:p w14:paraId="569C248F"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144</w:t>
            </w:r>
          </w:p>
        </w:tc>
        <w:tc>
          <w:tcPr>
            <w:tcW w:w="1100" w:type="dxa"/>
            <w:tcBorders>
              <w:top w:val="nil"/>
              <w:left w:val="nil"/>
              <w:bottom w:val="nil"/>
              <w:right w:val="single" w:sz="8" w:space="0" w:color="auto"/>
            </w:tcBorders>
            <w:shd w:val="clear" w:color="auto" w:fill="auto"/>
            <w:vAlign w:val="center"/>
            <w:hideMark/>
          </w:tcPr>
          <w:p w14:paraId="3F3357B4"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978</w:t>
            </w:r>
          </w:p>
        </w:tc>
        <w:tc>
          <w:tcPr>
            <w:tcW w:w="1098" w:type="dxa"/>
            <w:tcBorders>
              <w:top w:val="nil"/>
              <w:left w:val="nil"/>
              <w:bottom w:val="nil"/>
              <w:right w:val="single" w:sz="8" w:space="0" w:color="auto"/>
            </w:tcBorders>
            <w:shd w:val="clear" w:color="auto" w:fill="auto"/>
            <w:vAlign w:val="center"/>
            <w:hideMark/>
          </w:tcPr>
          <w:p w14:paraId="2FB87D24"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1096" w:type="dxa"/>
            <w:tcBorders>
              <w:top w:val="nil"/>
              <w:left w:val="nil"/>
              <w:bottom w:val="nil"/>
              <w:right w:val="single" w:sz="8" w:space="0" w:color="auto"/>
            </w:tcBorders>
            <w:shd w:val="clear" w:color="auto" w:fill="auto"/>
            <w:vAlign w:val="center"/>
            <w:hideMark/>
          </w:tcPr>
          <w:p w14:paraId="53A5A55E"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1101" w:type="dxa"/>
            <w:tcBorders>
              <w:top w:val="nil"/>
              <w:left w:val="nil"/>
              <w:bottom w:val="nil"/>
              <w:right w:val="single" w:sz="8" w:space="0" w:color="auto"/>
            </w:tcBorders>
            <w:shd w:val="clear" w:color="auto" w:fill="auto"/>
            <w:vAlign w:val="center"/>
            <w:hideMark/>
          </w:tcPr>
          <w:p w14:paraId="14C5F871"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r>
      <w:tr w:rsidR="00D33F7C" w:rsidRPr="00037B23" w14:paraId="65B248E2" w14:textId="77777777" w:rsidTr="00E213CE">
        <w:trPr>
          <w:trHeight w:val="209"/>
        </w:trPr>
        <w:tc>
          <w:tcPr>
            <w:tcW w:w="3498" w:type="dxa"/>
            <w:tcBorders>
              <w:top w:val="nil"/>
              <w:left w:val="single" w:sz="4" w:space="0" w:color="auto"/>
              <w:bottom w:val="nil"/>
              <w:right w:val="nil"/>
            </w:tcBorders>
            <w:shd w:val="clear" w:color="000000" w:fill="B4C6E7"/>
            <w:vAlign w:val="center"/>
            <w:hideMark/>
          </w:tcPr>
          <w:p w14:paraId="5E27744B"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London Metal Exchange</w:t>
            </w:r>
          </w:p>
        </w:tc>
        <w:tc>
          <w:tcPr>
            <w:tcW w:w="1170" w:type="dxa"/>
            <w:tcBorders>
              <w:top w:val="nil"/>
              <w:left w:val="single" w:sz="8" w:space="0" w:color="auto"/>
              <w:bottom w:val="nil"/>
              <w:right w:val="single" w:sz="8" w:space="0" w:color="auto"/>
            </w:tcBorders>
            <w:shd w:val="clear" w:color="auto" w:fill="auto"/>
            <w:vAlign w:val="center"/>
            <w:hideMark/>
          </w:tcPr>
          <w:p w14:paraId="2AA55802"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11,474,237</w:t>
            </w:r>
          </w:p>
        </w:tc>
        <w:tc>
          <w:tcPr>
            <w:tcW w:w="1097" w:type="dxa"/>
            <w:tcBorders>
              <w:top w:val="nil"/>
              <w:left w:val="nil"/>
              <w:bottom w:val="nil"/>
              <w:right w:val="single" w:sz="8" w:space="0" w:color="auto"/>
            </w:tcBorders>
            <w:shd w:val="clear" w:color="auto" w:fill="auto"/>
            <w:vAlign w:val="center"/>
            <w:hideMark/>
          </w:tcPr>
          <w:p w14:paraId="242E1ABF"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1,796,216</w:t>
            </w:r>
          </w:p>
        </w:tc>
        <w:tc>
          <w:tcPr>
            <w:tcW w:w="1100" w:type="dxa"/>
            <w:tcBorders>
              <w:top w:val="nil"/>
              <w:left w:val="nil"/>
              <w:bottom w:val="nil"/>
              <w:right w:val="single" w:sz="8" w:space="0" w:color="auto"/>
            </w:tcBorders>
            <w:shd w:val="clear" w:color="auto" w:fill="auto"/>
            <w:vAlign w:val="center"/>
            <w:hideMark/>
          </w:tcPr>
          <w:p w14:paraId="17C4D8F2"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1,928,520</w:t>
            </w:r>
          </w:p>
        </w:tc>
        <w:tc>
          <w:tcPr>
            <w:tcW w:w="1098" w:type="dxa"/>
            <w:tcBorders>
              <w:top w:val="nil"/>
              <w:left w:val="nil"/>
              <w:bottom w:val="nil"/>
              <w:right w:val="single" w:sz="8" w:space="0" w:color="auto"/>
            </w:tcBorders>
            <w:shd w:val="clear" w:color="auto" w:fill="auto"/>
            <w:vAlign w:val="center"/>
            <w:hideMark/>
          </w:tcPr>
          <w:p w14:paraId="75C3814B"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692,526</w:t>
            </w:r>
          </w:p>
        </w:tc>
        <w:tc>
          <w:tcPr>
            <w:tcW w:w="1096" w:type="dxa"/>
            <w:tcBorders>
              <w:top w:val="nil"/>
              <w:left w:val="nil"/>
              <w:bottom w:val="nil"/>
              <w:right w:val="single" w:sz="8" w:space="0" w:color="auto"/>
            </w:tcBorders>
            <w:shd w:val="clear" w:color="auto" w:fill="auto"/>
            <w:vAlign w:val="center"/>
            <w:hideMark/>
          </w:tcPr>
          <w:p w14:paraId="68442217"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108,395</w:t>
            </w:r>
          </w:p>
        </w:tc>
        <w:tc>
          <w:tcPr>
            <w:tcW w:w="1101" w:type="dxa"/>
            <w:tcBorders>
              <w:top w:val="nil"/>
              <w:left w:val="nil"/>
              <w:bottom w:val="nil"/>
              <w:right w:val="single" w:sz="8" w:space="0" w:color="auto"/>
            </w:tcBorders>
            <w:shd w:val="clear" w:color="auto" w:fill="auto"/>
            <w:vAlign w:val="center"/>
            <w:hideMark/>
          </w:tcPr>
          <w:p w14:paraId="18DCB256"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535,251</w:t>
            </w:r>
          </w:p>
        </w:tc>
      </w:tr>
      <w:tr w:rsidR="00D33F7C" w:rsidRPr="00037B23" w14:paraId="714C4FD8" w14:textId="77777777" w:rsidTr="00E213CE">
        <w:trPr>
          <w:trHeight w:val="366"/>
        </w:trPr>
        <w:tc>
          <w:tcPr>
            <w:tcW w:w="3498" w:type="dxa"/>
            <w:tcBorders>
              <w:top w:val="nil"/>
              <w:left w:val="single" w:sz="4" w:space="0" w:color="auto"/>
              <w:bottom w:val="nil"/>
              <w:right w:val="nil"/>
            </w:tcBorders>
            <w:shd w:val="clear" w:color="000000" w:fill="B4C6E7"/>
            <w:vAlign w:val="center"/>
            <w:hideMark/>
          </w:tcPr>
          <w:p w14:paraId="03A2F66C" w14:textId="77777777" w:rsidR="00D33F7C" w:rsidRPr="00037B23" w:rsidRDefault="00D33F7C" w:rsidP="00E213CE">
            <w:pPr>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The Saint-Petersburg International Mercantile Exchange</w:t>
            </w:r>
          </w:p>
        </w:tc>
        <w:tc>
          <w:tcPr>
            <w:tcW w:w="1170" w:type="dxa"/>
            <w:tcBorders>
              <w:top w:val="nil"/>
              <w:left w:val="single" w:sz="8" w:space="0" w:color="auto"/>
              <w:bottom w:val="nil"/>
              <w:right w:val="single" w:sz="8" w:space="0" w:color="auto"/>
            </w:tcBorders>
            <w:shd w:val="clear" w:color="auto" w:fill="auto"/>
            <w:vAlign w:val="center"/>
            <w:hideMark/>
          </w:tcPr>
          <w:p w14:paraId="1DD44B6D"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5,532</w:t>
            </w:r>
          </w:p>
        </w:tc>
        <w:tc>
          <w:tcPr>
            <w:tcW w:w="1097" w:type="dxa"/>
            <w:tcBorders>
              <w:top w:val="nil"/>
              <w:left w:val="nil"/>
              <w:bottom w:val="nil"/>
              <w:right w:val="single" w:sz="8" w:space="0" w:color="auto"/>
            </w:tcBorders>
            <w:shd w:val="clear" w:color="auto" w:fill="auto"/>
            <w:vAlign w:val="center"/>
            <w:hideMark/>
          </w:tcPr>
          <w:p w14:paraId="745E654B"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42</w:t>
            </w:r>
          </w:p>
        </w:tc>
        <w:tc>
          <w:tcPr>
            <w:tcW w:w="1100" w:type="dxa"/>
            <w:tcBorders>
              <w:top w:val="nil"/>
              <w:left w:val="nil"/>
              <w:bottom w:val="nil"/>
              <w:right w:val="single" w:sz="8" w:space="0" w:color="auto"/>
            </w:tcBorders>
            <w:shd w:val="clear" w:color="auto" w:fill="auto"/>
            <w:vAlign w:val="center"/>
            <w:hideMark/>
          </w:tcPr>
          <w:p w14:paraId="6460E023"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 xml:space="preserve"> 3,559</w:t>
            </w:r>
          </w:p>
        </w:tc>
        <w:tc>
          <w:tcPr>
            <w:tcW w:w="1098" w:type="dxa"/>
            <w:tcBorders>
              <w:top w:val="nil"/>
              <w:left w:val="nil"/>
              <w:bottom w:val="nil"/>
              <w:right w:val="single" w:sz="8" w:space="0" w:color="auto"/>
            </w:tcBorders>
            <w:shd w:val="clear" w:color="auto" w:fill="auto"/>
            <w:vAlign w:val="center"/>
            <w:hideMark/>
          </w:tcPr>
          <w:p w14:paraId="73837C26"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1096" w:type="dxa"/>
            <w:tcBorders>
              <w:top w:val="nil"/>
              <w:left w:val="nil"/>
              <w:bottom w:val="nil"/>
              <w:right w:val="single" w:sz="8" w:space="0" w:color="auto"/>
            </w:tcBorders>
            <w:shd w:val="clear" w:color="auto" w:fill="auto"/>
            <w:vAlign w:val="center"/>
            <w:hideMark/>
          </w:tcPr>
          <w:p w14:paraId="163EAB0E"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c>
          <w:tcPr>
            <w:tcW w:w="1101" w:type="dxa"/>
            <w:tcBorders>
              <w:top w:val="nil"/>
              <w:left w:val="nil"/>
              <w:bottom w:val="nil"/>
              <w:right w:val="single" w:sz="8" w:space="0" w:color="auto"/>
            </w:tcBorders>
            <w:shd w:val="clear" w:color="auto" w:fill="auto"/>
            <w:vAlign w:val="center"/>
            <w:hideMark/>
          </w:tcPr>
          <w:p w14:paraId="7D34E544" w14:textId="77777777" w:rsidR="00D33F7C" w:rsidRPr="00037B23" w:rsidRDefault="00D33F7C" w:rsidP="00E213CE">
            <w:pPr>
              <w:jc w:val="right"/>
              <w:rPr>
                <w:rFonts w:ascii="Garamond" w:eastAsia="Times New Roman" w:hAnsi="Garamond" w:cs="Calibri"/>
                <w:color w:val="000000"/>
                <w:sz w:val="20"/>
                <w:szCs w:val="20"/>
                <w:lang w:val="en-IN" w:eastAsia="en-IN" w:bidi="hi-IN"/>
              </w:rPr>
            </w:pPr>
            <w:r w:rsidRPr="00037B23">
              <w:rPr>
                <w:rFonts w:ascii="Garamond" w:eastAsia="Times New Roman" w:hAnsi="Garamond" w:cs="Calibri"/>
                <w:color w:val="000000"/>
                <w:sz w:val="20"/>
                <w:szCs w:val="20"/>
                <w:lang w:val="en-IN" w:eastAsia="en-IN" w:bidi="hi-IN"/>
              </w:rPr>
              <w:t>NA</w:t>
            </w:r>
          </w:p>
        </w:tc>
      </w:tr>
      <w:tr w:rsidR="00D33F7C" w:rsidRPr="00037B23" w14:paraId="72598ACA" w14:textId="77777777" w:rsidTr="00E213CE">
        <w:trPr>
          <w:trHeight w:val="220"/>
        </w:trPr>
        <w:tc>
          <w:tcPr>
            <w:tcW w:w="3498" w:type="dxa"/>
            <w:tcBorders>
              <w:top w:val="single" w:sz="8" w:space="0" w:color="auto"/>
              <w:left w:val="single" w:sz="8" w:space="0" w:color="auto"/>
              <w:bottom w:val="single" w:sz="8" w:space="0" w:color="auto"/>
              <w:right w:val="nil"/>
            </w:tcBorders>
            <w:shd w:val="clear" w:color="000000" w:fill="D9E1F2"/>
            <w:vAlign w:val="center"/>
            <w:hideMark/>
          </w:tcPr>
          <w:p w14:paraId="17A01246" w14:textId="77777777" w:rsidR="00D33F7C" w:rsidRPr="00037B23" w:rsidRDefault="00D33F7C" w:rsidP="00E213CE">
            <w:pPr>
              <w:rPr>
                <w:rFonts w:ascii="Garamond" w:eastAsia="Times New Roman" w:hAnsi="Garamond" w:cs="Calibri"/>
                <w:b/>
                <w:bCs/>
                <w:color w:val="000000"/>
                <w:sz w:val="20"/>
                <w:szCs w:val="20"/>
                <w:lang w:val="en-IN" w:eastAsia="en-IN" w:bidi="hi-IN"/>
              </w:rPr>
            </w:pPr>
            <w:r w:rsidRPr="00037B23">
              <w:rPr>
                <w:rFonts w:ascii="Garamond" w:eastAsia="Times New Roman" w:hAnsi="Garamond" w:cs="Calibri"/>
                <w:b/>
                <w:bCs/>
                <w:color w:val="000000"/>
                <w:sz w:val="20"/>
                <w:szCs w:val="20"/>
                <w:lang w:val="en-IN" w:eastAsia="en-IN" w:bidi="hi-IN"/>
              </w:rPr>
              <w:t>Grand Total</w:t>
            </w:r>
          </w:p>
        </w:tc>
        <w:tc>
          <w:tcPr>
            <w:tcW w:w="1170" w:type="dxa"/>
            <w:tcBorders>
              <w:top w:val="single" w:sz="8" w:space="0" w:color="auto"/>
              <w:left w:val="nil"/>
              <w:bottom w:val="single" w:sz="8" w:space="0" w:color="auto"/>
              <w:right w:val="nil"/>
            </w:tcBorders>
            <w:shd w:val="clear" w:color="000000" w:fill="D9E1F2"/>
            <w:vAlign w:val="bottom"/>
            <w:hideMark/>
          </w:tcPr>
          <w:p w14:paraId="72E9C432" w14:textId="77777777" w:rsidR="00D33F7C" w:rsidRPr="00037B23" w:rsidRDefault="00D33F7C" w:rsidP="00E213CE">
            <w:pPr>
              <w:jc w:val="right"/>
              <w:rPr>
                <w:rFonts w:ascii="Garamond" w:eastAsia="Times New Roman" w:hAnsi="Garamond" w:cs="Calibri"/>
                <w:b/>
                <w:bCs/>
                <w:color w:val="000000"/>
                <w:sz w:val="20"/>
                <w:szCs w:val="20"/>
                <w:lang w:val="en-IN" w:eastAsia="en-IN" w:bidi="hi-IN"/>
              </w:rPr>
            </w:pPr>
            <w:r w:rsidRPr="00037B23">
              <w:rPr>
                <w:rFonts w:ascii="Garamond" w:eastAsia="Times New Roman" w:hAnsi="Garamond" w:cs="Calibri"/>
                <w:b/>
                <w:bCs/>
                <w:color w:val="000000"/>
                <w:sz w:val="20"/>
                <w:szCs w:val="20"/>
                <w:lang w:val="en-IN" w:eastAsia="en-IN" w:bidi="hi-IN"/>
              </w:rPr>
              <w:t xml:space="preserve"> 774,853,490</w:t>
            </w:r>
          </w:p>
        </w:tc>
        <w:tc>
          <w:tcPr>
            <w:tcW w:w="1097" w:type="dxa"/>
            <w:tcBorders>
              <w:top w:val="single" w:sz="8" w:space="0" w:color="auto"/>
              <w:left w:val="nil"/>
              <w:bottom w:val="single" w:sz="8" w:space="0" w:color="auto"/>
              <w:right w:val="nil"/>
            </w:tcBorders>
            <w:shd w:val="clear" w:color="000000" w:fill="D9E1F2"/>
            <w:vAlign w:val="bottom"/>
            <w:hideMark/>
          </w:tcPr>
          <w:p w14:paraId="0D1897EC" w14:textId="77777777" w:rsidR="00D33F7C" w:rsidRPr="00037B23" w:rsidRDefault="00D33F7C" w:rsidP="00E213CE">
            <w:pPr>
              <w:jc w:val="right"/>
              <w:rPr>
                <w:rFonts w:ascii="Garamond" w:eastAsia="Times New Roman" w:hAnsi="Garamond" w:cs="Calibri"/>
                <w:b/>
                <w:bCs/>
                <w:color w:val="000000"/>
                <w:sz w:val="20"/>
                <w:szCs w:val="20"/>
                <w:lang w:val="en-IN" w:eastAsia="en-IN" w:bidi="hi-IN"/>
              </w:rPr>
            </w:pPr>
            <w:r w:rsidRPr="00037B23">
              <w:rPr>
                <w:rFonts w:ascii="Garamond" w:eastAsia="Times New Roman" w:hAnsi="Garamond" w:cs="Calibri"/>
                <w:b/>
                <w:bCs/>
                <w:color w:val="000000"/>
                <w:sz w:val="20"/>
                <w:szCs w:val="20"/>
                <w:lang w:val="en-IN" w:eastAsia="en-IN" w:bidi="hi-IN"/>
              </w:rPr>
              <w:t xml:space="preserve"> 13,171,262</w:t>
            </w:r>
          </w:p>
        </w:tc>
        <w:tc>
          <w:tcPr>
            <w:tcW w:w="1100" w:type="dxa"/>
            <w:tcBorders>
              <w:top w:val="single" w:sz="8" w:space="0" w:color="auto"/>
              <w:left w:val="nil"/>
              <w:bottom w:val="single" w:sz="8" w:space="0" w:color="auto"/>
              <w:right w:val="nil"/>
            </w:tcBorders>
            <w:shd w:val="clear" w:color="000000" w:fill="D9E1F2"/>
            <w:vAlign w:val="bottom"/>
            <w:hideMark/>
          </w:tcPr>
          <w:p w14:paraId="0388DFA0" w14:textId="77777777" w:rsidR="00D33F7C" w:rsidRPr="00037B23" w:rsidRDefault="00D33F7C" w:rsidP="00E213CE">
            <w:pPr>
              <w:jc w:val="right"/>
              <w:rPr>
                <w:rFonts w:ascii="Garamond" w:eastAsia="Times New Roman" w:hAnsi="Garamond" w:cs="Calibri"/>
                <w:b/>
                <w:bCs/>
                <w:color w:val="000000"/>
                <w:sz w:val="20"/>
                <w:szCs w:val="20"/>
                <w:lang w:val="en-IN" w:eastAsia="en-IN" w:bidi="hi-IN"/>
              </w:rPr>
            </w:pPr>
            <w:r w:rsidRPr="00037B23">
              <w:rPr>
                <w:rFonts w:ascii="Garamond" w:eastAsia="Times New Roman" w:hAnsi="Garamond" w:cs="Calibri"/>
                <w:b/>
                <w:bCs/>
                <w:color w:val="000000"/>
                <w:sz w:val="20"/>
                <w:szCs w:val="20"/>
                <w:lang w:val="en-IN" w:eastAsia="en-IN" w:bidi="hi-IN"/>
              </w:rPr>
              <w:t xml:space="preserve"> 47,167,875</w:t>
            </w:r>
          </w:p>
        </w:tc>
        <w:tc>
          <w:tcPr>
            <w:tcW w:w="1098" w:type="dxa"/>
            <w:tcBorders>
              <w:top w:val="single" w:sz="8" w:space="0" w:color="auto"/>
              <w:left w:val="nil"/>
              <w:bottom w:val="single" w:sz="8" w:space="0" w:color="auto"/>
              <w:right w:val="nil"/>
            </w:tcBorders>
            <w:shd w:val="clear" w:color="000000" w:fill="D9E1F2"/>
            <w:vAlign w:val="bottom"/>
            <w:hideMark/>
          </w:tcPr>
          <w:p w14:paraId="34F7BB04" w14:textId="77777777" w:rsidR="00D33F7C" w:rsidRPr="00037B23" w:rsidRDefault="00D33F7C" w:rsidP="00E213CE">
            <w:pPr>
              <w:jc w:val="right"/>
              <w:rPr>
                <w:rFonts w:ascii="Garamond" w:eastAsia="Times New Roman" w:hAnsi="Garamond" w:cs="Calibri"/>
                <w:b/>
                <w:bCs/>
                <w:color w:val="000000"/>
                <w:sz w:val="20"/>
                <w:szCs w:val="20"/>
                <w:lang w:val="en-IN" w:eastAsia="en-IN" w:bidi="hi-IN"/>
              </w:rPr>
            </w:pPr>
            <w:r w:rsidRPr="00037B23">
              <w:rPr>
                <w:rFonts w:ascii="Garamond" w:eastAsia="Times New Roman" w:hAnsi="Garamond" w:cs="Calibri"/>
                <w:b/>
                <w:bCs/>
                <w:color w:val="000000"/>
                <w:sz w:val="20"/>
                <w:szCs w:val="20"/>
                <w:lang w:val="en-IN" w:eastAsia="en-IN" w:bidi="hi-IN"/>
              </w:rPr>
              <w:t xml:space="preserve"> 29,091,913</w:t>
            </w:r>
          </w:p>
        </w:tc>
        <w:tc>
          <w:tcPr>
            <w:tcW w:w="1096" w:type="dxa"/>
            <w:tcBorders>
              <w:top w:val="single" w:sz="8" w:space="0" w:color="auto"/>
              <w:left w:val="nil"/>
              <w:bottom w:val="single" w:sz="8" w:space="0" w:color="auto"/>
              <w:right w:val="nil"/>
            </w:tcBorders>
            <w:shd w:val="clear" w:color="000000" w:fill="D9E1F2"/>
            <w:vAlign w:val="bottom"/>
            <w:hideMark/>
          </w:tcPr>
          <w:p w14:paraId="1ECE63A5" w14:textId="77777777" w:rsidR="00D33F7C" w:rsidRPr="00037B23" w:rsidRDefault="00D33F7C" w:rsidP="00E213CE">
            <w:pPr>
              <w:jc w:val="right"/>
              <w:rPr>
                <w:rFonts w:ascii="Garamond" w:eastAsia="Times New Roman" w:hAnsi="Garamond" w:cs="Calibri"/>
                <w:b/>
                <w:bCs/>
                <w:color w:val="000000"/>
                <w:sz w:val="20"/>
                <w:szCs w:val="20"/>
                <w:lang w:val="en-IN" w:eastAsia="en-IN" w:bidi="hi-IN"/>
              </w:rPr>
            </w:pPr>
            <w:r w:rsidRPr="00037B23">
              <w:rPr>
                <w:rFonts w:ascii="Garamond" w:eastAsia="Times New Roman" w:hAnsi="Garamond" w:cs="Calibri"/>
                <w:b/>
                <w:bCs/>
                <w:color w:val="000000"/>
                <w:sz w:val="20"/>
                <w:szCs w:val="20"/>
                <w:lang w:val="en-IN" w:eastAsia="en-IN" w:bidi="hi-IN"/>
              </w:rPr>
              <w:t xml:space="preserve"> 825,811</w:t>
            </w:r>
          </w:p>
        </w:tc>
        <w:tc>
          <w:tcPr>
            <w:tcW w:w="1101" w:type="dxa"/>
            <w:tcBorders>
              <w:top w:val="single" w:sz="8" w:space="0" w:color="auto"/>
              <w:left w:val="nil"/>
              <w:bottom w:val="single" w:sz="8" w:space="0" w:color="auto"/>
              <w:right w:val="single" w:sz="8" w:space="0" w:color="auto"/>
            </w:tcBorders>
            <w:shd w:val="clear" w:color="000000" w:fill="D9E1F2"/>
            <w:vAlign w:val="bottom"/>
            <w:hideMark/>
          </w:tcPr>
          <w:p w14:paraId="6ED16696" w14:textId="77777777" w:rsidR="00D33F7C" w:rsidRPr="00037B23" w:rsidRDefault="00D33F7C" w:rsidP="00E213CE">
            <w:pPr>
              <w:jc w:val="right"/>
              <w:rPr>
                <w:rFonts w:ascii="Garamond" w:eastAsia="Times New Roman" w:hAnsi="Garamond" w:cs="Calibri"/>
                <w:b/>
                <w:bCs/>
                <w:color w:val="000000"/>
                <w:sz w:val="20"/>
                <w:szCs w:val="20"/>
                <w:lang w:val="en-IN" w:eastAsia="en-IN" w:bidi="hi-IN"/>
              </w:rPr>
            </w:pPr>
            <w:r w:rsidRPr="00037B23">
              <w:rPr>
                <w:rFonts w:ascii="Garamond" w:eastAsia="Times New Roman" w:hAnsi="Garamond" w:cs="Calibri"/>
                <w:b/>
                <w:bCs/>
                <w:color w:val="000000"/>
                <w:sz w:val="20"/>
                <w:szCs w:val="20"/>
                <w:lang w:val="en-IN" w:eastAsia="en-IN" w:bidi="hi-IN"/>
              </w:rPr>
              <w:t xml:space="preserve"> 15,683,202</w:t>
            </w:r>
          </w:p>
        </w:tc>
      </w:tr>
    </w:tbl>
    <w:p w14:paraId="702E62C9" w14:textId="77777777" w:rsidR="00D33F7C" w:rsidRPr="001D2656" w:rsidRDefault="00D33F7C" w:rsidP="00D33F7C">
      <w:pPr>
        <w:spacing w:line="23" w:lineRule="atLeast"/>
        <w:rPr>
          <w:rFonts w:ascii="Garamond" w:hAnsi="Garamond"/>
          <w:bCs/>
          <w:sz w:val="18"/>
          <w:szCs w:val="18"/>
        </w:rPr>
      </w:pPr>
      <w:r w:rsidRPr="001D2656">
        <w:rPr>
          <w:rFonts w:ascii="Garamond" w:hAnsi="Garamond"/>
          <w:bCs/>
          <w:sz w:val="18"/>
          <w:szCs w:val="18"/>
        </w:rPr>
        <w:t xml:space="preserve"> NA: Not Available</w:t>
      </w:r>
    </w:p>
    <w:p w14:paraId="3E90BF84" w14:textId="77777777" w:rsidR="00D33F7C" w:rsidRPr="001D2656" w:rsidRDefault="00D33F7C" w:rsidP="00D33F7C">
      <w:pPr>
        <w:spacing w:line="23" w:lineRule="atLeast"/>
        <w:jc w:val="both"/>
        <w:outlineLvl w:val="0"/>
        <w:rPr>
          <w:rFonts w:ascii="Garamond" w:hAnsi="Garamond"/>
          <w:bCs/>
          <w:sz w:val="18"/>
          <w:szCs w:val="18"/>
        </w:rPr>
      </w:pPr>
      <w:r w:rsidRPr="001D2656">
        <w:rPr>
          <w:rFonts w:ascii="Garamond" w:hAnsi="Garamond"/>
          <w:bCs/>
          <w:sz w:val="18"/>
          <w:szCs w:val="18"/>
        </w:rPr>
        <w:t>Source: World Federation of Exchanges</w:t>
      </w:r>
    </w:p>
    <w:p w14:paraId="044B0413" w14:textId="77777777" w:rsidR="007C2E4F" w:rsidRDefault="007C2E4F" w:rsidP="007C2E4F">
      <w:pPr>
        <w:rPr>
          <w:rFonts w:ascii="Times New Roman" w:hAnsi="Times New Roman"/>
          <w:bCs/>
          <w:sz w:val="18"/>
          <w:szCs w:val="18"/>
        </w:rPr>
      </w:pPr>
    </w:p>
    <w:p w14:paraId="4CE7F477" w14:textId="77777777" w:rsidR="007C2E4F" w:rsidRDefault="007C2E4F" w:rsidP="007C2E4F">
      <w:pPr>
        <w:rPr>
          <w:rFonts w:ascii="Times New Roman" w:hAnsi="Times New Roman"/>
          <w:bCs/>
          <w:sz w:val="18"/>
          <w:szCs w:val="18"/>
        </w:rPr>
      </w:pPr>
    </w:p>
    <w:p w14:paraId="799A4F78" w14:textId="77777777" w:rsidR="007C2E4F" w:rsidRDefault="007C2E4F" w:rsidP="007C2E4F">
      <w:pPr>
        <w:rPr>
          <w:rFonts w:ascii="Times New Roman" w:hAnsi="Times New Roman"/>
          <w:bCs/>
          <w:sz w:val="18"/>
          <w:szCs w:val="18"/>
        </w:rPr>
      </w:pPr>
    </w:p>
    <w:p w14:paraId="2FE7B16B" w14:textId="77777777" w:rsidR="007C2E4F" w:rsidRDefault="007C2E4F" w:rsidP="007C2E4F">
      <w:pPr>
        <w:rPr>
          <w:rFonts w:ascii="Times New Roman" w:hAnsi="Times New Roman"/>
          <w:bCs/>
          <w:sz w:val="18"/>
          <w:szCs w:val="18"/>
        </w:rPr>
      </w:pPr>
    </w:p>
    <w:p w14:paraId="668E3567" w14:textId="77777777" w:rsidR="007C2E4F" w:rsidRDefault="007C2E4F" w:rsidP="007C2E4F">
      <w:pPr>
        <w:rPr>
          <w:rFonts w:ascii="Times New Roman" w:hAnsi="Times New Roman"/>
          <w:bCs/>
          <w:sz w:val="18"/>
          <w:szCs w:val="18"/>
        </w:rPr>
      </w:pPr>
    </w:p>
    <w:p w14:paraId="78A3A0F5" w14:textId="77777777" w:rsidR="007C2E4F" w:rsidRDefault="007C2E4F" w:rsidP="007C2E4F">
      <w:pPr>
        <w:rPr>
          <w:rFonts w:ascii="Times New Roman" w:hAnsi="Times New Roman"/>
          <w:bCs/>
          <w:sz w:val="18"/>
          <w:szCs w:val="18"/>
        </w:rPr>
      </w:pPr>
    </w:p>
    <w:p w14:paraId="3862D077" w14:textId="77777777" w:rsidR="007C2E4F" w:rsidRDefault="007C2E4F" w:rsidP="007C2E4F">
      <w:pPr>
        <w:rPr>
          <w:rFonts w:ascii="Times New Roman" w:hAnsi="Times New Roman"/>
          <w:bCs/>
          <w:sz w:val="18"/>
          <w:szCs w:val="18"/>
        </w:rPr>
      </w:pPr>
    </w:p>
    <w:p w14:paraId="298724D5" w14:textId="77777777" w:rsidR="007C2E4F" w:rsidRDefault="007C2E4F" w:rsidP="007C2E4F">
      <w:pPr>
        <w:rPr>
          <w:rFonts w:ascii="Garamond" w:hAnsi="Garamond"/>
          <w:b/>
          <w:bCs/>
          <w:szCs w:val="22"/>
        </w:rPr>
      </w:pPr>
    </w:p>
    <w:p w14:paraId="409CB7E0" w14:textId="77777777" w:rsidR="007C2E4F" w:rsidRDefault="007C2E4F" w:rsidP="007C2E4F">
      <w:pPr>
        <w:rPr>
          <w:rFonts w:ascii="Garamond" w:hAnsi="Garamond"/>
          <w:b/>
          <w:bCs/>
          <w:szCs w:val="22"/>
        </w:rPr>
      </w:pPr>
    </w:p>
    <w:p w14:paraId="5746E491" w14:textId="77777777" w:rsidR="007C2E4F" w:rsidRDefault="007C2E4F" w:rsidP="007C2E4F">
      <w:pPr>
        <w:rPr>
          <w:rFonts w:ascii="Garamond" w:hAnsi="Garamond"/>
          <w:b/>
          <w:bCs/>
          <w:szCs w:val="22"/>
        </w:rPr>
      </w:pPr>
    </w:p>
    <w:p w14:paraId="55BB607F" w14:textId="77777777" w:rsidR="007C2E4F" w:rsidRDefault="007C2E4F" w:rsidP="007C2E4F">
      <w:pPr>
        <w:rPr>
          <w:rFonts w:ascii="Garamond" w:hAnsi="Garamond"/>
          <w:b/>
          <w:bCs/>
          <w:szCs w:val="22"/>
        </w:rPr>
      </w:pPr>
    </w:p>
    <w:p w14:paraId="1071CF77" w14:textId="77777777" w:rsidR="007C2E4F" w:rsidRDefault="007C2E4F" w:rsidP="007C2E4F">
      <w:pPr>
        <w:rPr>
          <w:rFonts w:ascii="Garamond" w:hAnsi="Garamond"/>
          <w:b/>
          <w:bCs/>
          <w:szCs w:val="22"/>
        </w:rPr>
      </w:pPr>
    </w:p>
    <w:p w14:paraId="7930CE36" w14:textId="77777777" w:rsidR="007C2E4F" w:rsidRDefault="007C2E4F" w:rsidP="007C2E4F">
      <w:pPr>
        <w:rPr>
          <w:rFonts w:ascii="Garamond" w:hAnsi="Garamond"/>
          <w:b/>
          <w:bCs/>
          <w:szCs w:val="22"/>
        </w:rPr>
      </w:pPr>
    </w:p>
    <w:p w14:paraId="6063E07B" w14:textId="77777777" w:rsidR="007C2E4F" w:rsidRDefault="007C2E4F" w:rsidP="007C2E4F">
      <w:pPr>
        <w:rPr>
          <w:rFonts w:ascii="Garamond" w:hAnsi="Garamond"/>
          <w:b/>
          <w:bCs/>
          <w:szCs w:val="22"/>
        </w:rPr>
      </w:pPr>
    </w:p>
    <w:p w14:paraId="72A7BA0E" w14:textId="77777777" w:rsidR="007C2E4F" w:rsidRDefault="007C2E4F" w:rsidP="007C2E4F">
      <w:pPr>
        <w:rPr>
          <w:rFonts w:ascii="Garamond" w:hAnsi="Garamond"/>
          <w:b/>
          <w:bCs/>
          <w:szCs w:val="22"/>
        </w:rPr>
      </w:pPr>
    </w:p>
    <w:p w14:paraId="27999017" w14:textId="77777777" w:rsidR="007C2E4F" w:rsidRDefault="007C2E4F" w:rsidP="007C2E4F">
      <w:pPr>
        <w:rPr>
          <w:rFonts w:ascii="Garamond" w:hAnsi="Garamond"/>
          <w:b/>
          <w:bCs/>
          <w:szCs w:val="22"/>
        </w:rPr>
      </w:pPr>
    </w:p>
    <w:p w14:paraId="49399680" w14:textId="77777777" w:rsidR="007C2E4F" w:rsidRDefault="007C2E4F" w:rsidP="007C2E4F">
      <w:pPr>
        <w:rPr>
          <w:rFonts w:ascii="Garamond" w:hAnsi="Garamond"/>
          <w:b/>
          <w:bCs/>
          <w:szCs w:val="22"/>
        </w:rPr>
      </w:pPr>
    </w:p>
    <w:p w14:paraId="414F85AA" w14:textId="77777777" w:rsidR="007C2E4F" w:rsidRDefault="007C2E4F" w:rsidP="007C2E4F">
      <w:pPr>
        <w:rPr>
          <w:rFonts w:ascii="Garamond" w:hAnsi="Garamond"/>
          <w:b/>
          <w:bCs/>
          <w:szCs w:val="22"/>
        </w:rPr>
      </w:pPr>
    </w:p>
    <w:p w14:paraId="22C7AA71" w14:textId="77777777" w:rsidR="007C2E4F" w:rsidRDefault="007C2E4F" w:rsidP="007C2E4F">
      <w:pPr>
        <w:rPr>
          <w:rFonts w:ascii="Garamond" w:hAnsi="Garamond"/>
          <w:b/>
          <w:bCs/>
          <w:szCs w:val="22"/>
        </w:rPr>
      </w:pPr>
    </w:p>
    <w:p w14:paraId="60E2892A" w14:textId="77777777" w:rsidR="007C2E4F" w:rsidRDefault="007C2E4F" w:rsidP="007C2E4F">
      <w:pPr>
        <w:rPr>
          <w:rFonts w:ascii="Garamond" w:hAnsi="Garamond"/>
          <w:b/>
          <w:bCs/>
          <w:szCs w:val="22"/>
        </w:rPr>
      </w:pPr>
    </w:p>
    <w:p w14:paraId="4BD9AE50" w14:textId="439D4ACA" w:rsidR="00D33F7C" w:rsidRPr="007C2E4F" w:rsidRDefault="00D33F7C" w:rsidP="007C2E4F">
      <w:pPr>
        <w:rPr>
          <w:rFonts w:ascii="Times New Roman" w:hAnsi="Times New Roman"/>
          <w:bCs/>
          <w:sz w:val="18"/>
          <w:szCs w:val="18"/>
        </w:rPr>
      </w:pPr>
      <w:r w:rsidRPr="001D2656">
        <w:rPr>
          <w:rFonts w:ascii="Garamond" w:hAnsi="Garamond"/>
          <w:b/>
          <w:bCs/>
          <w:szCs w:val="22"/>
        </w:rPr>
        <w:lastRenderedPageBreak/>
        <w:t>Table A9: Major Foreign Holders of US Treasury Securities (USD billion)</w:t>
      </w:r>
    </w:p>
    <w:tbl>
      <w:tblPr>
        <w:tblW w:w="10479" w:type="dxa"/>
        <w:tblInd w:w="118" w:type="dxa"/>
        <w:tblLook w:val="04A0" w:firstRow="1" w:lastRow="0" w:firstColumn="1" w:lastColumn="0" w:noHBand="0" w:noVBand="1"/>
      </w:tblPr>
      <w:tblGrid>
        <w:gridCol w:w="1551"/>
        <w:gridCol w:w="744"/>
        <w:gridCol w:w="744"/>
        <w:gridCol w:w="744"/>
        <w:gridCol w:w="744"/>
        <w:gridCol w:w="744"/>
        <w:gridCol w:w="744"/>
        <w:gridCol w:w="744"/>
        <w:gridCol w:w="744"/>
        <w:gridCol w:w="744"/>
        <w:gridCol w:w="744"/>
        <w:gridCol w:w="744"/>
        <w:gridCol w:w="744"/>
      </w:tblGrid>
      <w:tr w:rsidR="00D33F7C" w:rsidRPr="00AF27AC" w14:paraId="5B4992CD" w14:textId="77777777" w:rsidTr="00E213CE">
        <w:trPr>
          <w:trHeight w:val="285"/>
        </w:trPr>
        <w:tc>
          <w:tcPr>
            <w:tcW w:w="1551" w:type="dxa"/>
            <w:vMerge w:val="restart"/>
            <w:tcBorders>
              <w:top w:val="single" w:sz="8" w:space="0" w:color="auto"/>
              <w:left w:val="single" w:sz="8" w:space="0" w:color="auto"/>
              <w:bottom w:val="nil"/>
              <w:right w:val="single" w:sz="4" w:space="0" w:color="000000"/>
            </w:tcBorders>
            <w:shd w:val="clear" w:color="auto" w:fill="auto"/>
            <w:noWrap/>
            <w:vAlign w:val="center"/>
            <w:hideMark/>
          </w:tcPr>
          <w:p w14:paraId="79011CA2" w14:textId="77777777" w:rsidR="00D33F7C" w:rsidRPr="00AF27AC" w:rsidRDefault="00D33F7C" w:rsidP="00E213CE">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Country/ Month</w:t>
            </w:r>
          </w:p>
        </w:tc>
        <w:tc>
          <w:tcPr>
            <w:tcW w:w="744" w:type="dxa"/>
            <w:tcBorders>
              <w:top w:val="single" w:sz="8" w:space="0" w:color="auto"/>
              <w:left w:val="single" w:sz="8" w:space="0" w:color="auto"/>
              <w:bottom w:val="single" w:sz="8" w:space="0" w:color="auto"/>
              <w:right w:val="nil"/>
            </w:tcBorders>
            <w:shd w:val="clear" w:color="000000" w:fill="FFFFFF"/>
            <w:noWrap/>
            <w:vAlign w:val="center"/>
            <w:hideMark/>
          </w:tcPr>
          <w:p w14:paraId="3AB4706F" w14:textId="77777777" w:rsidR="00D33F7C" w:rsidRPr="00AF27AC" w:rsidRDefault="00D33F7C" w:rsidP="00E213CE">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 </w:t>
            </w:r>
          </w:p>
        </w:tc>
        <w:tc>
          <w:tcPr>
            <w:tcW w:w="744" w:type="dxa"/>
            <w:tcBorders>
              <w:top w:val="single" w:sz="8" w:space="0" w:color="auto"/>
              <w:left w:val="nil"/>
              <w:bottom w:val="single" w:sz="8" w:space="0" w:color="auto"/>
              <w:right w:val="nil"/>
            </w:tcBorders>
            <w:shd w:val="clear" w:color="000000" w:fill="FFFFFF"/>
            <w:noWrap/>
            <w:vAlign w:val="center"/>
            <w:hideMark/>
          </w:tcPr>
          <w:p w14:paraId="374A1649" w14:textId="77777777" w:rsidR="00D33F7C" w:rsidRPr="00AF27AC" w:rsidRDefault="00D33F7C" w:rsidP="00E213CE">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 </w:t>
            </w:r>
          </w:p>
        </w:tc>
        <w:tc>
          <w:tcPr>
            <w:tcW w:w="744" w:type="dxa"/>
            <w:tcBorders>
              <w:top w:val="single" w:sz="8" w:space="0" w:color="auto"/>
              <w:left w:val="nil"/>
              <w:bottom w:val="single" w:sz="8" w:space="0" w:color="auto"/>
              <w:right w:val="nil"/>
            </w:tcBorders>
            <w:shd w:val="clear" w:color="000000" w:fill="FFFFFF"/>
            <w:noWrap/>
            <w:vAlign w:val="center"/>
            <w:hideMark/>
          </w:tcPr>
          <w:p w14:paraId="3045BEB2" w14:textId="77777777" w:rsidR="00D33F7C" w:rsidRPr="00AF27AC" w:rsidRDefault="00D33F7C" w:rsidP="00E213CE">
            <w:pP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 </w:t>
            </w:r>
          </w:p>
        </w:tc>
        <w:tc>
          <w:tcPr>
            <w:tcW w:w="744" w:type="dxa"/>
            <w:tcBorders>
              <w:top w:val="single" w:sz="8" w:space="0" w:color="auto"/>
              <w:left w:val="nil"/>
              <w:bottom w:val="single" w:sz="8" w:space="0" w:color="auto"/>
              <w:right w:val="nil"/>
            </w:tcBorders>
            <w:shd w:val="clear" w:color="000000" w:fill="FFFFFF"/>
            <w:noWrap/>
            <w:vAlign w:val="center"/>
            <w:hideMark/>
          </w:tcPr>
          <w:p w14:paraId="7EB173C6" w14:textId="77777777" w:rsidR="00D33F7C" w:rsidRPr="00AF27AC" w:rsidRDefault="00D33F7C" w:rsidP="00E213CE">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 </w:t>
            </w:r>
          </w:p>
        </w:tc>
        <w:tc>
          <w:tcPr>
            <w:tcW w:w="744" w:type="dxa"/>
            <w:tcBorders>
              <w:top w:val="single" w:sz="8" w:space="0" w:color="auto"/>
              <w:left w:val="nil"/>
              <w:bottom w:val="single" w:sz="8" w:space="0" w:color="auto"/>
              <w:right w:val="nil"/>
            </w:tcBorders>
            <w:shd w:val="clear" w:color="000000" w:fill="FFFFFF"/>
            <w:noWrap/>
            <w:vAlign w:val="center"/>
            <w:hideMark/>
          </w:tcPr>
          <w:p w14:paraId="78B36D36" w14:textId="77777777" w:rsidR="00D33F7C" w:rsidRPr="00AF27AC" w:rsidRDefault="00D33F7C" w:rsidP="00E213CE">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2020</w:t>
            </w:r>
          </w:p>
        </w:tc>
        <w:tc>
          <w:tcPr>
            <w:tcW w:w="744" w:type="dxa"/>
            <w:tcBorders>
              <w:top w:val="single" w:sz="8" w:space="0" w:color="auto"/>
              <w:left w:val="nil"/>
              <w:bottom w:val="single" w:sz="8" w:space="0" w:color="auto"/>
              <w:right w:val="nil"/>
            </w:tcBorders>
            <w:shd w:val="clear" w:color="000000" w:fill="FFFFFF"/>
            <w:noWrap/>
            <w:vAlign w:val="center"/>
            <w:hideMark/>
          </w:tcPr>
          <w:p w14:paraId="16719B3E" w14:textId="77777777" w:rsidR="00D33F7C" w:rsidRPr="00AF27AC" w:rsidRDefault="00D33F7C" w:rsidP="00E213CE">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 </w:t>
            </w:r>
          </w:p>
        </w:tc>
        <w:tc>
          <w:tcPr>
            <w:tcW w:w="744" w:type="dxa"/>
            <w:tcBorders>
              <w:top w:val="single" w:sz="8" w:space="0" w:color="auto"/>
              <w:left w:val="nil"/>
              <w:bottom w:val="single" w:sz="8" w:space="0" w:color="auto"/>
              <w:right w:val="nil"/>
            </w:tcBorders>
            <w:shd w:val="clear" w:color="000000" w:fill="FFFFFF"/>
            <w:noWrap/>
            <w:vAlign w:val="center"/>
            <w:hideMark/>
          </w:tcPr>
          <w:p w14:paraId="1F5D5F49" w14:textId="77777777" w:rsidR="00D33F7C" w:rsidRPr="00AF27AC" w:rsidRDefault="00D33F7C" w:rsidP="00E213CE">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 </w:t>
            </w:r>
          </w:p>
        </w:tc>
        <w:tc>
          <w:tcPr>
            <w:tcW w:w="744" w:type="dxa"/>
            <w:tcBorders>
              <w:top w:val="single" w:sz="8" w:space="0" w:color="auto"/>
              <w:left w:val="nil"/>
              <w:bottom w:val="single" w:sz="8" w:space="0" w:color="auto"/>
              <w:right w:val="nil"/>
            </w:tcBorders>
            <w:shd w:val="clear" w:color="000000" w:fill="FFFFFF"/>
            <w:noWrap/>
            <w:vAlign w:val="center"/>
            <w:hideMark/>
          </w:tcPr>
          <w:p w14:paraId="5C1D2B1D" w14:textId="77777777" w:rsidR="00D33F7C" w:rsidRPr="00AF27AC" w:rsidRDefault="00D33F7C" w:rsidP="00E213CE">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 </w:t>
            </w:r>
          </w:p>
        </w:tc>
        <w:tc>
          <w:tcPr>
            <w:tcW w:w="744" w:type="dxa"/>
            <w:tcBorders>
              <w:top w:val="single" w:sz="8" w:space="0" w:color="auto"/>
              <w:left w:val="single" w:sz="8" w:space="0" w:color="auto"/>
              <w:bottom w:val="single" w:sz="8" w:space="0" w:color="auto"/>
              <w:right w:val="nil"/>
            </w:tcBorders>
            <w:shd w:val="clear" w:color="000000" w:fill="FFFFFF"/>
            <w:noWrap/>
            <w:vAlign w:val="center"/>
            <w:hideMark/>
          </w:tcPr>
          <w:p w14:paraId="660BEF32" w14:textId="77777777" w:rsidR="00D33F7C" w:rsidRPr="00AF27AC" w:rsidRDefault="00D33F7C" w:rsidP="00E213CE">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 </w:t>
            </w:r>
          </w:p>
        </w:tc>
        <w:tc>
          <w:tcPr>
            <w:tcW w:w="744" w:type="dxa"/>
            <w:tcBorders>
              <w:top w:val="single" w:sz="8" w:space="0" w:color="auto"/>
              <w:left w:val="nil"/>
              <w:bottom w:val="single" w:sz="8" w:space="0" w:color="auto"/>
              <w:right w:val="nil"/>
            </w:tcBorders>
            <w:shd w:val="clear" w:color="000000" w:fill="FFFFFF"/>
            <w:noWrap/>
            <w:vAlign w:val="center"/>
            <w:hideMark/>
          </w:tcPr>
          <w:p w14:paraId="72E42E13" w14:textId="77777777" w:rsidR="00D33F7C" w:rsidRPr="00AF27AC" w:rsidRDefault="00D33F7C" w:rsidP="00E213CE">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 </w:t>
            </w:r>
          </w:p>
        </w:tc>
        <w:tc>
          <w:tcPr>
            <w:tcW w:w="744" w:type="dxa"/>
            <w:tcBorders>
              <w:top w:val="single" w:sz="8" w:space="0" w:color="auto"/>
              <w:left w:val="nil"/>
              <w:bottom w:val="single" w:sz="8" w:space="0" w:color="auto"/>
              <w:right w:val="nil"/>
            </w:tcBorders>
            <w:shd w:val="clear" w:color="000000" w:fill="FFFFFF"/>
            <w:noWrap/>
            <w:vAlign w:val="center"/>
            <w:hideMark/>
          </w:tcPr>
          <w:p w14:paraId="36C871BC" w14:textId="77777777" w:rsidR="00D33F7C" w:rsidRPr="00AF27AC" w:rsidRDefault="00D33F7C" w:rsidP="00E213CE">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2021</w:t>
            </w:r>
          </w:p>
        </w:tc>
        <w:tc>
          <w:tcPr>
            <w:tcW w:w="744" w:type="dxa"/>
            <w:tcBorders>
              <w:top w:val="single" w:sz="8" w:space="0" w:color="auto"/>
              <w:left w:val="nil"/>
              <w:bottom w:val="single" w:sz="8" w:space="0" w:color="auto"/>
              <w:right w:val="single" w:sz="8" w:space="0" w:color="auto"/>
            </w:tcBorders>
            <w:shd w:val="clear" w:color="000000" w:fill="FFFFFF"/>
            <w:noWrap/>
            <w:vAlign w:val="center"/>
            <w:hideMark/>
          </w:tcPr>
          <w:p w14:paraId="42C00340" w14:textId="77777777" w:rsidR="00D33F7C" w:rsidRPr="00AF27AC" w:rsidRDefault="00D33F7C" w:rsidP="00E213CE">
            <w:pP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 </w:t>
            </w:r>
          </w:p>
        </w:tc>
      </w:tr>
      <w:tr w:rsidR="00D33F7C" w:rsidRPr="00AF27AC" w14:paraId="09185534" w14:textId="77777777" w:rsidTr="00E213CE">
        <w:trPr>
          <w:trHeight w:val="285"/>
        </w:trPr>
        <w:tc>
          <w:tcPr>
            <w:tcW w:w="1551" w:type="dxa"/>
            <w:vMerge/>
            <w:tcBorders>
              <w:top w:val="single" w:sz="8" w:space="0" w:color="auto"/>
              <w:left w:val="single" w:sz="8" w:space="0" w:color="auto"/>
              <w:bottom w:val="nil"/>
              <w:right w:val="single" w:sz="4" w:space="0" w:color="000000"/>
            </w:tcBorders>
            <w:vAlign w:val="center"/>
            <w:hideMark/>
          </w:tcPr>
          <w:p w14:paraId="3091B989" w14:textId="77777777" w:rsidR="00D33F7C" w:rsidRPr="00AF27AC" w:rsidRDefault="00D33F7C" w:rsidP="00E213CE">
            <w:pPr>
              <w:rPr>
                <w:rFonts w:ascii="Garamond" w:eastAsia="Times New Roman" w:hAnsi="Garamond" w:cs="Calibri"/>
                <w:b/>
                <w:bCs/>
                <w:color w:val="000000"/>
                <w:sz w:val="20"/>
                <w:szCs w:val="20"/>
                <w:lang w:val="en-IN" w:eastAsia="en-IN" w:bidi="hi-IN"/>
              </w:rPr>
            </w:pPr>
          </w:p>
        </w:tc>
        <w:tc>
          <w:tcPr>
            <w:tcW w:w="744" w:type="dxa"/>
            <w:tcBorders>
              <w:top w:val="nil"/>
              <w:left w:val="single" w:sz="8" w:space="0" w:color="auto"/>
              <w:bottom w:val="nil"/>
              <w:right w:val="nil"/>
            </w:tcBorders>
            <w:shd w:val="clear" w:color="auto" w:fill="auto"/>
            <w:noWrap/>
            <w:vAlign w:val="center"/>
            <w:hideMark/>
          </w:tcPr>
          <w:p w14:paraId="6187884C" w14:textId="77777777" w:rsidR="00D33F7C" w:rsidRPr="00AF27AC" w:rsidRDefault="00D33F7C" w:rsidP="00E213CE">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May</w:t>
            </w:r>
          </w:p>
        </w:tc>
        <w:tc>
          <w:tcPr>
            <w:tcW w:w="744" w:type="dxa"/>
            <w:tcBorders>
              <w:top w:val="nil"/>
              <w:left w:val="single" w:sz="8" w:space="0" w:color="auto"/>
              <w:bottom w:val="nil"/>
              <w:right w:val="single" w:sz="8" w:space="0" w:color="auto"/>
            </w:tcBorders>
            <w:shd w:val="clear" w:color="auto" w:fill="auto"/>
            <w:hideMark/>
          </w:tcPr>
          <w:p w14:paraId="2784A90C" w14:textId="77777777" w:rsidR="00D33F7C" w:rsidRPr="00AF27AC" w:rsidRDefault="00D33F7C" w:rsidP="00E213CE">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Jun</w:t>
            </w:r>
          </w:p>
        </w:tc>
        <w:tc>
          <w:tcPr>
            <w:tcW w:w="744" w:type="dxa"/>
            <w:tcBorders>
              <w:top w:val="nil"/>
              <w:left w:val="nil"/>
              <w:bottom w:val="nil"/>
              <w:right w:val="single" w:sz="8" w:space="0" w:color="auto"/>
            </w:tcBorders>
            <w:shd w:val="clear" w:color="auto" w:fill="auto"/>
            <w:hideMark/>
          </w:tcPr>
          <w:p w14:paraId="2755F83E" w14:textId="77777777" w:rsidR="00D33F7C" w:rsidRPr="00AF27AC" w:rsidRDefault="00D33F7C" w:rsidP="00E213CE">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Jul</w:t>
            </w:r>
          </w:p>
        </w:tc>
        <w:tc>
          <w:tcPr>
            <w:tcW w:w="744" w:type="dxa"/>
            <w:tcBorders>
              <w:top w:val="nil"/>
              <w:left w:val="nil"/>
              <w:bottom w:val="nil"/>
              <w:right w:val="single" w:sz="8" w:space="0" w:color="auto"/>
            </w:tcBorders>
            <w:shd w:val="clear" w:color="auto" w:fill="auto"/>
            <w:hideMark/>
          </w:tcPr>
          <w:p w14:paraId="282135EC" w14:textId="77777777" w:rsidR="00D33F7C" w:rsidRPr="00AF27AC" w:rsidRDefault="00D33F7C" w:rsidP="00E213CE">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Aug</w:t>
            </w:r>
          </w:p>
        </w:tc>
        <w:tc>
          <w:tcPr>
            <w:tcW w:w="744" w:type="dxa"/>
            <w:tcBorders>
              <w:top w:val="nil"/>
              <w:left w:val="nil"/>
              <w:bottom w:val="nil"/>
              <w:right w:val="single" w:sz="8" w:space="0" w:color="auto"/>
            </w:tcBorders>
            <w:shd w:val="clear" w:color="auto" w:fill="auto"/>
            <w:hideMark/>
          </w:tcPr>
          <w:p w14:paraId="1D1E5895" w14:textId="77777777" w:rsidR="00D33F7C" w:rsidRPr="00AF27AC" w:rsidRDefault="00D33F7C" w:rsidP="00E213CE">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Sep</w:t>
            </w:r>
          </w:p>
        </w:tc>
        <w:tc>
          <w:tcPr>
            <w:tcW w:w="744" w:type="dxa"/>
            <w:tcBorders>
              <w:top w:val="nil"/>
              <w:left w:val="nil"/>
              <w:bottom w:val="nil"/>
              <w:right w:val="single" w:sz="8" w:space="0" w:color="auto"/>
            </w:tcBorders>
            <w:shd w:val="clear" w:color="auto" w:fill="auto"/>
            <w:hideMark/>
          </w:tcPr>
          <w:p w14:paraId="3039084C" w14:textId="77777777" w:rsidR="00D33F7C" w:rsidRPr="00AF27AC" w:rsidRDefault="00D33F7C" w:rsidP="00E213CE">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Oct</w:t>
            </w:r>
          </w:p>
        </w:tc>
        <w:tc>
          <w:tcPr>
            <w:tcW w:w="744" w:type="dxa"/>
            <w:tcBorders>
              <w:top w:val="nil"/>
              <w:left w:val="nil"/>
              <w:bottom w:val="nil"/>
              <w:right w:val="single" w:sz="8" w:space="0" w:color="auto"/>
            </w:tcBorders>
            <w:shd w:val="clear" w:color="auto" w:fill="auto"/>
            <w:hideMark/>
          </w:tcPr>
          <w:p w14:paraId="17001FFB" w14:textId="77777777" w:rsidR="00D33F7C" w:rsidRPr="00AF27AC" w:rsidRDefault="00D33F7C" w:rsidP="00E213CE">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Nov</w:t>
            </w:r>
          </w:p>
        </w:tc>
        <w:tc>
          <w:tcPr>
            <w:tcW w:w="744" w:type="dxa"/>
            <w:tcBorders>
              <w:top w:val="nil"/>
              <w:left w:val="nil"/>
              <w:bottom w:val="nil"/>
              <w:right w:val="single" w:sz="8" w:space="0" w:color="auto"/>
            </w:tcBorders>
            <w:shd w:val="clear" w:color="auto" w:fill="auto"/>
            <w:hideMark/>
          </w:tcPr>
          <w:p w14:paraId="7AD7A7E3" w14:textId="77777777" w:rsidR="00D33F7C" w:rsidRPr="00AF27AC" w:rsidRDefault="00D33F7C" w:rsidP="00E213CE">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Dec</w:t>
            </w:r>
          </w:p>
        </w:tc>
        <w:tc>
          <w:tcPr>
            <w:tcW w:w="744" w:type="dxa"/>
            <w:tcBorders>
              <w:top w:val="nil"/>
              <w:left w:val="nil"/>
              <w:bottom w:val="nil"/>
              <w:right w:val="single" w:sz="8" w:space="0" w:color="auto"/>
            </w:tcBorders>
            <w:shd w:val="clear" w:color="auto" w:fill="auto"/>
            <w:hideMark/>
          </w:tcPr>
          <w:p w14:paraId="3E50A926" w14:textId="77777777" w:rsidR="00D33F7C" w:rsidRPr="00AF27AC" w:rsidRDefault="00D33F7C" w:rsidP="00E213CE">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Jan</w:t>
            </w:r>
          </w:p>
        </w:tc>
        <w:tc>
          <w:tcPr>
            <w:tcW w:w="744" w:type="dxa"/>
            <w:tcBorders>
              <w:top w:val="nil"/>
              <w:left w:val="nil"/>
              <w:bottom w:val="nil"/>
              <w:right w:val="single" w:sz="8" w:space="0" w:color="auto"/>
            </w:tcBorders>
            <w:shd w:val="clear" w:color="auto" w:fill="auto"/>
            <w:hideMark/>
          </w:tcPr>
          <w:p w14:paraId="3775F00C" w14:textId="77777777" w:rsidR="00D33F7C" w:rsidRPr="00AF27AC" w:rsidRDefault="00D33F7C" w:rsidP="00E213CE">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Feb</w:t>
            </w:r>
          </w:p>
        </w:tc>
        <w:tc>
          <w:tcPr>
            <w:tcW w:w="744" w:type="dxa"/>
            <w:tcBorders>
              <w:top w:val="nil"/>
              <w:left w:val="nil"/>
              <w:bottom w:val="nil"/>
              <w:right w:val="single" w:sz="8" w:space="0" w:color="auto"/>
            </w:tcBorders>
            <w:shd w:val="clear" w:color="auto" w:fill="auto"/>
            <w:hideMark/>
          </w:tcPr>
          <w:p w14:paraId="4286BCA6" w14:textId="77777777" w:rsidR="00D33F7C" w:rsidRPr="00AF27AC" w:rsidRDefault="00D33F7C" w:rsidP="00E213CE">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Mar</w:t>
            </w:r>
          </w:p>
        </w:tc>
        <w:tc>
          <w:tcPr>
            <w:tcW w:w="744" w:type="dxa"/>
            <w:tcBorders>
              <w:top w:val="nil"/>
              <w:left w:val="nil"/>
              <w:bottom w:val="nil"/>
              <w:right w:val="single" w:sz="8" w:space="0" w:color="auto"/>
            </w:tcBorders>
            <w:shd w:val="clear" w:color="auto" w:fill="auto"/>
            <w:hideMark/>
          </w:tcPr>
          <w:p w14:paraId="4600004D" w14:textId="77777777" w:rsidR="00D33F7C" w:rsidRPr="00AF27AC" w:rsidRDefault="00D33F7C" w:rsidP="00E213CE">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Apr</w:t>
            </w:r>
          </w:p>
        </w:tc>
      </w:tr>
      <w:tr w:rsidR="00D33F7C" w:rsidRPr="00AF27AC" w14:paraId="7A32D82D" w14:textId="77777777" w:rsidTr="00E213CE">
        <w:trPr>
          <w:trHeight w:val="272"/>
        </w:trPr>
        <w:tc>
          <w:tcPr>
            <w:tcW w:w="1551" w:type="dxa"/>
            <w:tcBorders>
              <w:top w:val="single" w:sz="8" w:space="0" w:color="auto"/>
              <w:left w:val="single" w:sz="8" w:space="0" w:color="auto"/>
              <w:bottom w:val="nil"/>
              <w:right w:val="nil"/>
            </w:tcBorders>
            <w:shd w:val="clear" w:color="auto" w:fill="auto"/>
            <w:noWrap/>
            <w:vAlign w:val="center"/>
            <w:hideMark/>
          </w:tcPr>
          <w:p w14:paraId="05896D75" w14:textId="77777777" w:rsidR="00D33F7C" w:rsidRPr="00AF27AC" w:rsidRDefault="00D33F7C" w:rsidP="00E213CE">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Japan</w:t>
            </w:r>
          </w:p>
        </w:tc>
        <w:tc>
          <w:tcPr>
            <w:tcW w:w="744" w:type="dxa"/>
            <w:tcBorders>
              <w:top w:val="single" w:sz="8" w:space="0" w:color="auto"/>
              <w:left w:val="single" w:sz="8" w:space="0" w:color="auto"/>
              <w:bottom w:val="nil"/>
              <w:right w:val="nil"/>
            </w:tcBorders>
            <w:shd w:val="clear" w:color="auto" w:fill="auto"/>
            <w:noWrap/>
            <w:vAlign w:val="center"/>
            <w:hideMark/>
          </w:tcPr>
          <w:p w14:paraId="0438D283"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1261.6</w:t>
            </w:r>
          </w:p>
        </w:tc>
        <w:tc>
          <w:tcPr>
            <w:tcW w:w="744" w:type="dxa"/>
            <w:tcBorders>
              <w:top w:val="single" w:sz="8" w:space="0" w:color="auto"/>
              <w:left w:val="single" w:sz="8" w:space="0" w:color="auto"/>
              <w:bottom w:val="nil"/>
              <w:right w:val="single" w:sz="8" w:space="0" w:color="auto"/>
            </w:tcBorders>
            <w:shd w:val="clear" w:color="auto" w:fill="auto"/>
            <w:noWrap/>
            <w:vAlign w:val="bottom"/>
            <w:hideMark/>
          </w:tcPr>
          <w:p w14:paraId="12F09720"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1293</w:t>
            </w:r>
          </w:p>
        </w:tc>
        <w:tc>
          <w:tcPr>
            <w:tcW w:w="744" w:type="dxa"/>
            <w:tcBorders>
              <w:top w:val="single" w:sz="8" w:space="0" w:color="auto"/>
              <w:left w:val="nil"/>
              <w:bottom w:val="nil"/>
              <w:right w:val="nil"/>
            </w:tcBorders>
            <w:shd w:val="clear" w:color="auto" w:fill="auto"/>
            <w:noWrap/>
            <w:vAlign w:val="bottom"/>
            <w:hideMark/>
          </w:tcPr>
          <w:p w14:paraId="32E26E8F"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1278.4</w:t>
            </w:r>
          </w:p>
        </w:tc>
        <w:tc>
          <w:tcPr>
            <w:tcW w:w="744" w:type="dxa"/>
            <w:tcBorders>
              <w:top w:val="single" w:sz="8" w:space="0" w:color="auto"/>
              <w:left w:val="single" w:sz="8" w:space="0" w:color="auto"/>
              <w:bottom w:val="nil"/>
              <w:right w:val="single" w:sz="8" w:space="0" w:color="auto"/>
            </w:tcBorders>
            <w:shd w:val="clear" w:color="auto" w:fill="auto"/>
            <w:noWrap/>
            <w:vAlign w:val="bottom"/>
            <w:hideMark/>
          </w:tcPr>
          <w:p w14:paraId="33B825D0"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1276.2</w:t>
            </w:r>
          </w:p>
        </w:tc>
        <w:tc>
          <w:tcPr>
            <w:tcW w:w="744" w:type="dxa"/>
            <w:tcBorders>
              <w:top w:val="single" w:sz="8" w:space="0" w:color="auto"/>
              <w:left w:val="nil"/>
              <w:bottom w:val="nil"/>
              <w:right w:val="nil"/>
            </w:tcBorders>
            <w:shd w:val="clear" w:color="auto" w:fill="auto"/>
            <w:noWrap/>
            <w:vAlign w:val="bottom"/>
            <w:hideMark/>
          </w:tcPr>
          <w:p w14:paraId="3A8F6971"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1273.1</w:t>
            </w:r>
          </w:p>
        </w:tc>
        <w:tc>
          <w:tcPr>
            <w:tcW w:w="744" w:type="dxa"/>
            <w:tcBorders>
              <w:top w:val="single" w:sz="8" w:space="0" w:color="auto"/>
              <w:left w:val="single" w:sz="8" w:space="0" w:color="auto"/>
              <w:bottom w:val="nil"/>
              <w:right w:val="single" w:sz="8" w:space="0" w:color="auto"/>
            </w:tcBorders>
            <w:shd w:val="clear" w:color="auto" w:fill="auto"/>
            <w:noWrap/>
            <w:vAlign w:val="bottom"/>
            <w:hideMark/>
          </w:tcPr>
          <w:p w14:paraId="2ACCD577"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1260.8</w:t>
            </w:r>
          </w:p>
        </w:tc>
        <w:tc>
          <w:tcPr>
            <w:tcW w:w="744" w:type="dxa"/>
            <w:tcBorders>
              <w:top w:val="single" w:sz="8" w:space="0" w:color="auto"/>
              <w:left w:val="nil"/>
              <w:bottom w:val="nil"/>
              <w:right w:val="nil"/>
            </w:tcBorders>
            <w:shd w:val="clear" w:color="auto" w:fill="auto"/>
            <w:noWrap/>
            <w:vAlign w:val="bottom"/>
            <w:hideMark/>
          </w:tcPr>
          <w:p w14:paraId="0F25FFAA"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1251.3</w:t>
            </w:r>
          </w:p>
        </w:tc>
        <w:tc>
          <w:tcPr>
            <w:tcW w:w="744" w:type="dxa"/>
            <w:tcBorders>
              <w:top w:val="single" w:sz="8" w:space="0" w:color="auto"/>
              <w:left w:val="single" w:sz="8" w:space="0" w:color="auto"/>
              <w:bottom w:val="nil"/>
              <w:right w:val="single" w:sz="8" w:space="0" w:color="auto"/>
            </w:tcBorders>
            <w:shd w:val="clear" w:color="auto" w:fill="auto"/>
            <w:noWrap/>
            <w:vAlign w:val="bottom"/>
            <w:hideMark/>
          </w:tcPr>
          <w:p w14:paraId="3FCDD089"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1276.7</w:t>
            </w:r>
          </w:p>
        </w:tc>
        <w:tc>
          <w:tcPr>
            <w:tcW w:w="744" w:type="dxa"/>
            <w:tcBorders>
              <w:top w:val="single" w:sz="8" w:space="0" w:color="auto"/>
              <w:left w:val="nil"/>
              <w:bottom w:val="nil"/>
              <w:right w:val="single" w:sz="8" w:space="0" w:color="auto"/>
            </w:tcBorders>
            <w:shd w:val="clear" w:color="auto" w:fill="auto"/>
            <w:noWrap/>
            <w:vAlign w:val="bottom"/>
            <w:hideMark/>
          </w:tcPr>
          <w:p w14:paraId="55C5DEF3"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1258</w:t>
            </w:r>
          </w:p>
        </w:tc>
        <w:tc>
          <w:tcPr>
            <w:tcW w:w="744" w:type="dxa"/>
            <w:tcBorders>
              <w:top w:val="single" w:sz="8" w:space="0" w:color="auto"/>
              <w:left w:val="nil"/>
              <w:bottom w:val="nil"/>
              <w:right w:val="single" w:sz="8" w:space="0" w:color="auto"/>
            </w:tcBorders>
            <w:shd w:val="clear" w:color="auto" w:fill="auto"/>
            <w:noWrap/>
            <w:vAlign w:val="bottom"/>
            <w:hideMark/>
          </w:tcPr>
          <w:p w14:paraId="2306FF8C"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1240.3</w:t>
            </w:r>
          </w:p>
        </w:tc>
        <w:tc>
          <w:tcPr>
            <w:tcW w:w="744" w:type="dxa"/>
            <w:tcBorders>
              <w:top w:val="single" w:sz="8" w:space="0" w:color="auto"/>
              <w:left w:val="nil"/>
              <w:bottom w:val="nil"/>
              <w:right w:val="single" w:sz="8" w:space="0" w:color="auto"/>
            </w:tcBorders>
            <w:shd w:val="clear" w:color="auto" w:fill="auto"/>
            <w:noWrap/>
            <w:vAlign w:val="bottom"/>
            <w:hideMark/>
          </w:tcPr>
          <w:p w14:paraId="5E866D95"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1276.8</w:t>
            </w:r>
          </w:p>
        </w:tc>
        <w:tc>
          <w:tcPr>
            <w:tcW w:w="744" w:type="dxa"/>
            <w:tcBorders>
              <w:top w:val="single" w:sz="8" w:space="0" w:color="auto"/>
              <w:left w:val="nil"/>
              <w:bottom w:val="nil"/>
              <w:right w:val="single" w:sz="8" w:space="0" w:color="auto"/>
            </w:tcBorders>
            <w:shd w:val="clear" w:color="auto" w:fill="auto"/>
            <w:noWrap/>
            <w:vAlign w:val="bottom"/>
            <w:hideMark/>
          </w:tcPr>
          <w:p w14:paraId="6626D128"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1266.2</w:t>
            </w:r>
          </w:p>
        </w:tc>
      </w:tr>
      <w:tr w:rsidR="00D33F7C" w:rsidRPr="00AF27AC" w14:paraId="6135796E" w14:textId="77777777" w:rsidTr="00E213CE">
        <w:trPr>
          <w:trHeight w:val="272"/>
        </w:trPr>
        <w:tc>
          <w:tcPr>
            <w:tcW w:w="1551" w:type="dxa"/>
            <w:tcBorders>
              <w:top w:val="nil"/>
              <w:left w:val="single" w:sz="8" w:space="0" w:color="auto"/>
              <w:bottom w:val="nil"/>
              <w:right w:val="nil"/>
            </w:tcBorders>
            <w:shd w:val="clear" w:color="auto" w:fill="auto"/>
            <w:noWrap/>
            <w:vAlign w:val="center"/>
            <w:hideMark/>
          </w:tcPr>
          <w:p w14:paraId="0B9C1EBA" w14:textId="77777777" w:rsidR="00D33F7C" w:rsidRPr="00AF27AC" w:rsidRDefault="00D33F7C" w:rsidP="00E213CE">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China, Mainland</w:t>
            </w:r>
          </w:p>
        </w:tc>
        <w:tc>
          <w:tcPr>
            <w:tcW w:w="744" w:type="dxa"/>
            <w:tcBorders>
              <w:top w:val="nil"/>
              <w:left w:val="single" w:sz="8" w:space="0" w:color="auto"/>
              <w:bottom w:val="nil"/>
              <w:right w:val="nil"/>
            </w:tcBorders>
            <w:shd w:val="clear" w:color="auto" w:fill="auto"/>
            <w:noWrap/>
            <w:vAlign w:val="center"/>
            <w:hideMark/>
          </w:tcPr>
          <w:p w14:paraId="7F537A17"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1074.4</w:t>
            </w:r>
          </w:p>
        </w:tc>
        <w:tc>
          <w:tcPr>
            <w:tcW w:w="744" w:type="dxa"/>
            <w:tcBorders>
              <w:top w:val="nil"/>
              <w:left w:val="single" w:sz="8" w:space="0" w:color="auto"/>
              <w:bottom w:val="nil"/>
              <w:right w:val="single" w:sz="8" w:space="0" w:color="auto"/>
            </w:tcBorders>
            <w:shd w:val="clear" w:color="auto" w:fill="auto"/>
            <w:noWrap/>
            <w:vAlign w:val="bottom"/>
            <w:hideMark/>
          </w:tcPr>
          <w:p w14:paraId="407FD139"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1073.4</w:t>
            </w:r>
          </w:p>
        </w:tc>
        <w:tc>
          <w:tcPr>
            <w:tcW w:w="744" w:type="dxa"/>
            <w:tcBorders>
              <w:top w:val="nil"/>
              <w:left w:val="nil"/>
              <w:bottom w:val="nil"/>
              <w:right w:val="nil"/>
            </w:tcBorders>
            <w:shd w:val="clear" w:color="auto" w:fill="auto"/>
            <w:noWrap/>
            <w:vAlign w:val="bottom"/>
            <w:hideMark/>
          </w:tcPr>
          <w:p w14:paraId="028A3DC5"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1068</w:t>
            </w:r>
          </w:p>
        </w:tc>
        <w:tc>
          <w:tcPr>
            <w:tcW w:w="744" w:type="dxa"/>
            <w:tcBorders>
              <w:top w:val="nil"/>
              <w:left w:val="single" w:sz="8" w:space="0" w:color="auto"/>
              <w:bottom w:val="nil"/>
              <w:right w:val="single" w:sz="8" w:space="0" w:color="auto"/>
            </w:tcBorders>
            <w:shd w:val="clear" w:color="auto" w:fill="auto"/>
            <w:noWrap/>
            <w:vAlign w:val="bottom"/>
            <w:hideMark/>
          </w:tcPr>
          <w:p w14:paraId="0C705BAD"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1061.7</w:t>
            </w:r>
          </w:p>
        </w:tc>
        <w:tc>
          <w:tcPr>
            <w:tcW w:w="744" w:type="dxa"/>
            <w:tcBorders>
              <w:top w:val="nil"/>
              <w:left w:val="nil"/>
              <w:bottom w:val="nil"/>
              <w:right w:val="nil"/>
            </w:tcBorders>
            <w:shd w:val="clear" w:color="auto" w:fill="auto"/>
            <w:noWrap/>
            <w:vAlign w:val="bottom"/>
            <w:hideMark/>
          </w:tcPr>
          <w:p w14:paraId="4D79BCAA"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1054</w:t>
            </w:r>
          </w:p>
        </w:tc>
        <w:tc>
          <w:tcPr>
            <w:tcW w:w="744" w:type="dxa"/>
            <w:tcBorders>
              <w:top w:val="nil"/>
              <w:left w:val="single" w:sz="8" w:space="0" w:color="auto"/>
              <w:bottom w:val="nil"/>
              <w:right w:val="single" w:sz="8" w:space="0" w:color="auto"/>
            </w:tcBorders>
            <w:shd w:val="clear" w:color="auto" w:fill="auto"/>
            <w:noWrap/>
            <w:vAlign w:val="bottom"/>
            <w:hideMark/>
          </w:tcPr>
          <w:p w14:paraId="524794CC"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1063</w:t>
            </w:r>
          </w:p>
        </w:tc>
        <w:tc>
          <w:tcPr>
            <w:tcW w:w="744" w:type="dxa"/>
            <w:tcBorders>
              <w:top w:val="nil"/>
              <w:left w:val="nil"/>
              <w:bottom w:val="nil"/>
              <w:right w:val="nil"/>
            </w:tcBorders>
            <w:shd w:val="clear" w:color="auto" w:fill="auto"/>
            <w:noWrap/>
            <w:vAlign w:val="bottom"/>
            <w:hideMark/>
          </w:tcPr>
          <w:p w14:paraId="1F2438DE"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1072.3</w:t>
            </w:r>
          </w:p>
        </w:tc>
        <w:tc>
          <w:tcPr>
            <w:tcW w:w="744" w:type="dxa"/>
            <w:tcBorders>
              <w:top w:val="nil"/>
              <w:left w:val="single" w:sz="8" w:space="0" w:color="auto"/>
              <w:bottom w:val="nil"/>
              <w:right w:val="single" w:sz="8" w:space="0" w:color="auto"/>
            </w:tcBorders>
            <w:shd w:val="clear" w:color="auto" w:fill="auto"/>
            <w:noWrap/>
            <w:vAlign w:val="bottom"/>
            <w:hideMark/>
          </w:tcPr>
          <w:p w14:paraId="4BA65F8F"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1095.2</w:t>
            </w:r>
          </w:p>
        </w:tc>
        <w:tc>
          <w:tcPr>
            <w:tcW w:w="744" w:type="dxa"/>
            <w:tcBorders>
              <w:top w:val="nil"/>
              <w:left w:val="nil"/>
              <w:bottom w:val="nil"/>
              <w:right w:val="single" w:sz="8" w:space="0" w:color="auto"/>
            </w:tcBorders>
            <w:shd w:val="clear" w:color="auto" w:fill="auto"/>
            <w:noWrap/>
            <w:vAlign w:val="bottom"/>
            <w:hideMark/>
          </w:tcPr>
          <w:p w14:paraId="48ACD2A8"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1104.2</w:t>
            </w:r>
          </w:p>
        </w:tc>
        <w:tc>
          <w:tcPr>
            <w:tcW w:w="744" w:type="dxa"/>
            <w:tcBorders>
              <w:top w:val="nil"/>
              <w:left w:val="nil"/>
              <w:bottom w:val="nil"/>
              <w:right w:val="single" w:sz="8" w:space="0" w:color="auto"/>
            </w:tcBorders>
            <w:shd w:val="clear" w:color="auto" w:fill="auto"/>
            <w:noWrap/>
            <w:vAlign w:val="bottom"/>
            <w:hideMark/>
          </w:tcPr>
          <w:p w14:paraId="291A4B7A"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1100.4</w:t>
            </w:r>
          </w:p>
        </w:tc>
        <w:tc>
          <w:tcPr>
            <w:tcW w:w="744" w:type="dxa"/>
            <w:tcBorders>
              <w:top w:val="nil"/>
              <w:left w:val="nil"/>
              <w:bottom w:val="nil"/>
              <w:right w:val="single" w:sz="8" w:space="0" w:color="auto"/>
            </w:tcBorders>
            <w:shd w:val="clear" w:color="auto" w:fill="auto"/>
            <w:noWrap/>
            <w:vAlign w:val="bottom"/>
            <w:hideMark/>
          </w:tcPr>
          <w:p w14:paraId="70CE55FE"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1096.1</w:t>
            </w:r>
          </w:p>
        </w:tc>
        <w:tc>
          <w:tcPr>
            <w:tcW w:w="744" w:type="dxa"/>
            <w:tcBorders>
              <w:top w:val="nil"/>
              <w:left w:val="nil"/>
              <w:bottom w:val="nil"/>
              <w:right w:val="single" w:sz="8" w:space="0" w:color="auto"/>
            </w:tcBorders>
            <w:shd w:val="clear" w:color="auto" w:fill="auto"/>
            <w:noWrap/>
            <w:vAlign w:val="bottom"/>
            <w:hideMark/>
          </w:tcPr>
          <w:p w14:paraId="36C5E6D6"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1078.4</w:t>
            </w:r>
          </w:p>
        </w:tc>
      </w:tr>
      <w:tr w:rsidR="00D33F7C" w:rsidRPr="00AF27AC" w14:paraId="6DF1AE58" w14:textId="77777777" w:rsidTr="00E213CE">
        <w:trPr>
          <w:trHeight w:val="272"/>
        </w:trPr>
        <w:tc>
          <w:tcPr>
            <w:tcW w:w="1551" w:type="dxa"/>
            <w:tcBorders>
              <w:top w:val="nil"/>
              <w:left w:val="single" w:sz="8" w:space="0" w:color="auto"/>
              <w:bottom w:val="nil"/>
              <w:right w:val="nil"/>
            </w:tcBorders>
            <w:shd w:val="clear" w:color="auto" w:fill="auto"/>
            <w:noWrap/>
            <w:vAlign w:val="center"/>
            <w:hideMark/>
          </w:tcPr>
          <w:p w14:paraId="5B805B0F" w14:textId="77777777" w:rsidR="00D33F7C" w:rsidRPr="00AF27AC" w:rsidRDefault="00D33F7C" w:rsidP="00E213CE">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United Kingdom</w:t>
            </w:r>
          </w:p>
        </w:tc>
        <w:tc>
          <w:tcPr>
            <w:tcW w:w="744" w:type="dxa"/>
            <w:tcBorders>
              <w:top w:val="nil"/>
              <w:left w:val="single" w:sz="8" w:space="0" w:color="auto"/>
              <w:bottom w:val="nil"/>
              <w:right w:val="nil"/>
            </w:tcBorders>
            <w:shd w:val="clear" w:color="auto" w:fill="auto"/>
            <w:noWrap/>
            <w:vAlign w:val="center"/>
            <w:hideMark/>
          </w:tcPr>
          <w:p w14:paraId="66323014"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445.7</w:t>
            </w:r>
          </w:p>
        </w:tc>
        <w:tc>
          <w:tcPr>
            <w:tcW w:w="744" w:type="dxa"/>
            <w:tcBorders>
              <w:top w:val="nil"/>
              <w:left w:val="single" w:sz="8" w:space="0" w:color="auto"/>
              <w:bottom w:val="nil"/>
              <w:right w:val="single" w:sz="8" w:space="0" w:color="auto"/>
            </w:tcBorders>
            <w:shd w:val="clear" w:color="auto" w:fill="auto"/>
            <w:noWrap/>
            <w:vAlign w:val="bottom"/>
            <w:hideMark/>
          </w:tcPr>
          <w:p w14:paraId="2E6B631B"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424.6</w:t>
            </w:r>
          </w:p>
        </w:tc>
        <w:tc>
          <w:tcPr>
            <w:tcW w:w="744" w:type="dxa"/>
            <w:tcBorders>
              <w:top w:val="nil"/>
              <w:left w:val="nil"/>
              <w:bottom w:val="nil"/>
              <w:right w:val="nil"/>
            </w:tcBorders>
            <w:shd w:val="clear" w:color="auto" w:fill="auto"/>
            <w:noWrap/>
            <w:vAlign w:val="bottom"/>
            <w:hideMark/>
          </w:tcPr>
          <w:p w14:paraId="68C5D59A"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419.4</w:t>
            </w:r>
          </w:p>
        </w:tc>
        <w:tc>
          <w:tcPr>
            <w:tcW w:w="744" w:type="dxa"/>
            <w:tcBorders>
              <w:top w:val="nil"/>
              <w:left w:val="single" w:sz="8" w:space="0" w:color="auto"/>
              <w:bottom w:val="nil"/>
              <w:right w:val="single" w:sz="8" w:space="0" w:color="auto"/>
            </w:tcBorders>
            <w:shd w:val="clear" w:color="auto" w:fill="auto"/>
            <w:noWrap/>
            <w:vAlign w:val="bottom"/>
            <w:hideMark/>
          </w:tcPr>
          <w:p w14:paraId="08A06A23"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428.5</w:t>
            </w:r>
          </w:p>
        </w:tc>
        <w:tc>
          <w:tcPr>
            <w:tcW w:w="744" w:type="dxa"/>
            <w:tcBorders>
              <w:top w:val="nil"/>
              <w:left w:val="nil"/>
              <w:bottom w:val="nil"/>
              <w:right w:val="nil"/>
            </w:tcBorders>
            <w:shd w:val="clear" w:color="auto" w:fill="auto"/>
            <w:noWrap/>
            <w:vAlign w:val="bottom"/>
            <w:hideMark/>
          </w:tcPr>
          <w:p w14:paraId="0D14777E"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442.8</w:t>
            </w:r>
          </w:p>
        </w:tc>
        <w:tc>
          <w:tcPr>
            <w:tcW w:w="744" w:type="dxa"/>
            <w:tcBorders>
              <w:top w:val="nil"/>
              <w:left w:val="single" w:sz="8" w:space="0" w:color="auto"/>
              <w:bottom w:val="nil"/>
              <w:right w:val="single" w:sz="8" w:space="0" w:color="auto"/>
            </w:tcBorders>
            <w:shd w:val="clear" w:color="auto" w:fill="auto"/>
            <w:noWrap/>
            <w:vAlign w:val="bottom"/>
            <w:hideMark/>
          </w:tcPr>
          <w:p w14:paraId="6538C7C8"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420.5</w:t>
            </w:r>
          </w:p>
        </w:tc>
        <w:tc>
          <w:tcPr>
            <w:tcW w:w="744" w:type="dxa"/>
            <w:tcBorders>
              <w:top w:val="nil"/>
              <w:left w:val="nil"/>
              <w:bottom w:val="nil"/>
              <w:right w:val="nil"/>
            </w:tcBorders>
            <w:shd w:val="clear" w:color="auto" w:fill="auto"/>
            <w:noWrap/>
            <w:vAlign w:val="bottom"/>
            <w:hideMark/>
          </w:tcPr>
          <w:p w14:paraId="4E552789"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440.6</w:t>
            </w:r>
          </w:p>
        </w:tc>
        <w:tc>
          <w:tcPr>
            <w:tcW w:w="744" w:type="dxa"/>
            <w:tcBorders>
              <w:top w:val="nil"/>
              <w:left w:val="single" w:sz="8" w:space="0" w:color="auto"/>
              <w:bottom w:val="nil"/>
              <w:right w:val="single" w:sz="8" w:space="0" w:color="auto"/>
            </w:tcBorders>
            <w:shd w:val="clear" w:color="auto" w:fill="auto"/>
            <w:noWrap/>
            <w:vAlign w:val="bottom"/>
            <w:hideMark/>
          </w:tcPr>
          <w:p w14:paraId="33DA917B"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438.7</w:t>
            </w:r>
          </w:p>
        </w:tc>
        <w:tc>
          <w:tcPr>
            <w:tcW w:w="744" w:type="dxa"/>
            <w:tcBorders>
              <w:top w:val="nil"/>
              <w:left w:val="nil"/>
              <w:bottom w:val="nil"/>
              <w:right w:val="single" w:sz="8" w:space="0" w:color="auto"/>
            </w:tcBorders>
            <w:shd w:val="clear" w:color="auto" w:fill="auto"/>
            <w:noWrap/>
            <w:vAlign w:val="bottom"/>
            <w:hideMark/>
          </w:tcPr>
          <w:p w14:paraId="630BE5F0"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459.5</w:t>
            </w:r>
          </w:p>
        </w:tc>
        <w:tc>
          <w:tcPr>
            <w:tcW w:w="744" w:type="dxa"/>
            <w:tcBorders>
              <w:top w:val="nil"/>
              <w:left w:val="nil"/>
              <w:bottom w:val="nil"/>
              <w:right w:val="single" w:sz="8" w:space="0" w:color="auto"/>
            </w:tcBorders>
            <w:shd w:val="clear" w:color="auto" w:fill="auto"/>
            <w:noWrap/>
            <w:vAlign w:val="bottom"/>
            <w:hideMark/>
          </w:tcPr>
          <w:p w14:paraId="5A810240"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443.2</w:t>
            </w:r>
          </w:p>
        </w:tc>
        <w:tc>
          <w:tcPr>
            <w:tcW w:w="744" w:type="dxa"/>
            <w:tcBorders>
              <w:top w:val="nil"/>
              <w:left w:val="nil"/>
              <w:bottom w:val="nil"/>
              <w:right w:val="single" w:sz="8" w:space="0" w:color="auto"/>
            </w:tcBorders>
            <w:shd w:val="clear" w:color="auto" w:fill="auto"/>
            <w:noWrap/>
            <w:vAlign w:val="bottom"/>
            <w:hideMark/>
          </w:tcPr>
          <w:p w14:paraId="224037D4"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431.8</w:t>
            </w:r>
          </w:p>
        </w:tc>
        <w:tc>
          <w:tcPr>
            <w:tcW w:w="744" w:type="dxa"/>
            <w:tcBorders>
              <w:top w:val="nil"/>
              <w:left w:val="nil"/>
              <w:bottom w:val="nil"/>
              <w:right w:val="single" w:sz="8" w:space="0" w:color="auto"/>
            </w:tcBorders>
            <w:shd w:val="clear" w:color="auto" w:fill="auto"/>
            <w:noWrap/>
            <w:vAlign w:val="bottom"/>
            <w:hideMark/>
          </w:tcPr>
          <w:p w14:paraId="14AA8D0B"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467.7</w:t>
            </w:r>
          </w:p>
        </w:tc>
      </w:tr>
      <w:tr w:rsidR="00D33F7C" w:rsidRPr="00AF27AC" w14:paraId="50C48317" w14:textId="77777777" w:rsidTr="00E213CE">
        <w:trPr>
          <w:trHeight w:val="272"/>
        </w:trPr>
        <w:tc>
          <w:tcPr>
            <w:tcW w:w="1551" w:type="dxa"/>
            <w:tcBorders>
              <w:top w:val="nil"/>
              <w:left w:val="single" w:sz="8" w:space="0" w:color="auto"/>
              <w:bottom w:val="nil"/>
              <w:right w:val="nil"/>
            </w:tcBorders>
            <w:shd w:val="clear" w:color="auto" w:fill="auto"/>
            <w:noWrap/>
            <w:vAlign w:val="center"/>
            <w:hideMark/>
          </w:tcPr>
          <w:p w14:paraId="6BBA4D84" w14:textId="77777777" w:rsidR="00D33F7C" w:rsidRPr="00AF27AC" w:rsidRDefault="00D33F7C" w:rsidP="00E213CE">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Ireland</w:t>
            </w:r>
          </w:p>
        </w:tc>
        <w:tc>
          <w:tcPr>
            <w:tcW w:w="744" w:type="dxa"/>
            <w:tcBorders>
              <w:top w:val="nil"/>
              <w:left w:val="single" w:sz="8" w:space="0" w:color="auto"/>
              <w:bottom w:val="nil"/>
              <w:right w:val="nil"/>
            </w:tcBorders>
            <w:shd w:val="clear" w:color="auto" w:fill="auto"/>
            <w:noWrap/>
            <w:vAlign w:val="center"/>
            <w:hideMark/>
          </w:tcPr>
          <w:p w14:paraId="653CC25A"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330.2</w:t>
            </w:r>
          </w:p>
        </w:tc>
        <w:tc>
          <w:tcPr>
            <w:tcW w:w="744" w:type="dxa"/>
            <w:tcBorders>
              <w:top w:val="nil"/>
              <w:left w:val="single" w:sz="8" w:space="0" w:color="auto"/>
              <w:bottom w:val="nil"/>
              <w:right w:val="single" w:sz="8" w:space="0" w:color="auto"/>
            </w:tcBorders>
            <w:shd w:val="clear" w:color="auto" w:fill="auto"/>
            <w:noWrap/>
            <w:vAlign w:val="bottom"/>
            <w:hideMark/>
          </w:tcPr>
          <w:p w14:paraId="66F8EB35"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330.7</w:t>
            </w:r>
          </w:p>
        </w:tc>
        <w:tc>
          <w:tcPr>
            <w:tcW w:w="744" w:type="dxa"/>
            <w:tcBorders>
              <w:top w:val="nil"/>
              <w:left w:val="nil"/>
              <w:bottom w:val="nil"/>
              <w:right w:val="nil"/>
            </w:tcBorders>
            <w:shd w:val="clear" w:color="auto" w:fill="auto"/>
            <w:noWrap/>
            <w:vAlign w:val="bottom"/>
            <w:hideMark/>
          </w:tcPr>
          <w:p w14:paraId="76643B66"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335.2</w:t>
            </w:r>
          </w:p>
        </w:tc>
        <w:tc>
          <w:tcPr>
            <w:tcW w:w="744" w:type="dxa"/>
            <w:tcBorders>
              <w:top w:val="nil"/>
              <w:left w:val="single" w:sz="8" w:space="0" w:color="auto"/>
              <w:bottom w:val="nil"/>
              <w:right w:val="single" w:sz="8" w:space="0" w:color="auto"/>
            </w:tcBorders>
            <w:shd w:val="clear" w:color="auto" w:fill="auto"/>
            <w:noWrap/>
            <w:vAlign w:val="bottom"/>
            <w:hideMark/>
          </w:tcPr>
          <w:p w14:paraId="7E47AE83"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315.7</w:t>
            </w:r>
          </w:p>
        </w:tc>
        <w:tc>
          <w:tcPr>
            <w:tcW w:w="744" w:type="dxa"/>
            <w:tcBorders>
              <w:top w:val="nil"/>
              <w:left w:val="nil"/>
              <w:bottom w:val="nil"/>
              <w:right w:val="nil"/>
            </w:tcBorders>
            <w:shd w:val="clear" w:color="auto" w:fill="auto"/>
            <w:noWrap/>
            <w:vAlign w:val="bottom"/>
            <w:hideMark/>
          </w:tcPr>
          <w:p w14:paraId="1EFEDE8A"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316.3</w:t>
            </w:r>
          </w:p>
        </w:tc>
        <w:tc>
          <w:tcPr>
            <w:tcW w:w="744" w:type="dxa"/>
            <w:tcBorders>
              <w:top w:val="nil"/>
              <w:left w:val="single" w:sz="8" w:space="0" w:color="auto"/>
              <w:bottom w:val="nil"/>
              <w:right w:val="single" w:sz="8" w:space="0" w:color="auto"/>
            </w:tcBorders>
            <w:shd w:val="clear" w:color="auto" w:fill="auto"/>
            <w:noWrap/>
            <w:vAlign w:val="bottom"/>
            <w:hideMark/>
          </w:tcPr>
          <w:p w14:paraId="32AC0CDB"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314.2</w:t>
            </w:r>
          </w:p>
        </w:tc>
        <w:tc>
          <w:tcPr>
            <w:tcW w:w="744" w:type="dxa"/>
            <w:tcBorders>
              <w:top w:val="nil"/>
              <w:left w:val="nil"/>
              <w:bottom w:val="nil"/>
              <w:right w:val="nil"/>
            </w:tcBorders>
            <w:shd w:val="clear" w:color="auto" w:fill="auto"/>
            <w:noWrap/>
            <w:vAlign w:val="bottom"/>
            <w:hideMark/>
          </w:tcPr>
          <w:p w14:paraId="0D75F44B"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318.1</w:t>
            </w:r>
          </w:p>
        </w:tc>
        <w:tc>
          <w:tcPr>
            <w:tcW w:w="744" w:type="dxa"/>
            <w:tcBorders>
              <w:top w:val="nil"/>
              <w:left w:val="single" w:sz="8" w:space="0" w:color="auto"/>
              <w:bottom w:val="nil"/>
              <w:right w:val="single" w:sz="8" w:space="0" w:color="auto"/>
            </w:tcBorders>
            <w:shd w:val="clear" w:color="auto" w:fill="auto"/>
            <w:noWrap/>
            <w:vAlign w:val="bottom"/>
            <w:hideMark/>
          </w:tcPr>
          <w:p w14:paraId="0129A6B5"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313.6</w:t>
            </w:r>
          </w:p>
        </w:tc>
        <w:tc>
          <w:tcPr>
            <w:tcW w:w="744" w:type="dxa"/>
            <w:tcBorders>
              <w:top w:val="nil"/>
              <w:left w:val="nil"/>
              <w:bottom w:val="nil"/>
              <w:right w:val="single" w:sz="8" w:space="0" w:color="auto"/>
            </w:tcBorders>
            <w:shd w:val="clear" w:color="auto" w:fill="auto"/>
            <w:noWrap/>
            <w:vAlign w:val="bottom"/>
            <w:hideMark/>
          </w:tcPr>
          <w:p w14:paraId="35ED2FD7"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316</w:t>
            </w:r>
          </w:p>
        </w:tc>
        <w:tc>
          <w:tcPr>
            <w:tcW w:w="744" w:type="dxa"/>
            <w:tcBorders>
              <w:top w:val="nil"/>
              <w:left w:val="nil"/>
              <w:bottom w:val="nil"/>
              <w:right w:val="single" w:sz="8" w:space="0" w:color="auto"/>
            </w:tcBorders>
            <w:shd w:val="clear" w:color="auto" w:fill="auto"/>
            <w:noWrap/>
            <w:vAlign w:val="bottom"/>
            <w:hideMark/>
          </w:tcPr>
          <w:p w14:paraId="67512CE3"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309.8</w:t>
            </w:r>
          </w:p>
        </w:tc>
        <w:tc>
          <w:tcPr>
            <w:tcW w:w="744" w:type="dxa"/>
            <w:tcBorders>
              <w:top w:val="nil"/>
              <w:left w:val="nil"/>
              <w:bottom w:val="nil"/>
              <w:right w:val="single" w:sz="8" w:space="0" w:color="auto"/>
            </w:tcBorders>
            <w:shd w:val="clear" w:color="auto" w:fill="auto"/>
            <w:noWrap/>
            <w:vAlign w:val="bottom"/>
            <w:hideMark/>
          </w:tcPr>
          <w:p w14:paraId="3033E758"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307</w:t>
            </w:r>
          </w:p>
        </w:tc>
        <w:tc>
          <w:tcPr>
            <w:tcW w:w="744" w:type="dxa"/>
            <w:tcBorders>
              <w:top w:val="nil"/>
              <w:left w:val="nil"/>
              <w:bottom w:val="nil"/>
              <w:right w:val="single" w:sz="8" w:space="0" w:color="auto"/>
            </w:tcBorders>
            <w:shd w:val="clear" w:color="auto" w:fill="auto"/>
            <w:noWrap/>
            <w:vAlign w:val="bottom"/>
            <w:hideMark/>
          </w:tcPr>
          <w:p w14:paraId="523EDD81"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304.9</w:t>
            </w:r>
          </w:p>
        </w:tc>
      </w:tr>
      <w:tr w:rsidR="00D33F7C" w:rsidRPr="00AF27AC" w14:paraId="653DDD05" w14:textId="77777777" w:rsidTr="00E213CE">
        <w:trPr>
          <w:trHeight w:val="272"/>
        </w:trPr>
        <w:tc>
          <w:tcPr>
            <w:tcW w:w="1551" w:type="dxa"/>
            <w:tcBorders>
              <w:top w:val="nil"/>
              <w:left w:val="single" w:sz="8" w:space="0" w:color="auto"/>
              <w:bottom w:val="nil"/>
              <w:right w:val="nil"/>
            </w:tcBorders>
            <w:shd w:val="clear" w:color="auto" w:fill="auto"/>
            <w:noWrap/>
            <w:vAlign w:val="center"/>
            <w:hideMark/>
          </w:tcPr>
          <w:p w14:paraId="1DE5F268" w14:textId="77777777" w:rsidR="00D33F7C" w:rsidRPr="00AF27AC" w:rsidRDefault="00D33F7C" w:rsidP="00E213CE">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Luxembourg</w:t>
            </w:r>
          </w:p>
        </w:tc>
        <w:tc>
          <w:tcPr>
            <w:tcW w:w="744" w:type="dxa"/>
            <w:tcBorders>
              <w:top w:val="nil"/>
              <w:left w:val="single" w:sz="8" w:space="0" w:color="auto"/>
              <w:bottom w:val="nil"/>
              <w:right w:val="nil"/>
            </w:tcBorders>
            <w:shd w:val="clear" w:color="auto" w:fill="auto"/>
            <w:noWrap/>
            <w:vAlign w:val="center"/>
            <w:hideMark/>
          </w:tcPr>
          <w:p w14:paraId="19914C96"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267.3</w:t>
            </w:r>
          </w:p>
        </w:tc>
        <w:tc>
          <w:tcPr>
            <w:tcW w:w="744" w:type="dxa"/>
            <w:tcBorders>
              <w:top w:val="nil"/>
              <w:left w:val="single" w:sz="8" w:space="0" w:color="auto"/>
              <w:bottom w:val="nil"/>
              <w:right w:val="single" w:sz="8" w:space="0" w:color="auto"/>
            </w:tcBorders>
            <w:shd w:val="clear" w:color="auto" w:fill="auto"/>
            <w:noWrap/>
            <w:vAlign w:val="bottom"/>
            <w:hideMark/>
          </w:tcPr>
          <w:p w14:paraId="7633D0EF"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264.7</w:t>
            </w:r>
          </w:p>
        </w:tc>
        <w:tc>
          <w:tcPr>
            <w:tcW w:w="744" w:type="dxa"/>
            <w:tcBorders>
              <w:top w:val="nil"/>
              <w:left w:val="nil"/>
              <w:bottom w:val="nil"/>
              <w:right w:val="nil"/>
            </w:tcBorders>
            <w:shd w:val="clear" w:color="auto" w:fill="auto"/>
            <w:noWrap/>
            <w:vAlign w:val="bottom"/>
            <w:hideMark/>
          </w:tcPr>
          <w:p w14:paraId="3CE354BD"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268.8</w:t>
            </w:r>
          </w:p>
        </w:tc>
        <w:tc>
          <w:tcPr>
            <w:tcW w:w="744" w:type="dxa"/>
            <w:tcBorders>
              <w:top w:val="nil"/>
              <w:left w:val="single" w:sz="8" w:space="0" w:color="auto"/>
              <w:bottom w:val="nil"/>
              <w:right w:val="single" w:sz="8" w:space="0" w:color="auto"/>
            </w:tcBorders>
            <w:shd w:val="clear" w:color="auto" w:fill="auto"/>
            <w:noWrap/>
            <w:vAlign w:val="bottom"/>
            <w:hideMark/>
          </w:tcPr>
          <w:p w14:paraId="7836B07F"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262.5</w:t>
            </w:r>
          </w:p>
        </w:tc>
        <w:tc>
          <w:tcPr>
            <w:tcW w:w="744" w:type="dxa"/>
            <w:tcBorders>
              <w:top w:val="nil"/>
              <w:left w:val="nil"/>
              <w:bottom w:val="nil"/>
              <w:right w:val="nil"/>
            </w:tcBorders>
            <w:shd w:val="clear" w:color="auto" w:fill="auto"/>
            <w:noWrap/>
            <w:vAlign w:val="bottom"/>
            <w:hideMark/>
          </w:tcPr>
          <w:p w14:paraId="651DF02B"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266.2</w:t>
            </w:r>
          </w:p>
        </w:tc>
        <w:tc>
          <w:tcPr>
            <w:tcW w:w="744" w:type="dxa"/>
            <w:tcBorders>
              <w:top w:val="nil"/>
              <w:left w:val="single" w:sz="8" w:space="0" w:color="auto"/>
              <w:bottom w:val="nil"/>
              <w:right w:val="single" w:sz="8" w:space="0" w:color="auto"/>
            </w:tcBorders>
            <w:shd w:val="clear" w:color="auto" w:fill="auto"/>
            <w:noWrap/>
            <w:vAlign w:val="bottom"/>
            <w:hideMark/>
          </w:tcPr>
          <w:p w14:paraId="4893A186"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267.8</w:t>
            </w:r>
          </w:p>
        </w:tc>
        <w:tc>
          <w:tcPr>
            <w:tcW w:w="744" w:type="dxa"/>
            <w:tcBorders>
              <w:top w:val="nil"/>
              <w:left w:val="nil"/>
              <w:bottom w:val="nil"/>
              <w:right w:val="nil"/>
            </w:tcBorders>
            <w:shd w:val="clear" w:color="auto" w:fill="auto"/>
            <w:noWrap/>
            <w:vAlign w:val="bottom"/>
            <w:hideMark/>
          </w:tcPr>
          <w:p w14:paraId="62A86DD7"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287.7</w:t>
            </w:r>
          </w:p>
        </w:tc>
        <w:tc>
          <w:tcPr>
            <w:tcW w:w="744" w:type="dxa"/>
            <w:tcBorders>
              <w:top w:val="nil"/>
              <w:left w:val="single" w:sz="8" w:space="0" w:color="auto"/>
              <w:bottom w:val="nil"/>
              <w:right w:val="single" w:sz="8" w:space="0" w:color="auto"/>
            </w:tcBorders>
            <w:shd w:val="clear" w:color="auto" w:fill="auto"/>
            <w:noWrap/>
            <w:vAlign w:val="bottom"/>
            <w:hideMark/>
          </w:tcPr>
          <w:p w14:paraId="728ABAFA"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281.4</w:t>
            </w:r>
          </w:p>
        </w:tc>
        <w:tc>
          <w:tcPr>
            <w:tcW w:w="744" w:type="dxa"/>
            <w:tcBorders>
              <w:top w:val="nil"/>
              <w:left w:val="nil"/>
              <w:bottom w:val="nil"/>
              <w:right w:val="single" w:sz="8" w:space="0" w:color="auto"/>
            </w:tcBorders>
            <w:shd w:val="clear" w:color="auto" w:fill="auto"/>
            <w:noWrap/>
            <w:vAlign w:val="bottom"/>
            <w:hideMark/>
          </w:tcPr>
          <w:p w14:paraId="4F33FBE9"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282.1</w:t>
            </w:r>
          </w:p>
        </w:tc>
        <w:tc>
          <w:tcPr>
            <w:tcW w:w="744" w:type="dxa"/>
            <w:tcBorders>
              <w:top w:val="nil"/>
              <w:left w:val="nil"/>
              <w:bottom w:val="nil"/>
              <w:right w:val="single" w:sz="8" w:space="0" w:color="auto"/>
            </w:tcBorders>
            <w:shd w:val="clear" w:color="auto" w:fill="auto"/>
            <w:noWrap/>
            <w:vAlign w:val="bottom"/>
            <w:hideMark/>
          </w:tcPr>
          <w:p w14:paraId="1853F37C"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282.8</w:t>
            </w:r>
          </w:p>
        </w:tc>
        <w:tc>
          <w:tcPr>
            <w:tcW w:w="744" w:type="dxa"/>
            <w:tcBorders>
              <w:top w:val="nil"/>
              <w:left w:val="nil"/>
              <w:bottom w:val="nil"/>
              <w:right w:val="single" w:sz="8" w:space="0" w:color="auto"/>
            </w:tcBorders>
            <w:shd w:val="clear" w:color="auto" w:fill="auto"/>
            <w:noWrap/>
            <w:vAlign w:val="bottom"/>
            <w:hideMark/>
          </w:tcPr>
          <w:p w14:paraId="67B0ADB7"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291</w:t>
            </w:r>
          </w:p>
        </w:tc>
        <w:tc>
          <w:tcPr>
            <w:tcW w:w="744" w:type="dxa"/>
            <w:tcBorders>
              <w:top w:val="nil"/>
              <w:left w:val="nil"/>
              <w:bottom w:val="nil"/>
              <w:right w:val="single" w:sz="8" w:space="0" w:color="auto"/>
            </w:tcBorders>
            <w:shd w:val="clear" w:color="auto" w:fill="auto"/>
            <w:noWrap/>
            <w:vAlign w:val="bottom"/>
            <w:hideMark/>
          </w:tcPr>
          <w:p w14:paraId="0005453D"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287.6</w:t>
            </w:r>
          </w:p>
        </w:tc>
      </w:tr>
      <w:tr w:rsidR="00D33F7C" w:rsidRPr="00AF27AC" w14:paraId="3EB48FE2" w14:textId="77777777" w:rsidTr="00E213CE">
        <w:trPr>
          <w:trHeight w:val="272"/>
        </w:trPr>
        <w:tc>
          <w:tcPr>
            <w:tcW w:w="1551" w:type="dxa"/>
            <w:tcBorders>
              <w:top w:val="nil"/>
              <w:left w:val="single" w:sz="8" w:space="0" w:color="auto"/>
              <w:bottom w:val="nil"/>
              <w:right w:val="nil"/>
            </w:tcBorders>
            <w:shd w:val="clear" w:color="auto" w:fill="auto"/>
            <w:noWrap/>
            <w:vAlign w:val="center"/>
            <w:hideMark/>
          </w:tcPr>
          <w:p w14:paraId="1154FAF0" w14:textId="77777777" w:rsidR="00D33F7C" w:rsidRPr="00AF27AC" w:rsidRDefault="00D33F7C" w:rsidP="00E213CE">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Switzerland</w:t>
            </w:r>
          </w:p>
        </w:tc>
        <w:tc>
          <w:tcPr>
            <w:tcW w:w="744" w:type="dxa"/>
            <w:tcBorders>
              <w:top w:val="nil"/>
              <w:left w:val="single" w:sz="8" w:space="0" w:color="auto"/>
              <w:bottom w:val="nil"/>
              <w:right w:val="nil"/>
            </w:tcBorders>
            <w:shd w:val="clear" w:color="auto" w:fill="auto"/>
            <w:noWrap/>
            <w:vAlign w:val="center"/>
            <w:hideMark/>
          </w:tcPr>
          <w:p w14:paraId="042B7CAB"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247.3</w:t>
            </w:r>
          </w:p>
        </w:tc>
        <w:tc>
          <w:tcPr>
            <w:tcW w:w="744" w:type="dxa"/>
            <w:tcBorders>
              <w:top w:val="nil"/>
              <w:left w:val="single" w:sz="8" w:space="0" w:color="auto"/>
              <w:bottom w:val="nil"/>
              <w:right w:val="single" w:sz="8" w:space="0" w:color="auto"/>
            </w:tcBorders>
            <w:shd w:val="clear" w:color="auto" w:fill="auto"/>
            <w:noWrap/>
            <w:vAlign w:val="bottom"/>
            <w:hideMark/>
          </w:tcPr>
          <w:p w14:paraId="135A576F"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250.4</w:t>
            </w:r>
          </w:p>
        </w:tc>
        <w:tc>
          <w:tcPr>
            <w:tcW w:w="744" w:type="dxa"/>
            <w:tcBorders>
              <w:top w:val="nil"/>
              <w:left w:val="nil"/>
              <w:bottom w:val="nil"/>
              <w:right w:val="nil"/>
            </w:tcBorders>
            <w:shd w:val="clear" w:color="auto" w:fill="auto"/>
            <w:noWrap/>
            <w:vAlign w:val="bottom"/>
            <w:hideMark/>
          </w:tcPr>
          <w:p w14:paraId="0BD8F05B"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253.4</w:t>
            </w:r>
          </w:p>
        </w:tc>
        <w:tc>
          <w:tcPr>
            <w:tcW w:w="744" w:type="dxa"/>
            <w:tcBorders>
              <w:top w:val="nil"/>
              <w:left w:val="single" w:sz="8" w:space="0" w:color="auto"/>
              <w:bottom w:val="nil"/>
              <w:right w:val="single" w:sz="8" w:space="0" w:color="auto"/>
            </w:tcBorders>
            <w:shd w:val="clear" w:color="auto" w:fill="auto"/>
            <w:noWrap/>
            <w:vAlign w:val="bottom"/>
            <w:hideMark/>
          </w:tcPr>
          <w:p w14:paraId="1C897AEC"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255.4</w:t>
            </w:r>
          </w:p>
        </w:tc>
        <w:tc>
          <w:tcPr>
            <w:tcW w:w="744" w:type="dxa"/>
            <w:tcBorders>
              <w:top w:val="nil"/>
              <w:left w:val="nil"/>
              <w:bottom w:val="nil"/>
              <w:right w:val="nil"/>
            </w:tcBorders>
            <w:shd w:val="clear" w:color="auto" w:fill="auto"/>
            <w:noWrap/>
            <w:vAlign w:val="bottom"/>
            <w:hideMark/>
          </w:tcPr>
          <w:p w14:paraId="613D7B7C"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255.5</w:t>
            </w:r>
          </w:p>
        </w:tc>
        <w:tc>
          <w:tcPr>
            <w:tcW w:w="744" w:type="dxa"/>
            <w:tcBorders>
              <w:top w:val="nil"/>
              <w:left w:val="single" w:sz="8" w:space="0" w:color="auto"/>
              <w:bottom w:val="nil"/>
              <w:right w:val="single" w:sz="8" w:space="0" w:color="auto"/>
            </w:tcBorders>
            <w:shd w:val="clear" w:color="auto" w:fill="auto"/>
            <w:noWrap/>
            <w:vAlign w:val="bottom"/>
            <w:hideMark/>
          </w:tcPr>
          <w:p w14:paraId="0EB73664"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253.3</w:t>
            </w:r>
          </w:p>
        </w:tc>
        <w:tc>
          <w:tcPr>
            <w:tcW w:w="744" w:type="dxa"/>
            <w:tcBorders>
              <w:top w:val="nil"/>
              <w:left w:val="nil"/>
              <w:bottom w:val="nil"/>
              <w:right w:val="nil"/>
            </w:tcBorders>
            <w:shd w:val="clear" w:color="auto" w:fill="auto"/>
            <w:noWrap/>
            <w:vAlign w:val="bottom"/>
            <w:hideMark/>
          </w:tcPr>
          <w:p w14:paraId="25AE54D9"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255.5</w:t>
            </w:r>
          </w:p>
        </w:tc>
        <w:tc>
          <w:tcPr>
            <w:tcW w:w="744" w:type="dxa"/>
            <w:tcBorders>
              <w:top w:val="nil"/>
              <w:left w:val="single" w:sz="8" w:space="0" w:color="auto"/>
              <w:bottom w:val="nil"/>
              <w:right w:val="single" w:sz="8" w:space="0" w:color="auto"/>
            </w:tcBorders>
            <w:shd w:val="clear" w:color="auto" w:fill="auto"/>
            <w:noWrap/>
            <w:vAlign w:val="bottom"/>
            <w:hideMark/>
          </w:tcPr>
          <w:p w14:paraId="2BF9DD5A"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254</w:t>
            </w:r>
          </w:p>
        </w:tc>
        <w:tc>
          <w:tcPr>
            <w:tcW w:w="744" w:type="dxa"/>
            <w:tcBorders>
              <w:top w:val="nil"/>
              <w:left w:val="nil"/>
              <w:bottom w:val="nil"/>
              <w:right w:val="single" w:sz="8" w:space="0" w:color="auto"/>
            </w:tcBorders>
            <w:shd w:val="clear" w:color="auto" w:fill="auto"/>
            <w:noWrap/>
            <w:vAlign w:val="bottom"/>
            <w:hideMark/>
          </w:tcPr>
          <w:p w14:paraId="2BAD9B57"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257.8</w:t>
            </w:r>
          </w:p>
        </w:tc>
        <w:tc>
          <w:tcPr>
            <w:tcW w:w="744" w:type="dxa"/>
            <w:tcBorders>
              <w:top w:val="nil"/>
              <w:left w:val="nil"/>
              <w:bottom w:val="nil"/>
              <w:right w:val="single" w:sz="8" w:space="0" w:color="auto"/>
            </w:tcBorders>
            <w:shd w:val="clear" w:color="auto" w:fill="auto"/>
            <w:noWrap/>
            <w:vAlign w:val="bottom"/>
            <w:hideMark/>
          </w:tcPr>
          <w:p w14:paraId="3E2D23AF"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254.8</w:t>
            </w:r>
          </w:p>
        </w:tc>
        <w:tc>
          <w:tcPr>
            <w:tcW w:w="744" w:type="dxa"/>
            <w:tcBorders>
              <w:top w:val="nil"/>
              <w:left w:val="nil"/>
              <w:bottom w:val="nil"/>
              <w:right w:val="single" w:sz="8" w:space="0" w:color="auto"/>
            </w:tcBorders>
            <w:shd w:val="clear" w:color="auto" w:fill="auto"/>
            <w:noWrap/>
            <w:vAlign w:val="bottom"/>
            <w:hideMark/>
          </w:tcPr>
          <w:p w14:paraId="64BECA90"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261</w:t>
            </w:r>
          </w:p>
        </w:tc>
        <w:tc>
          <w:tcPr>
            <w:tcW w:w="744" w:type="dxa"/>
            <w:tcBorders>
              <w:top w:val="nil"/>
              <w:left w:val="nil"/>
              <w:bottom w:val="nil"/>
              <w:right w:val="single" w:sz="8" w:space="0" w:color="auto"/>
            </w:tcBorders>
            <w:shd w:val="clear" w:color="auto" w:fill="auto"/>
            <w:noWrap/>
            <w:vAlign w:val="bottom"/>
            <w:hideMark/>
          </w:tcPr>
          <w:p w14:paraId="066DD5ED"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264.9</w:t>
            </w:r>
          </w:p>
        </w:tc>
      </w:tr>
      <w:tr w:rsidR="00D33F7C" w:rsidRPr="00AF27AC" w14:paraId="6D82643A" w14:textId="77777777" w:rsidTr="00E213CE">
        <w:trPr>
          <w:trHeight w:val="272"/>
        </w:trPr>
        <w:tc>
          <w:tcPr>
            <w:tcW w:w="1551" w:type="dxa"/>
            <w:tcBorders>
              <w:top w:val="nil"/>
              <w:left w:val="single" w:sz="8" w:space="0" w:color="auto"/>
              <w:bottom w:val="nil"/>
              <w:right w:val="nil"/>
            </w:tcBorders>
            <w:shd w:val="clear" w:color="auto" w:fill="auto"/>
            <w:noWrap/>
            <w:vAlign w:val="center"/>
            <w:hideMark/>
          </w:tcPr>
          <w:p w14:paraId="3000A014" w14:textId="77777777" w:rsidR="00D33F7C" w:rsidRPr="00AF27AC" w:rsidRDefault="00D33F7C" w:rsidP="00E213CE">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Brazil</w:t>
            </w:r>
          </w:p>
        </w:tc>
        <w:tc>
          <w:tcPr>
            <w:tcW w:w="744" w:type="dxa"/>
            <w:tcBorders>
              <w:top w:val="nil"/>
              <w:left w:val="single" w:sz="8" w:space="0" w:color="auto"/>
              <w:bottom w:val="nil"/>
              <w:right w:val="nil"/>
            </w:tcBorders>
            <w:shd w:val="clear" w:color="auto" w:fill="auto"/>
            <w:noWrap/>
            <w:vAlign w:val="center"/>
            <w:hideMark/>
          </w:tcPr>
          <w:p w14:paraId="2309E3FA"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264.1</w:t>
            </w:r>
          </w:p>
        </w:tc>
        <w:tc>
          <w:tcPr>
            <w:tcW w:w="744" w:type="dxa"/>
            <w:tcBorders>
              <w:top w:val="nil"/>
              <w:left w:val="single" w:sz="8" w:space="0" w:color="auto"/>
              <w:bottom w:val="nil"/>
              <w:right w:val="single" w:sz="8" w:space="0" w:color="auto"/>
            </w:tcBorders>
            <w:shd w:val="clear" w:color="auto" w:fill="auto"/>
            <w:noWrap/>
            <w:vAlign w:val="bottom"/>
            <w:hideMark/>
          </w:tcPr>
          <w:p w14:paraId="4D7BB6F3"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265.7</w:t>
            </w:r>
          </w:p>
        </w:tc>
        <w:tc>
          <w:tcPr>
            <w:tcW w:w="744" w:type="dxa"/>
            <w:tcBorders>
              <w:top w:val="nil"/>
              <w:left w:val="nil"/>
              <w:bottom w:val="nil"/>
              <w:right w:val="nil"/>
            </w:tcBorders>
            <w:shd w:val="clear" w:color="auto" w:fill="auto"/>
            <w:noWrap/>
            <w:vAlign w:val="bottom"/>
            <w:hideMark/>
          </w:tcPr>
          <w:p w14:paraId="1E266CE9"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265</w:t>
            </w:r>
          </w:p>
        </w:tc>
        <w:tc>
          <w:tcPr>
            <w:tcW w:w="744" w:type="dxa"/>
            <w:tcBorders>
              <w:top w:val="nil"/>
              <w:left w:val="single" w:sz="8" w:space="0" w:color="auto"/>
              <w:bottom w:val="nil"/>
              <w:right w:val="single" w:sz="8" w:space="0" w:color="auto"/>
            </w:tcBorders>
            <w:shd w:val="clear" w:color="auto" w:fill="auto"/>
            <w:noWrap/>
            <w:vAlign w:val="bottom"/>
            <w:hideMark/>
          </w:tcPr>
          <w:p w14:paraId="432CD7F3"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265.1</w:t>
            </w:r>
          </w:p>
        </w:tc>
        <w:tc>
          <w:tcPr>
            <w:tcW w:w="744" w:type="dxa"/>
            <w:tcBorders>
              <w:top w:val="nil"/>
              <w:left w:val="nil"/>
              <w:bottom w:val="nil"/>
              <w:right w:val="nil"/>
            </w:tcBorders>
            <w:shd w:val="clear" w:color="auto" w:fill="auto"/>
            <w:noWrap/>
            <w:vAlign w:val="bottom"/>
            <w:hideMark/>
          </w:tcPr>
          <w:p w14:paraId="2A654CB0"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262.9</w:t>
            </w:r>
          </w:p>
        </w:tc>
        <w:tc>
          <w:tcPr>
            <w:tcW w:w="744" w:type="dxa"/>
            <w:tcBorders>
              <w:top w:val="nil"/>
              <w:left w:val="single" w:sz="8" w:space="0" w:color="auto"/>
              <w:bottom w:val="nil"/>
              <w:right w:val="single" w:sz="8" w:space="0" w:color="auto"/>
            </w:tcBorders>
            <w:shd w:val="clear" w:color="auto" w:fill="auto"/>
            <w:noWrap/>
            <w:vAlign w:val="bottom"/>
            <w:hideMark/>
          </w:tcPr>
          <w:p w14:paraId="0B3BB363"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262.2</w:t>
            </w:r>
          </w:p>
        </w:tc>
        <w:tc>
          <w:tcPr>
            <w:tcW w:w="744" w:type="dxa"/>
            <w:tcBorders>
              <w:top w:val="nil"/>
              <w:left w:val="nil"/>
              <w:bottom w:val="nil"/>
              <w:right w:val="nil"/>
            </w:tcBorders>
            <w:shd w:val="clear" w:color="auto" w:fill="auto"/>
            <w:noWrap/>
            <w:vAlign w:val="bottom"/>
            <w:hideMark/>
          </w:tcPr>
          <w:p w14:paraId="0C5DA054"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258.3</w:t>
            </w:r>
          </w:p>
        </w:tc>
        <w:tc>
          <w:tcPr>
            <w:tcW w:w="744" w:type="dxa"/>
            <w:tcBorders>
              <w:top w:val="nil"/>
              <w:left w:val="single" w:sz="8" w:space="0" w:color="auto"/>
              <w:bottom w:val="nil"/>
              <w:right w:val="single" w:sz="8" w:space="0" w:color="auto"/>
            </w:tcBorders>
            <w:shd w:val="clear" w:color="auto" w:fill="auto"/>
            <w:noWrap/>
            <w:vAlign w:val="bottom"/>
            <w:hideMark/>
          </w:tcPr>
          <w:p w14:paraId="7EDC754D"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260.4</w:t>
            </w:r>
          </w:p>
        </w:tc>
        <w:tc>
          <w:tcPr>
            <w:tcW w:w="744" w:type="dxa"/>
            <w:tcBorders>
              <w:top w:val="nil"/>
              <w:left w:val="nil"/>
              <w:bottom w:val="nil"/>
              <w:right w:val="single" w:sz="8" w:space="0" w:color="auto"/>
            </w:tcBorders>
            <w:shd w:val="clear" w:color="auto" w:fill="auto"/>
            <w:noWrap/>
            <w:vAlign w:val="bottom"/>
            <w:hideMark/>
          </w:tcPr>
          <w:p w14:paraId="6A8D136A"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259</w:t>
            </w:r>
          </w:p>
        </w:tc>
        <w:tc>
          <w:tcPr>
            <w:tcW w:w="744" w:type="dxa"/>
            <w:tcBorders>
              <w:top w:val="nil"/>
              <w:left w:val="nil"/>
              <w:bottom w:val="nil"/>
              <w:right w:val="single" w:sz="8" w:space="0" w:color="auto"/>
            </w:tcBorders>
            <w:shd w:val="clear" w:color="auto" w:fill="auto"/>
            <w:noWrap/>
            <w:vAlign w:val="bottom"/>
            <w:hideMark/>
          </w:tcPr>
          <w:p w14:paraId="412EC0DE"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255.5</w:t>
            </w:r>
          </w:p>
        </w:tc>
        <w:tc>
          <w:tcPr>
            <w:tcW w:w="744" w:type="dxa"/>
            <w:tcBorders>
              <w:top w:val="nil"/>
              <w:left w:val="nil"/>
              <w:bottom w:val="nil"/>
              <w:right w:val="single" w:sz="8" w:space="0" w:color="auto"/>
            </w:tcBorders>
            <w:shd w:val="clear" w:color="auto" w:fill="auto"/>
            <w:noWrap/>
            <w:vAlign w:val="bottom"/>
            <w:hideMark/>
          </w:tcPr>
          <w:p w14:paraId="39A9EC0D"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255.3</w:t>
            </w:r>
          </w:p>
        </w:tc>
        <w:tc>
          <w:tcPr>
            <w:tcW w:w="744" w:type="dxa"/>
            <w:tcBorders>
              <w:top w:val="nil"/>
              <w:left w:val="nil"/>
              <w:bottom w:val="nil"/>
              <w:right w:val="single" w:sz="8" w:space="0" w:color="auto"/>
            </w:tcBorders>
            <w:shd w:val="clear" w:color="auto" w:fill="auto"/>
            <w:noWrap/>
            <w:vAlign w:val="bottom"/>
            <w:hideMark/>
          </w:tcPr>
          <w:p w14:paraId="46D17BAD"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251.8</w:t>
            </w:r>
          </w:p>
        </w:tc>
      </w:tr>
      <w:tr w:rsidR="00D33F7C" w:rsidRPr="00AF27AC" w14:paraId="4CEF2712" w14:textId="77777777" w:rsidTr="00E213CE">
        <w:trPr>
          <w:trHeight w:val="272"/>
        </w:trPr>
        <w:tc>
          <w:tcPr>
            <w:tcW w:w="1551" w:type="dxa"/>
            <w:tcBorders>
              <w:top w:val="nil"/>
              <w:left w:val="single" w:sz="8" w:space="0" w:color="auto"/>
              <w:bottom w:val="nil"/>
              <w:right w:val="nil"/>
            </w:tcBorders>
            <w:shd w:val="clear" w:color="auto" w:fill="auto"/>
            <w:noWrap/>
            <w:vAlign w:val="center"/>
            <w:hideMark/>
          </w:tcPr>
          <w:p w14:paraId="3E4BF0BE" w14:textId="77777777" w:rsidR="00D33F7C" w:rsidRPr="00AF27AC" w:rsidRDefault="00D33F7C" w:rsidP="00E213CE">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Belgium</w:t>
            </w:r>
          </w:p>
        </w:tc>
        <w:tc>
          <w:tcPr>
            <w:tcW w:w="744" w:type="dxa"/>
            <w:tcBorders>
              <w:top w:val="nil"/>
              <w:left w:val="single" w:sz="8" w:space="0" w:color="auto"/>
              <w:bottom w:val="nil"/>
              <w:right w:val="nil"/>
            </w:tcBorders>
            <w:shd w:val="clear" w:color="auto" w:fill="auto"/>
            <w:noWrap/>
            <w:vAlign w:val="center"/>
            <w:hideMark/>
          </w:tcPr>
          <w:p w14:paraId="025F839E"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218.8</w:t>
            </w:r>
          </w:p>
        </w:tc>
        <w:tc>
          <w:tcPr>
            <w:tcW w:w="744" w:type="dxa"/>
            <w:tcBorders>
              <w:top w:val="nil"/>
              <w:left w:val="single" w:sz="8" w:space="0" w:color="auto"/>
              <w:bottom w:val="nil"/>
              <w:right w:val="single" w:sz="8" w:space="0" w:color="auto"/>
            </w:tcBorders>
            <w:shd w:val="clear" w:color="auto" w:fill="auto"/>
            <w:noWrap/>
            <w:vAlign w:val="bottom"/>
            <w:hideMark/>
          </w:tcPr>
          <w:p w14:paraId="2548E8AA"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211.8</w:t>
            </w:r>
          </w:p>
        </w:tc>
        <w:tc>
          <w:tcPr>
            <w:tcW w:w="744" w:type="dxa"/>
            <w:tcBorders>
              <w:top w:val="nil"/>
              <w:left w:val="nil"/>
              <w:bottom w:val="nil"/>
              <w:right w:val="nil"/>
            </w:tcBorders>
            <w:shd w:val="clear" w:color="auto" w:fill="auto"/>
            <w:noWrap/>
            <w:vAlign w:val="bottom"/>
            <w:hideMark/>
          </w:tcPr>
          <w:p w14:paraId="7912984D"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214.9</w:t>
            </w:r>
          </w:p>
        </w:tc>
        <w:tc>
          <w:tcPr>
            <w:tcW w:w="744" w:type="dxa"/>
            <w:tcBorders>
              <w:top w:val="nil"/>
              <w:left w:val="single" w:sz="8" w:space="0" w:color="auto"/>
              <w:bottom w:val="nil"/>
              <w:right w:val="single" w:sz="8" w:space="0" w:color="auto"/>
            </w:tcBorders>
            <w:shd w:val="clear" w:color="auto" w:fill="auto"/>
            <w:noWrap/>
            <w:vAlign w:val="bottom"/>
            <w:hideMark/>
          </w:tcPr>
          <w:p w14:paraId="5969AAF2"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218.1</w:t>
            </w:r>
          </w:p>
        </w:tc>
        <w:tc>
          <w:tcPr>
            <w:tcW w:w="744" w:type="dxa"/>
            <w:tcBorders>
              <w:top w:val="nil"/>
              <w:left w:val="nil"/>
              <w:bottom w:val="nil"/>
              <w:right w:val="nil"/>
            </w:tcBorders>
            <w:shd w:val="clear" w:color="auto" w:fill="auto"/>
            <w:noWrap/>
            <w:vAlign w:val="bottom"/>
            <w:hideMark/>
          </w:tcPr>
          <w:p w14:paraId="45CFF22F"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239.5</w:t>
            </w:r>
          </w:p>
        </w:tc>
        <w:tc>
          <w:tcPr>
            <w:tcW w:w="744" w:type="dxa"/>
            <w:tcBorders>
              <w:top w:val="nil"/>
              <w:left w:val="single" w:sz="8" w:space="0" w:color="auto"/>
              <w:bottom w:val="nil"/>
              <w:right w:val="single" w:sz="8" w:space="0" w:color="auto"/>
            </w:tcBorders>
            <w:shd w:val="clear" w:color="auto" w:fill="auto"/>
            <w:noWrap/>
            <w:vAlign w:val="bottom"/>
            <w:hideMark/>
          </w:tcPr>
          <w:p w14:paraId="558AE0F8"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240.5</w:t>
            </w:r>
          </w:p>
        </w:tc>
        <w:tc>
          <w:tcPr>
            <w:tcW w:w="744" w:type="dxa"/>
            <w:tcBorders>
              <w:top w:val="nil"/>
              <w:left w:val="nil"/>
              <w:bottom w:val="nil"/>
              <w:right w:val="nil"/>
            </w:tcBorders>
            <w:shd w:val="clear" w:color="auto" w:fill="auto"/>
            <w:noWrap/>
            <w:vAlign w:val="bottom"/>
            <w:hideMark/>
          </w:tcPr>
          <w:p w14:paraId="4BE57983"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253.5</w:t>
            </w:r>
          </w:p>
        </w:tc>
        <w:tc>
          <w:tcPr>
            <w:tcW w:w="744" w:type="dxa"/>
            <w:tcBorders>
              <w:top w:val="nil"/>
              <w:left w:val="single" w:sz="8" w:space="0" w:color="auto"/>
              <w:bottom w:val="nil"/>
              <w:right w:val="single" w:sz="8" w:space="0" w:color="auto"/>
            </w:tcBorders>
            <w:shd w:val="clear" w:color="auto" w:fill="auto"/>
            <w:noWrap/>
            <w:vAlign w:val="bottom"/>
            <w:hideMark/>
          </w:tcPr>
          <w:p w14:paraId="3D737440"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248.2</w:t>
            </w:r>
          </w:p>
        </w:tc>
        <w:tc>
          <w:tcPr>
            <w:tcW w:w="744" w:type="dxa"/>
            <w:tcBorders>
              <w:top w:val="nil"/>
              <w:left w:val="nil"/>
              <w:bottom w:val="nil"/>
              <w:right w:val="single" w:sz="8" w:space="0" w:color="auto"/>
            </w:tcBorders>
            <w:shd w:val="clear" w:color="auto" w:fill="auto"/>
            <w:noWrap/>
            <w:vAlign w:val="bottom"/>
            <w:hideMark/>
          </w:tcPr>
          <w:p w14:paraId="113F970A"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236.7</w:t>
            </w:r>
          </w:p>
        </w:tc>
        <w:tc>
          <w:tcPr>
            <w:tcW w:w="744" w:type="dxa"/>
            <w:tcBorders>
              <w:top w:val="nil"/>
              <w:left w:val="nil"/>
              <w:bottom w:val="nil"/>
              <w:right w:val="single" w:sz="8" w:space="0" w:color="auto"/>
            </w:tcBorders>
            <w:shd w:val="clear" w:color="auto" w:fill="auto"/>
            <w:noWrap/>
            <w:vAlign w:val="bottom"/>
            <w:hideMark/>
          </w:tcPr>
          <w:p w14:paraId="4F9221AA"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235.8</w:t>
            </w:r>
          </w:p>
        </w:tc>
        <w:tc>
          <w:tcPr>
            <w:tcW w:w="744" w:type="dxa"/>
            <w:tcBorders>
              <w:top w:val="nil"/>
              <w:left w:val="nil"/>
              <w:bottom w:val="nil"/>
              <w:right w:val="single" w:sz="8" w:space="0" w:color="auto"/>
            </w:tcBorders>
            <w:shd w:val="clear" w:color="auto" w:fill="auto"/>
            <w:noWrap/>
            <w:vAlign w:val="bottom"/>
            <w:hideMark/>
          </w:tcPr>
          <w:p w14:paraId="34225817"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234.8</w:t>
            </w:r>
          </w:p>
        </w:tc>
        <w:tc>
          <w:tcPr>
            <w:tcW w:w="744" w:type="dxa"/>
            <w:tcBorders>
              <w:top w:val="nil"/>
              <w:left w:val="nil"/>
              <w:bottom w:val="nil"/>
              <w:right w:val="single" w:sz="8" w:space="0" w:color="auto"/>
            </w:tcBorders>
            <w:shd w:val="clear" w:color="auto" w:fill="auto"/>
            <w:noWrap/>
            <w:vAlign w:val="bottom"/>
            <w:hideMark/>
          </w:tcPr>
          <w:p w14:paraId="249A4253"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236.4</w:t>
            </w:r>
          </w:p>
        </w:tc>
      </w:tr>
      <w:tr w:rsidR="00D33F7C" w:rsidRPr="00AF27AC" w14:paraId="33512EFA" w14:textId="77777777" w:rsidTr="00E213CE">
        <w:trPr>
          <w:trHeight w:val="272"/>
        </w:trPr>
        <w:tc>
          <w:tcPr>
            <w:tcW w:w="1551" w:type="dxa"/>
            <w:tcBorders>
              <w:top w:val="nil"/>
              <w:left w:val="single" w:sz="8" w:space="0" w:color="auto"/>
              <w:bottom w:val="nil"/>
              <w:right w:val="nil"/>
            </w:tcBorders>
            <w:shd w:val="clear" w:color="auto" w:fill="auto"/>
            <w:noWrap/>
            <w:vAlign w:val="center"/>
            <w:hideMark/>
          </w:tcPr>
          <w:p w14:paraId="0DBAAADE" w14:textId="77777777" w:rsidR="00D33F7C" w:rsidRPr="00AF27AC" w:rsidRDefault="00D33F7C" w:rsidP="00E213CE">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Taiwan</w:t>
            </w:r>
          </w:p>
        </w:tc>
        <w:tc>
          <w:tcPr>
            <w:tcW w:w="744" w:type="dxa"/>
            <w:tcBorders>
              <w:top w:val="nil"/>
              <w:left w:val="single" w:sz="8" w:space="0" w:color="auto"/>
              <w:bottom w:val="nil"/>
              <w:right w:val="nil"/>
            </w:tcBorders>
            <w:shd w:val="clear" w:color="auto" w:fill="auto"/>
            <w:noWrap/>
            <w:vAlign w:val="center"/>
            <w:hideMark/>
          </w:tcPr>
          <w:p w14:paraId="4D39CB82"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204.6</w:t>
            </w:r>
          </w:p>
        </w:tc>
        <w:tc>
          <w:tcPr>
            <w:tcW w:w="744" w:type="dxa"/>
            <w:tcBorders>
              <w:top w:val="nil"/>
              <w:left w:val="single" w:sz="8" w:space="0" w:color="auto"/>
              <w:bottom w:val="nil"/>
              <w:right w:val="single" w:sz="8" w:space="0" w:color="auto"/>
            </w:tcBorders>
            <w:shd w:val="clear" w:color="auto" w:fill="auto"/>
            <w:noWrap/>
            <w:vAlign w:val="bottom"/>
            <w:hideMark/>
          </w:tcPr>
          <w:p w14:paraId="3D41114B"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209.7</w:t>
            </w:r>
          </w:p>
        </w:tc>
        <w:tc>
          <w:tcPr>
            <w:tcW w:w="744" w:type="dxa"/>
            <w:tcBorders>
              <w:top w:val="nil"/>
              <w:left w:val="nil"/>
              <w:bottom w:val="nil"/>
              <w:right w:val="nil"/>
            </w:tcBorders>
            <w:shd w:val="clear" w:color="auto" w:fill="auto"/>
            <w:noWrap/>
            <w:vAlign w:val="bottom"/>
            <w:hideMark/>
          </w:tcPr>
          <w:p w14:paraId="044146A3"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212</w:t>
            </w:r>
          </w:p>
        </w:tc>
        <w:tc>
          <w:tcPr>
            <w:tcW w:w="744" w:type="dxa"/>
            <w:tcBorders>
              <w:top w:val="nil"/>
              <w:left w:val="single" w:sz="8" w:space="0" w:color="auto"/>
              <w:bottom w:val="nil"/>
              <w:right w:val="single" w:sz="8" w:space="0" w:color="auto"/>
            </w:tcBorders>
            <w:shd w:val="clear" w:color="auto" w:fill="auto"/>
            <w:noWrap/>
            <w:vAlign w:val="bottom"/>
            <w:hideMark/>
          </w:tcPr>
          <w:p w14:paraId="573F8D44"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213.5</w:t>
            </w:r>
          </w:p>
        </w:tc>
        <w:tc>
          <w:tcPr>
            <w:tcW w:w="744" w:type="dxa"/>
            <w:tcBorders>
              <w:top w:val="nil"/>
              <w:left w:val="nil"/>
              <w:bottom w:val="nil"/>
              <w:right w:val="nil"/>
            </w:tcBorders>
            <w:shd w:val="clear" w:color="auto" w:fill="auto"/>
            <w:noWrap/>
            <w:vAlign w:val="bottom"/>
            <w:hideMark/>
          </w:tcPr>
          <w:p w14:paraId="3C1B506E"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218.2</w:t>
            </w:r>
          </w:p>
        </w:tc>
        <w:tc>
          <w:tcPr>
            <w:tcW w:w="744" w:type="dxa"/>
            <w:tcBorders>
              <w:top w:val="nil"/>
              <w:left w:val="single" w:sz="8" w:space="0" w:color="auto"/>
              <w:bottom w:val="nil"/>
              <w:right w:val="single" w:sz="8" w:space="0" w:color="auto"/>
            </w:tcBorders>
            <w:shd w:val="clear" w:color="auto" w:fill="auto"/>
            <w:noWrap/>
            <w:vAlign w:val="bottom"/>
            <w:hideMark/>
          </w:tcPr>
          <w:p w14:paraId="7EE966EC"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222.3</w:t>
            </w:r>
          </w:p>
        </w:tc>
        <w:tc>
          <w:tcPr>
            <w:tcW w:w="744" w:type="dxa"/>
            <w:tcBorders>
              <w:top w:val="nil"/>
              <w:left w:val="nil"/>
              <w:bottom w:val="nil"/>
              <w:right w:val="nil"/>
            </w:tcBorders>
            <w:shd w:val="clear" w:color="auto" w:fill="auto"/>
            <w:noWrap/>
            <w:vAlign w:val="bottom"/>
            <w:hideMark/>
          </w:tcPr>
          <w:p w14:paraId="5B1E5934"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235.4</w:t>
            </w:r>
          </w:p>
        </w:tc>
        <w:tc>
          <w:tcPr>
            <w:tcW w:w="744" w:type="dxa"/>
            <w:tcBorders>
              <w:top w:val="nil"/>
              <w:left w:val="single" w:sz="8" w:space="0" w:color="auto"/>
              <w:bottom w:val="nil"/>
              <w:right w:val="single" w:sz="8" w:space="0" w:color="auto"/>
            </w:tcBorders>
            <w:shd w:val="clear" w:color="auto" w:fill="auto"/>
            <w:noWrap/>
            <w:vAlign w:val="bottom"/>
            <w:hideMark/>
          </w:tcPr>
          <w:p w14:paraId="36510844"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239.6</w:t>
            </w:r>
          </w:p>
        </w:tc>
        <w:tc>
          <w:tcPr>
            <w:tcW w:w="744" w:type="dxa"/>
            <w:tcBorders>
              <w:top w:val="nil"/>
              <w:left w:val="nil"/>
              <w:bottom w:val="nil"/>
              <w:right w:val="single" w:sz="8" w:space="0" w:color="auto"/>
            </w:tcBorders>
            <w:shd w:val="clear" w:color="auto" w:fill="auto"/>
            <w:noWrap/>
            <w:vAlign w:val="bottom"/>
            <w:hideMark/>
          </w:tcPr>
          <w:p w14:paraId="5DB6F384"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234.5</w:t>
            </w:r>
          </w:p>
        </w:tc>
        <w:tc>
          <w:tcPr>
            <w:tcW w:w="744" w:type="dxa"/>
            <w:tcBorders>
              <w:top w:val="nil"/>
              <w:left w:val="nil"/>
              <w:bottom w:val="nil"/>
              <w:right w:val="single" w:sz="8" w:space="0" w:color="auto"/>
            </w:tcBorders>
            <w:shd w:val="clear" w:color="auto" w:fill="auto"/>
            <w:noWrap/>
            <w:vAlign w:val="bottom"/>
            <w:hideMark/>
          </w:tcPr>
          <w:p w14:paraId="4EA8EE7C"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231.5</w:t>
            </w:r>
          </w:p>
        </w:tc>
        <w:tc>
          <w:tcPr>
            <w:tcW w:w="744" w:type="dxa"/>
            <w:tcBorders>
              <w:top w:val="nil"/>
              <w:left w:val="nil"/>
              <w:bottom w:val="nil"/>
              <w:right w:val="single" w:sz="8" w:space="0" w:color="auto"/>
            </w:tcBorders>
            <w:shd w:val="clear" w:color="auto" w:fill="auto"/>
            <w:noWrap/>
            <w:vAlign w:val="bottom"/>
            <w:hideMark/>
          </w:tcPr>
          <w:p w14:paraId="41D1FB97"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234</w:t>
            </w:r>
          </w:p>
        </w:tc>
        <w:tc>
          <w:tcPr>
            <w:tcW w:w="744" w:type="dxa"/>
            <w:tcBorders>
              <w:top w:val="nil"/>
              <w:left w:val="nil"/>
              <w:bottom w:val="nil"/>
              <w:right w:val="single" w:sz="8" w:space="0" w:color="auto"/>
            </w:tcBorders>
            <w:shd w:val="clear" w:color="auto" w:fill="auto"/>
            <w:noWrap/>
            <w:vAlign w:val="bottom"/>
            <w:hideMark/>
          </w:tcPr>
          <w:p w14:paraId="2FADA2F4"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236.3</w:t>
            </w:r>
          </w:p>
        </w:tc>
      </w:tr>
      <w:tr w:rsidR="00D33F7C" w:rsidRPr="00AF27AC" w14:paraId="2333A7C9" w14:textId="77777777" w:rsidTr="00E213CE">
        <w:trPr>
          <w:trHeight w:val="272"/>
        </w:trPr>
        <w:tc>
          <w:tcPr>
            <w:tcW w:w="1551" w:type="dxa"/>
            <w:tcBorders>
              <w:top w:val="nil"/>
              <w:left w:val="single" w:sz="8" w:space="0" w:color="auto"/>
              <w:bottom w:val="nil"/>
              <w:right w:val="nil"/>
            </w:tcBorders>
            <w:shd w:val="clear" w:color="auto" w:fill="auto"/>
            <w:noWrap/>
            <w:vAlign w:val="center"/>
            <w:hideMark/>
          </w:tcPr>
          <w:p w14:paraId="4C83F979" w14:textId="77777777" w:rsidR="00D33F7C" w:rsidRPr="00AF27AC" w:rsidRDefault="00D33F7C" w:rsidP="00E213CE">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Cayman Islands</w:t>
            </w:r>
          </w:p>
        </w:tc>
        <w:tc>
          <w:tcPr>
            <w:tcW w:w="744" w:type="dxa"/>
            <w:tcBorders>
              <w:top w:val="nil"/>
              <w:left w:val="single" w:sz="8" w:space="0" w:color="auto"/>
              <w:bottom w:val="nil"/>
              <w:right w:val="nil"/>
            </w:tcBorders>
            <w:shd w:val="clear" w:color="auto" w:fill="auto"/>
            <w:noWrap/>
            <w:vAlign w:val="center"/>
            <w:hideMark/>
          </w:tcPr>
          <w:p w14:paraId="7E0669D3"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229.6</w:t>
            </w:r>
          </w:p>
        </w:tc>
        <w:tc>
          <w:tcPr>
            <w:tcW w:w="744" w:type="dxa"/>
            <w:tcBorders>
              <w:top w:val="nil"/>
              <w:left w:val="single" w:sz="8" w:space="0" w:color="auto"/>
              <w:bottom w:val="nil"/>
              <w:right w:val="single" w:sz="8" w:space="0" w:color="auto"/>
            </w:tcBorders>
            <w:shd w:val="clear" w:color="auto" w:fill="auto"/>
            <w:noWrap/>
            <w:vAlign w:val="bottom"/>
            <w:hideMark/>
          </w:tcPr>
          <w:p w14:paraId="5716BFCF"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222.3</w:t>
            </w:r>
          </w:p>
        </w:tc>
        <w:tc>
          <w:tcPr>
            <w:tcW w:w="744" w:type="dxa"/>
            <w:tcBorders>
              <w:top w:val="nil"/>
              <w:left w:val="nil"/>
              <w:bottom w:val="nil"/>
              <w:right w:val="nil"/>
            </w:tcBorders>
            <w:shd w:val="clear" w:color="auto" w:fill="auto"/>
            <w:noWrap/>
            <w:vAlign w:val="bottom"/>
            <w:hideMark/>
          </w:tcPr>
          <w:p w14:paraId="1EC9414B"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229</w:t>
            </w:r>
          </w:p>
        </w:tc>
        <w:tc>
          <w:tcPr>
            <w:tcW w:w="744" w:type="dxa"/>
            <w:tcBorders>
              <w:top w:val="nil"/>
              <w:left w:val="single" w:sz="8" w:space="0" w:color="auto"/>
              <w:bottom w:val="nil"/>
              <w:right w:val="single" w:sz="8" w:space="0" w:color="auto"/>
            </w:tcBorders>
            <w:shd w:val="clear" w:color="auto" w:fill="auto"/>
            <w:noWrap/>
            <w:vAlign w:val="bottom"/>
            <w:hideMark/>
          </w:tcPr>
          <w:p w14:paraId="29DA8C99"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231.6</w:t>
            </w:r>
          </w:p>
        </w:tc>
        <w:tc>
          <w:tcPr>
            <w:tcW w:w="744" w:type="dxa"/>
            <w:tcBorders>
              <w:top w:val="nil"/>
              <w:left w:val="nil"/>
              <w:bottom w:val="nil"/>
              <w:right w:val="nil"/>
            </w:tcBorders>
            <w:shd w:val="clear" w:color="auto" w:fill="auto"/>
            <w:noWrap/>
            <w:vAlign w:val="bottom"/>
            <w:hideMark/>
          </w:tcPr>
          <w:p w14:paraId="4050A5D2"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221.5</w:t>
            </w:r>
          </w:p>
        </w:tc>
        <w:tc>
          <w:tcPr>
            <w:tcW w:w="744" w:type="dxa"/>
            <w:tcBorders>
              <w:top w:val="nil"/>
              <w:left w:val="single" w:sz="8" w:space="0" w:color="auto"/>
              <w:bottom w:val="nil"/>
              <w:right w:val="single" w:sz="8" w:space="0" w:color="auto"/>
            </w:tcBorders>
            <w:shd w:val="clear" w:color="auto" w:fill="auto"/>
            <w:noWrap/>
            <w:vAlign w:val="bottom"/>
            <w:hideMark/>
          </w:tcPr>
          <w:p w14:paraId="70F633C4"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222.9</w:t>
            </w:r>
          </w:p>
        </w:tc>
        <w:tc>
          <w:tcPr>
            <w:tcW w:w="744" w:type="dxa"/>
            <w:tcBorders>
              <w:top w:val="nil"/>
              <w:left w:val="nil"/>
              <w:bottom w:val="nil"/>
              <w:right w:val="nil"/>
            </w:tcBorders>
            <w:shd w:val="clear" w:color="auto" w:fill="auto"/>
            <w:noWrap/>
            <w:vAlign w:val="bottom"/>
            <w:hideMark/>
          </w:tcPr>
          <w:p w14:paraId="302CD52C"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222.9</w:t>
            </w:r>
          </w:p>
        </w:tc>
        <w:tc>
          <w:tcPr>
            <w:tcW w:w="744" w:type="dxa"/>
            <w:tcBorders>
              <w:top w:val="nil"/>
              <w:left w:val="single" w:sz="8" w:space="0" w:color="auto"/>
              <w:bottom w:val="nil"/>
              <w:right w:val="single" w:sz="8" w:space="0" w:color="auto"/>
            </w:tcBorders>
            <w:shd w:val="clear" w:color="auto" w:fill="auto"/>
            <w:noWrap/>
            <w:vAlign w:val="bottom"/>
            <w:hideMark/>
          </w:tcPr>
          <w:p w14:paraId="42FAD346"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217.6</w:t>
            </w:r>
          </w:p>
        </w:tc>
        <w:tc>
          <w:tcPr>
            <w:tcW w:w="744" w:type="dxa"/>
            <w:tcBorders>
              <w:top w:val="nil"/>
              <w:left w:val="nil"/>
              <w:bottom w:val="nil"/>
              <w:right w:val="single" w:sz="8" w:space="0" w:color="auto"/>
            </w:tcBorders>
            <w:shd w:val="clear" w:color="auto" w:fill="auto"/>
            <w:noWrap/>
            <w:vAlign w:val="bottom"/>
            <w:hideMark/>
          </w:tcPr>
          <w:p w14:paraId="2B87F98D"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216</w:t>
            </w:r>
          </w:p>
        </w:tc>
        <w:tc>
          <w:tcPr>
            <w:tcW w:w="744" w:type="dxa"/>
            <w:tcBorders>
              <w:top w:val="nil"/>
              <w:left w:val="nil"/>
              <w:bottom w:val="nil"/>
              <w:right w:val="single" w:sz="8" w:space="0" w:color="auto"/>
            </w:tcBorders>
            <w:shd w:val="clear" w:color="auto" w:fill="auto"/>
            <w:noWrap/>
            <w:vAlign w:val="bottom"/>
            <w:hideMark/>
          </w:tcPr>
          <w:p w14:paraId="1A7D56E3"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215.2</w:t>
            </w:r>
          </w:p>
        </w:tc>
        <w:tc>
          <w:tcPr>
            <w:tcW w:w="744" w:type="dxa"/>
            <w:tcBorders>
              <w:top w:val="nil"/>
              <w:left w:val="nil"/>
              <w:bottom w:val="nil"/>
              <w:right w:val="single" w:sz="8" w:space="0" w:color="auto"/>
            </w:tcBorders>
            <w:shd w:val="clear" w:color="auto" w:fill="auto"/>
            <w:noWrap/>
            <w:vAlign w:val="bottom"/>
            <w:hideMark/>
          </w:tcPr>
          <w:p w14:paraId="557B12F0"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226</w:t>
            </w:r>
          </w:p>
        </w:tc>
        <w:tc>
          <w:tcPr>
            <w:tcW w:w="744" w:type="dxa"/>
            <w:tcBorders>
              <w:top w:val="nil"/>
              <w:left w:val="nil"/>
              <w:bottom w:val="nil"/>
              <w:right w:val="single" w:sz="8" w:space="0" w:color="auto"/>
            </w:tcBorders>
            <w:shd w:val="clear" w:color="auto" w:fill="auto"/>
            <w:noWrap/>
            <w:vAlign w:val="bottom"/>
            <w:hideMark/>
          </w:tcPr>
          <w:p w14:paraId="6D925E2C"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228.7</w:t>
            </w:r>
          </w:p>
        </w:tc>
      </w:tr>
      <w:tr w:rsidR="00D33F7C" w:rsidRPr="00AF27AC" w14:paraId="4975101A" w14:textId="77777777" w:rsidTr="00E213CE">
        <w:trPr>
          <w:trHeight w:val="272"/>
        </w:trPr>
        <w:tc>
          <w:tcPr>
            <w:tcW w:w="1551" w:type="dxa"/>
            <w:tcBorders>
              <w:top w:val="nil"/>
              <w:left w:val="single" w:sz="8" w:space="0" w:color="auto"/>
              <w:bottom w:val="nil"/>
              <w:right w:val="nil"/>
            </w:tcBorders>
            <w:shd w:val="clear" w:color="auto" w:fill="auto"/>
            <w:noWrap/>
            <w:vAlign w:val="center"/>
            <w:hideMark/>
          </w:tcPr>
          <w:p w14:paraId="0FB88FC8" w14:textId="77777777" w:rsidR="00D33F7C" w:rsidRPr="00AF27AC" w:rsidRDefault="00D33F7C" w:rsidP="00E213CE">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Hong Kong</w:t>
            </w:r>
          </w:p>
        </w:tc>
        <w:tc>
          <w:tcPr>
            <w:tcW w:w="744" w:type="dxa"/>
            <w:tcBorders>
              <w:top w:val="nil"/>
              <w:left w:val="single" w:sz="8" w:space="0" w:color="auto"/>
              <w:bottom w:val="nil"/>
              <w:right w:val="nil"/>
            </w:tcBorders>
            <w:shd w:val="clear" w:color="auto" w:fill="auto"/>
            <w:noWrap/>
            <w:vAlign w:val="center"/>
            <w:hideMark/>
          </w:tcPr>
          <w:p w14:paraId="3670A341"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262.2</w:t>
            </w:r>
          </w:p>
        </w:tc>
        <w:tc>
          <w:tcPr>
            <w:tcW w:w="744" w:type="dxa"/>
            <w:tcBorders>
              <w:top w:val="nil"/>
              <w:left w:val="single" w:sz="8" w:space="0" w:color="auto"/>
              <w:bottom w:val="nil"/>
              <w:right w:val="single" w:sz="8" w:space="0" w:color="auto"/>
            </w:tcBorders>
            <w:shd w:val="clear" w:color="auto" w:fill="auto"/>
            <w:noWrap/>
            <w:vAlign w:val="bottom"/>
            <w:hideMark/>
          </w:tcPr>
          <w:p w14:paraId="1A33C5EA"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262.7</w:t>
            </w:r>
          </w:p>
        </w:tc>
        <w:tc>
          <w:tcPr>
            <w:tcW w:w="744" w:type="dxa"/>
            <w:tcBorders>
              <w:top w:val="nil"/>
              <w:left w:val="nil"/>
              <w:bottom w:val="nil"/>
              <w:right w:val="nil"/>
            </w:tcBorders>
            <w:shd w:val="clear" w:color="auto" w:fill="auto"/>
            <w:noWrap/>
            <w:vAlign w:val="bottom"/>
            <w:hideMark/>
          </w:tcPr>
          <w:p w14:paraId="4F3C588E"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246.7</w:t>
            </w:r>
          </w:p>
        </w:tc>
        <w:tc>
          <w:tcPr>
            <w:tcW w:w="744" w:type="dxa"/>
            <w:tcBorders>
              <w:top w:val="nil"/>
              <w:left w:val="single" w:sz="8" w:space="0" w:color="auto"/>
              <w:bottom w:val="nil"/>
              <w:right w:val="single" w:sz="8" w:space="0" w:color="auto"/>
            </w:tcBorders>
            <w:shd w:val="clear" w:color="auto" w:fill="auto"/>
            <w:noWrap/>
            <w:vAlign w:val="bottom"/>
            <w:hideMark/>
          </w:tcPr>
          <w:p w14:paraId="591E226A"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241.7</w:t>
            </w:r>
          </w:p>
        </w:tc>
        <w:tc>
          <w:tcPr>
            <w:tcW w:w="744" w:type="dxa"/>
            <w:tcBorders>
              <w:top w:val="nil"/>
              <w:left w:val="nil"/>
              <w:bottom w:val="nil"/>
              <w:right w:val="nil"/>
            </w:tcBorders>
            <w:shd w:val="clear" w:color="auto" w:fill="auto"/>
            <w:noWrap/>
            <w:vAlign w:val="bottom"/>
            <w:hideMark/>
          </w:tcPr>
          <w:p w14:paraId="741B2CBF"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226.6</w:t>
            </w:r>
          </w:p>
        </w:tc>
        <w:tc>
          <w:tcPr>
            <w:tcW w:w="744" w:type="dxa"/>
            <w:tcBorders>
              <w:top w:val="nil"/>
              <w:left w:val="single" w:sz="8" w:space="0" w:color="auto"/>
              <w:bottom w:val="nil"/>
              <w:right w:val="single" w:sz="8" w:space="0" w:color="auto"/>
            </w:tcBorders>
            <w:shd w:val="clear" w:color="auto" w:fill="auto"/>
            <w:noWrap/>
            <w:vAlign w:val="bottom"/>
            <w:hideMark/>
          </w:tcPr>
          <w:p w14:paraId="51909F56"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223.8</w:t>
            </w:r>
          </w:p>
        </w:tc>
        <w:tc>
          <w:tcPr>
            <w:tcW w:w="744" w:type="dxa"/>
            <w:tcBorders>
              <w:top w:val="nil"/>
              <w:left w:val="nil"/>
              <w:bottom w:val="nil"/>
              <w:right w:val="nil"/>
            </w:tcBorders>
            <w:shd w:val="clear" w:color="auto" w:fill="auto"/>
            <w:noWrap/>
            <w:vAlign w:val="bottom"/>
            <w:hideMark/>
          </w:tcPr>
          <w:p w14:paraId="343D7B23"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224.1</w:t>
            </w:r>
          </w:p>
        </w:tc>
        <w:tc>
          <w:tcPr>
            <w:tcW w:w="744" w:type="dxa"/>
            <w:tcBorders>
              <w:top w:val="nil"/>
              <w:left w:val="single" w:sz="8" w:space="0" w:color="auto"/>
              <w:bottom w:val="nil"/>
              <w:right w:val="single" w:sz="8" w:space="0" w:color="auto"/>
            </w:tcBorders>
            <w:shd w:val="clear" w:color="auto" w:fill="auto"/>
            <w:noWrap/>
            <w:vAlign w:val="bottom"/>
            <w:hideMark/>
          </w:tcPr>
          <w:p w14:paraId="35A9BFD6"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223.9</w:t>
            </w:r>
          </w:p>
        </w:tc>
        <w:tc>
          <w:tcPr>
            <w:tcW w:w="744" w:type="dxa"/>
            <w:tcBorders>
              <w:top w:val="nil"/>
              <w:left w:val="nil"/>
              <w:bottom w:val="nil"/>
              <w:right w:val="single" w:sz="8" w:space="0" w:color="auto"/>
            </w:tcBorders>
            <w:shd w:val="clear" w:color="auto" w:fill="auto"/>
            <w:noWrap/>
            <w:vAlign w:val="bottom"/>
            <w:hideMark/>
          </w:tcPr>
          <w:p w14:paraId="4C315194"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225</w:t>
            </w:r>
          </w:p>
        </w:tc>
        <w:tc>
          <w:tcPr>
            <w:tcW w:w="744" w:type="dxa"/>
            <w:tcBorders>
              <w:top w:val="nil"/>
              <w:left w:val="nil"/>
              <w:bottom w:val="nil"/>
              <w:right w:val="single" w:sz="8" w:space="0" w:color="auto"/>
            </w:tcBorders>
            <w:shd w:val="clear" w:color="auto" w:fill="auto"/>
            <w:noWrap/>
            <w:vAlign w:val="bottom"/>
            <w:hideMark/>
          </w:tcPr>
          <w:p w14:paraId="1B1376A1"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227</w:t>
            </w:r>
          </w:p>
        </w:tc>
        <w:tc>
          <w:tcPr>
            <w:tcW w:w="744" w:type="dxa"/>
            <w:tcBorders>
              <w:top w:val="nil"/>
              <w:left w:val="nil"/>
              <w:bottom w:val="nil"/>
              <w:right w:val="single" w:sz="8" w:space="0" w:color="auto"/>
            </w:tcBorders>
            <w:shd w:val="clear" w:color="auto" w:fill="auto"/>
            <w:noWrap/>
            <w:vAlign w:val="bottom"/>
            <w:hideMark/>
          </w:tcPr>
          <w:p w14:paraId="54BACC7D"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215.9</w:t>
            </w:r>
          </w:p>
        </w:tc>
        <w:tc>
          <w:tcPr>
            <w:tcW w:w="744" w:type="dxa"/>
            <w:tcBorders>
              <w:top w:val="nil"/>
              <w:left w:val="nil"/>
              <w:bottom w:val="nil"/>
              <w:right w:val="single" w:sz="8" w:space="0" w:color="auto"/>
            </w:tcBorders>
            <w:shd w:val="clear" w:color="auto" w:fill="auto"/>
            <w:noWrap/>
            <w:vAlign w:val="bottom"/>
            <w:hideMark/>
          </w:tcPr>
          <w:p w14:paraId="1D43B4A0"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224.1</w:t>
            </w:r>
          </w:p>
        </w:tc>
      </w:tr>
      <w:tr w:rsidR="00D33F7C" w:rsidRPr="00AF27AC" w14:paraId="1F5ACF2D" w14:textId="77777777" w:rsidTr="00E213CE">
        <w:trPr>
          <w:trHeight w:val="272"/>
        </w:trPr>
        <w:tc>
          <w:tcPr>
            <w:tcW w:w="1551" w:type="dxa"/>
            <w:tcBorders>
              <w:top w:val="nil"/>
              <w:left w:val="single" w:sz="8" w:space="0" w:color="auto"/>
              <w:bottom w:val="nil"/>
              <w:right w:val="nil"/>
            </w:tcBorders>
            <w:shd w:val="clear" w:color="auto" w:fill="auto"/>
            <w:noWrap/>
            <w:vAlign w:val="center"/>
            <w:hideMark/>
          </w:tcPr>
          <w:p w14:paraId="2AF79535" w14:textId="77777777" w:rsidR="00D33F7C" w:rsidRPr="00AF27AC" w:rsidRDefault="00D33F7C" w:rsidP="00E213CE">
            <w:pP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India</w:t>
            </w:r>
          </w:p>
        </w:tc>
        <w:tc>
          <w:tcPr>
            <w:tcW w:w="744" w:type="dxa"/>
            <w:tcBorders>
              <w:top w:val="nil"/>
              <w:left w:val="single" w:sz="8" w:space="0" w:color="auto"/>
              <w:bottom w:val="nil"/>
              <w:right w:val="nil"/>
            </w:tcBorders>
            <w:shd w:val="clear" w:color="auto" w:fill="auto"/>
            <w:noWrap/>
            <w:vAlign w:val="center"/>
            <w:hideMark/>
          </w:tcPr>
          <w:p w14:paraId="7723CAF9" w14:textId="77777777" w:rsidR="00D33F7C" w:rsidRPr="00AF27AC" w:rsidRDefault="00D33F7C" w:rsidP="00E213CE">
            <w:pPr>
              <w:jc w:val="right"/>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182.7</w:t>
            </w:r>
          </w:p>
        </w:tc>
        <w:tc>
          <w:tcPr>
            <w:tcW w:w="744" w:type="dxa"/>
            <w:tcBorders>
              <w:top w:val="nil"/>
              <w:left w:val="single" w:sz="8" w:space="0" w:color="auto"/>
              <w:bottom w:val="nil"/>
              <w:right w:val="single" w:sz="8" w:space="0" w:color="auto"/>
            </w:tcBorders>
            <w:shd w:val="clear" w:color="auto" w:fill="auto"/>
            <w:noWrap/>
            <w:vAlign w:val="bottom"/>
            <w:hideMark/>
          </w:tcPr>
          <w:p w14:paraId="332E9F8E" w14:textId="77777777" w:rsidR="00D33F7C" w:rsidRPr="00AF27AC" w:rsidRDefault="00D33F7C" w:rsidP="00E213CE">
            <w:pPr>
              <w:jc w:val="right"/>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194.6</w:t>
            </w:r>
          </w:p>
        </w:tc>
        <w:tc>
          <w:tcPr>
            <w:tcW w:w="744" w:type="dxa"/>
            <w:tcBorders>
              <w:top w:val="nil"/>
              <w:left w:val="nil"/>
              <w:bottom w:val="nil"/>
              <w:right w:val="nil"/>
            </w:tcBorders>
            <w:shd w:val="clear" w:color="auto" w:fill="auto"/>
            <w:noWrap/>
            <w:vAlign w:val="bottom"/>
            <w:hideMark/>
          </w:tcPr>
          <w:p w14:paraId="1EABD00C" w14:textId="77777777" w:rsidR="00D33F7C" w:rsidRPr="00AF27AC" w:rsidRDefault="00D33F7C" w:rsidP="00E213CE">
            <w:pPr>
              <w:jc w:val="right"/>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196.5</w:t>
            </w:r>
          </w:p>
        </w:tc>
        <w:tc>
          <w:tcPr>
            <w:tcW w:w="744" w:type="dxa"/>
            <w:tcBorders>
              <w:top w:val="nil"/>
              <w:left w:val="single" w:sz="8" w:space="0" w:color="auto"/>
              <w:bottom w:val="nil"/>
              <w:right w:val="single" w:sz="8" w:space="0" w:color="auto"/>
            </w:tcBorders>
            <w:shd w:val="clear" w:color="auto" w:fill="auto"/>
            <w:noWrap/>
            <w:vAlign w:val="bottom"/>
            <w:hideMark/>
          </w:tcPr>
          <w:p w14:paraId="40591E72" w14:textId="77777777" w:rsidR="00D33F7C" w:rsidRPr="00AF27AC" w:rsidRDefault="00D33F7C" w:rsidP="00E213CE">
            <w:pPr>
              <w:jc w:val="right"/>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213.5</w:t>
            </w:r>
          </w:p>
        </w:tc>
        <w:tc>
          <w:tcPr>
            <w:tcW w:w="744" w:type="dxa"/>
            <w:tcBorders>
              <w:top w:val="nil"/>
              <w:left w:val="nil"/>
              <w:bottom w:val="nil"/>
              <w:right w:val="nil"/>
            </w:tcBorders>
            <w:shd w:val="clear" w:color="auto" w:fill="auto"/>
            <w:noWrap/>
            <w:vAlign w:val="bottom"/>
            <w:hideMark/>
          </w:tcPr>
          <w:p w14:paraId="35F1DD32" w14:textId="77777777" w:rsidR="00D33F7C" w:rsidRPr="00AF27AC" w:rsidRDefault="00D33F7C" w:rsidP="00E213CE">
            <w:pPr>
              <w:jc w:val="right"/>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222.4</w:t>
            </w:r>
          </w:p>
        </w:tc>
        <w:tc>
          <w:tcPr>
            <w:tcW w:w="744" w:type="dxa"/>
            <w:tcBorders>
              <w:top w:val="nil"/>
              <w:left w:val="single" w:sz="8" w:space="0" w:color="auto"/>
              <w:bottom w:val="nil"/>
              <w:right w:val="single" w:sz="8" w:space="0" w:color="auto"/>
            </w:tcBorders>
            <w:shd w:val="clear" w:color="auto" w:fill="auto"/>
            <w:noWrap/>
            <w:vAlign w:val="bottom"/>
            <w:hideMark/>
          </w:tcPr>
          <w:p w14:paraId="1ABFA294" w14:textId="77777777" w:rsidR="00D33F7C" w:rsidRPr="00AF27AC" w:rsidRDefault="00D33F7C" w:rsidP="00E213CE">
            <w:pPr>
              <w:jc w:val="right"/>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220.2</w:t>
            </w:r>
          </w:p>
        </w:tc>
        <w:tc>
          <w:tcPr>
            <w:tcW w:w="744" w:type="dxa"/>
            <w:tcBorders>
              <w:top w:val="nil"/>
              <w:left w:val="nil"/>
              <w:bottom w:val="nil"/>
              <w:right w:val="nil"/>
            </w:tcBorders>
            <w:shd w:val="clear" w:color="auto" w:fill="auto"/>
            <w:noWrap/>
            <w:vAlign w:val="bottom"/>
            <w:hideMark/>
          </w:tcPr>
          <w:p w14:paraId="44CCD252" w14:textId="77777777" w:rsidR="00D33F7C" w:rsidRPr="00AF27AC" w:rsidRDefault="00D33F7C" w:rsidP="00E213CE">
            <w:pPr>
              <w:jc w:val="right"/>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216.2</w:t>
            </w:r>
          </w:p>
        </w:tc>
        <w:tc>
          <w:tcPr>
            <w:tcW w:w="744" w:type="dxa"/>
            <w:tcBorders>
              <w:top w:val="nil"/>
              <w:left w:val="single" w:sz="8" w:space="0" w:color="auto"/>
              <w:bottom w:val="nil"/>
              <w:right w:val="single" w:sz="8" w:space="0" w:color="auto"/>
            </w:tcBorders>
            <w:shd w:val="clear" w:color="auto" w:fill="auto"/>
            <w:noWrap/>
            <w:vAlign w:val="bottom"/>
            <w:hideMark/>
          </w:tcPr>
          <w:p w14:paraId="00AD635E" w14:textId="77777777" w:rsidR="00D33F7C" w:rsidRPr="00AF27AC" w:rsidRDefault="00D33F7C" w:rsidP="00E213CE">
            <w:pPr>
              <w:jc w:val="right"/>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211.6</w:t>
            </w:r>
          </w:p>
        </w:tc>
        <w:tc>
          <w:tcPr>
            <w:tcW w:w="744" w:type="dxa"/>
            <w:tcBorders>
              <w:top w:val="nil"/>
              <w:left w:val="nil"/>
              <w:bottom w:val="nil"/>
              <w:right w:val="single" w:sz="8" w:space="0" w:color="auto"/>
            </w:tcBorders>
            <w:shd w:val="clear" w:color="auto" w:fill="auto"/>
            <w:noWrap/>
            <w:vAlign w:val="bottom"/>
            <w:hideMark/>
          </w:tcPr>
          <w:p w14:paraId="16C9BCE1" w14:textId="77777777" w:rsidR="00D33F7C" w:rsidRPr="00AF27AC" w:rsidRDefault="00D33F7C" w:rsidP="00E213CE">
            <w:pPr>
              <w:jc w:val="right"/>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204.4</w:t>
            </w:r>
          </w:p>
        </w:tc>
        <w:tc>
          <w:tcPr>
            <w:tcW w:w="744" w:type="dxa"/>
            <w:tcBorders>
              <w:top w:val="nil"/>
              <w:left w:val="nil"/>
              <w:bottom w:val="nil"/>
              <w:right w:val="single" w:sz="8" w:space="0" w:color="auto"/>
            </w:tcBorders>
            <w:shd w:val="clear" w:color="auto" w:fill="auto"/>
            <w:noWrap/>
            <w:vAlign w:val="bottom"/>
            <w:hideMark/>
          </w:tcPr>
          <w:p w14:paraId="545FD243" w14:textId="77777777" w:rsidR="00D33F7C" w:rsidRPr="00AF27AC" w:rsidRDefault="00D33F7C" w:rsidP="00E213CE">
            <w:pPr>
              <w:jc w:val="right"/>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200</w:t>
            </w:r>
          </w:p>
        </w:tc>
        <w:tc>
          <w:tcPr>
            <w:tcW w:w="744" w:type="dxa"/>
            <w:tcBorders>
              <w:top w:val="nil"/>
              <w:left w:val="nil"/>
              <w:bottom w:val="nil"/>
              <w:right w:val="single" w:sz="8" w:space="0" w:color="auto"/>
            </w:tcBorders>
            <w:shd w:val="clear" w:color="auto" w:fill="auto"/>
            <w:noWrap/>
            <w:vAlign w:val="bottom"/>
            <w:hideMark/>
          </w:tcPr>
          <w:p w14:paraId="7B124777" w14:textId="77777777" w:rsidR="00D33F7C" w:rsidRPr="00AF27AC" w:rsidRDefault="00D33F7C" w:rsidP="00E213CE">
            <w:pPr>
              <w:jc w:val="right"/>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208.7</w:t>
            </w:r>
          </w:p>
        </w:tc>
        <w:tc>
          <w:tcPr>
            <w:tcW w:w="744" w:type="dxa"/>
            <w:tcBorders>
              <w:top w:val="nil"/>
              <w:left w:val="nil"/>
              <w:bottom w:val="nil"/>
              <w:right w:val="single" w:sz="8" w:space="0" w:color="auto"/>
            </w:tcBorders>
            <w:shd w:val="clear" w:color="auto" w:fill="auto"/>
            <w:noWrap/>
            <w:vAlign w:val="bottom"/>
            <w:hideMark/>
          </w:tcPr>
          <w:p w14:paraId="074C90C7" w14:textId="77777777" w:rsidR="00D33F7C" w:rsidRPr="00AF27AC" w:rsidRDefault="00D33F7C" w:rsidP="00E213CE">
            <w:pPr>
              <w:jc w:val="right"/>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215.8</w:t>
            </w:r>
          </w:p>
        </w:tc>
      </w:tr>
      <w:tr w:rsidR="00D33F7C" w:rsidRPr="00AF27AC" w14:paraId="181604FA" w14:textId="77777777" w:rsidTr="00E213CE">
        <w:trPr>
          <w:trHeight w:val="272"/>
        </w:trPr>
        <w:tc>
          <w:tcPr>
            <w:tcW w:w="1551" w:type="dxa"/>
            <w:tcBorders>
              <w:top w:val="nil"/>
              <w:left w:val="single" w:sz="8" w:space="0" w:color="auto"/>
              <w:bottom w:val="nil"/>
              <w:right w:val="nil"/>
            </w:tcBorders>
            <w:shd w:val="clear" w:color="auto" w:fill="auto"/>
            <w:noWrap/>
            <w:vAlign w:val="center"/>
            <w:hideMark/>
          </w:tcPr>
          <w:p w14:paraId="79CAC39E" w14:textId="77777777" w:rsidR="00D33F7C" w:rsidRPr="00AF27AC" w:rsidRDefault="00D33F7C" w:rsidP="00E213CE">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Singapore</w:t>
            </w:r>
          </w:p>
        </w:tc>
        <w:tc>
          <w:tcPr>
            <w:tcW w:w="744" w:type="dxa"/>
            <w:tcBorders>
              <w:top w:val="nil"/>
              <w:left w:val="single" w:sz="8" w:space="0" w:color="auto"/>
              <w:bottom w:val="nil"/>
              <w:right w:val="nil"/>
            </w:tcBorders>
            <w:shd w:val="clear" w:color="auto" w:fill="auto"/>
            <w:noWrap/>
            <w:vAlign w:val="center"/>
            <w:hideMark/>
          </w:tcPr>
          <w:p w14:paraId="72BF6F2B"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150.5</w:t>
            </w:r>
          </w:p>
        </w:tc>
        <w:tc>
          <w:tcPr>
            <w:tcW w:w="744" w:type="dxa"/>
            <w:tcBorders>
              <w:top w:val="nil"/>
              <w:left w:val="single" w:sz="8" w:space="0" w:color="auto"/>
              <w:bottom w:val="nil"/>
              <w:right w:val="single" w:sz="8" w:space="0" w:color="auto"/>
            </w:tcBorders>
            <w:shd w:val="clear" w:color="auto" w:fill="auto"/>
            <w:noWrap/>
            <w:vAlign w:val="bottom"/>
            <w:hideMark/>
          </w:tcPr>
          <w:p w14:paraId="3518BEAE"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158.6</w:t>
            </w:r>
          </w:p>
        </w:tc>
        <w:tc>
          <w:tcPr>
            <w:tcW w:w="744" w:type="dxa"/>
            <w:tcBorders>
              <w:top w:val="nil"/>
              <w:left w:val="nil"/>
              <w:bottom w:val="nil"/>
              <w:right w:val="nil"/>
            </w:tcBorders>
            <w:shd w:val="clear" w:color="auto" w:fill="auto"/>
            <w:noWrap/>
            <w:vAlign w:val="bottom"/>
            <w:hideMark/>
          </w:tcPr>
          <w:p w14:paraId="1157EF02"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160.3</w:t>
            </w:r>
          </w:p>
        </w:tc>
        <w:tc>
          <w:tcPr>
            <w:tcW w:w="744" w:type="dxa"/>
            <w:tcBorders>
              <w:top w:val="nil"/>
              <w:left w:val="single" w:sz="8" w:space="0" w:color="auto"/>
              <w:bottom w:val="nil"/>
              <w:right w:val="single" w:sz="8" w:space="0" w:color="auto"/>
            </w:tcBorders>
            <w:shd w:val="clear" w:color="auto" w:fill="auto"/>
            <w:noWrap/>
            <w:vAlign w:val="bottom"/>
            <w:hideMark/>
          </w:tcPr>
          <w:p w14:paraId="7578D260"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159</w:t>
            </w:r>
          </w:p>
        </w:tc>
        <w:tc>
          <w:tcPr>
            <w:tcW w:w="744" w:type="dxa"/>
            <w:tcBorders>
              <w:top w:val="nil"/>
              <w:left w:val="nil"/>
              <w:bottom w:val="nil"/>
              <w:right w:val="nil"/>
            </w:tcBorders>
            <w:shd w:val="clear" w:color="auto" w:fill="auto"/>
            <w:noWrap/>
            <w:vAlign w:val="bottom"/>
            <w:hideMark/>
          </w:tcPr>
          <w:p w14:paraId="372BA4FC"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162</w:t>
            </w:r>
          </w:p>
        </w:tc>
        <w:tc>
          <w:tcPr>
            <w:tcW w:w="744" w:type="dxa"/>
            <w:tcBorders>
              <w:top w:val="nil"/>
              <w:left w:val="single" w:sz="8" w:space="0" w:color="auto"/>
              <w:bottom w:val="nil"/>
              <w:right w:val="single" w:sz="8" w:space="0" w:color="auto"/>
            </w:tcBorders>
            <w:shd w:val="clear" w:color="auto" w:fill="auto"/>
            <w:noWrap/>
            <w:vAlign w:val="bottom"/>
            <w:hideMark/>
          </w:tcPr>
          <w:p w14:paraId="206537FB"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163.8</w:t>
            </w:r>
          </w:p>
        </w:tc>
        <w:tc>
          <w:tcPr>
            <w:tcW w:w="744" w:type="dxa"/>
            <w:tcBorders>
              <w:top w:val="nil"/>
              <w:left w:val="nil"/>
              <w:bottom w:val="nil"/>
              <w:right w:val="nil"/>
            </w:tcBorders>
            <w:shd w:val="clear" w:color="auto" w:fill="auto"/>
            <w:noWrap/>
            <w:vAlign w:val="bottom"/>
            <w:hideMark/>
          </w:tcPr>
          <w:p w14:paraId="66216941"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168.1</w:t>
            </w:r>
          </w:p>
        </w:tc>
        <w:tc>
          <w:tcPr>
            <w:tcW w:w="744" w:type="dxa"/>
            <w:tcBorders>
              <w:top w:val="nil"/>
              <w:left w:val="single" w:sz="8" w:space="0" w:color="auto"/>
              <w:bottom w:val="nil"/>
              <w:right w:val="single" w:sz="8" w:space="0" w:color="auto"/>
            </w:tcBorders>
            <w:shd w:val="clear" w:color="auto" w:fill="auto"/>
            <w:noWrap/>
            <w:vAlign w:val="bottom"/>
            <w:hideMark/>
          </w:tcPr>
          <w:p w14:paraId="2ACFD0FC"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164.3</w:t>
            </w:r>
          </w:p>
        </w:tc>
        <w:tc>
          <w:tcPr>
            <w:tcW w:w="744" w:type="dxa"/>
            <w:tcBorders>
              <w:top w:val="nil"/>
              <w:left w:val="nil"/>
              <w:bottom w:val="nil"/>
              <w:right w:val="single" w:sz="8" w:space="0" w:color="auto"/>
            </w:tcBorders>
            <w:shd w:val="clear" w:color="auto" w:fill="auto"/>
            <w:noWrap/>
            <w:vAlign w:val="bottom"/>
            <w:hideMark/>
          </w:tcPr>
          <w:p w14:paraId="01911C62"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161.4</w:t>
            </w:r>
          </w:p>
        </w:tc>
        <w:tc>
          <w:tcPr>
            <w:tcW w:w="744" w:type="dxa"/>
            <w:tcBorders>
              <w:top w:val="nil"/>
              <w:left w:val="nil"/>
              <w:bottom w:val="nil"/>
              <w:right w:val="single" w:sz="8" w:space="0" w:color="auto"/>
            </w:tcBorders>
            <w:shd w:val="clear" w:color="auto" w:fill="auto"/>
            <w:noWrap/>
            <w:vAlign w:val="bottom"/>
            <w:hideMark/>
          </w:tcPr>
          <w:p w14:paraId="36FA7DFF"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170.2</w:t>
            </w:r>
          </w:p>
        </w:tc>
        <w:tc>
          <w:tcPr>
            <w:tcW w:w="744" w:type="dxa"/>
            <w:tcBorders>
              <w:top w:val="nil"/>
              <w:left w:val="nil"/>
              <w:bottom w:val="nil"/>
              <w:right w:val="single" w:sz="8" w:space="0" w:color="auto"/>
            </w:tcBorders>
            <w:shd w:val="clear" w:color="auto" w:fill="auto"/>
            <w:noWrap/>
            <w:vAlign w:val="bottom"/>
            <w:hideMark/>
          </w:tcPr>
          <w:p w14:paraId="42C0616D"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171.1</w:t>
            </w:r>
          </w:p>
        </w:tc>
        <w:tc>
          <w:tcPr>
            <w:tcW w:w="744" w:type="dxa"/>
            <w:tcBorders>
              <w:top w:val="nil"/>
              <w:left w:val="nil"/>
              <w:bottom w:val="nil"/>
              <w:right w:val="single" w:sz="8" w:space="0" w:color="auto"/>
            </w:tcBorders>
            <w:shd w:val="clear" w:color="auto" w:fill="auto"/>
            <w:noWrap/>
            <w:vAlign w:val="bottom"/>
            <w:hideMark/>
          </w:tcPr>
          <w:p w14:paraId="696663F8"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176.3</w:t>
            </w:r>
          </w:p>
        </w:tc>
      </w:tr>
      <w:tr w:rsidR="00D33F7C" w:rsidRPr="00AF27AC" w14:paraId="54AA1411" w14:textId="77777777" w:rsidTr="00E213CE">
        <w:trPr>
          <w:trHeight w:val="272"/>
        </w:trPr>
        <w:tc>
          <w:tcPr>
            <w:tcW w:w="1551" w:type="dxa"/>
            <w:tcBorders>
              <w:top w:val="nil"/>
              <w:left w:val="single" w:sz="8" w:space="0" w:color="auto"/>
              <w:bottom w:val="nil"/>
              <w:right w:val="nil"/>
            </w:tcBorders>
            <w:shd w:val="clear" w:color="auto" w:fill="auto"/>
            <w:noWrap/>
            <w:vAlign w:val="center"/>
            <w:hideMark/>
          </w:tcPr>
          <w:p w14:paraId="1FC9A32B" w14:textId="77777777" w:rsidR="00D33F7C" w:rsidRPr="00AF27AC" w:rsidRDefault="00D33F7C" w:rsidP="00E213CE">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Saudi Arabia</w:t>
            </w:r>
          </w:p>
        </w:tc>
        <w:tc>
          <w:tcPr>
            <w:tcW w:w="744" w:type="dxa"/>
            <w:tcBorders>
              <w:top w:val="nil"/>
              <w:left w:val="single" w:sz="8" w:space="0" w:color="auto"/>
              <w:bottom w:val="nil"/>
              <w:right w:val="nil"/>
            </w:tcBorders>
            <w:shd w:val="clear" w:color="auto" w:fill="auto"/>
            <w:noWrap/>
            <w:vAlign w:val="center"/>
            <w:hideMark/>
          </w:tcPr>
          <w:p w14:paraId="158572E1"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124.9</w:t>
            </w:r>
          </w:p>
        </w:tc>
        <w:tc>
          <w:tcPr>
            <w:tcW w:w="744" w:type="dxa"/>
            <w:tcBorders>
              <w:top w:val="nil"/>
              <w:left w:val="single" w:sz="8" w:space="0" w:color="auto"/>
              <w:bottom w:val="nil"/>
              <w:right w:val="single" w:sz="8" w:space="0" w:color="auto"/>
            </w:tcBorders>
            <w:shd w:val="clear" w:color="auto" w:fill="auto"/>
            <w:noWrap/>
            <w:vAlign w:val="bottom"/>
            <w:hideMark/>
          </w:tcPr>
          <w:p w14:paraId="3B94D570"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124.6</w:t>
            </w:r>
          </w:p>
        </w:tc>
        <w:tc>
          <w:tcPr>
            <w:tcW w:w="744" w:type="dxa"/>
            <w:tcBorders>
              <w:top w:val="nil"/>
              <w:left w:val="nil"/>
              <w:bottom w:val="nil"/>
              <w:right w:val="nil"/>
            </w:tcBorders>
            <w:shd w:val="clear" w:color="auto" w:fill="auto"/>
            <w:noWrap/>
            <w:vAlign w:val="bottom"/>
            <w:hideMark/>
          </w:tcPr>
          <w:p w14:paraId="57CD1043"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130</w:t>
            </w:r>
          </w:p>
        </w:tc>
        <w:tc>
          <w:tcPr>
            <w:tcW w:w="744" w:type="dxa"/>
            <w:tcBorders>
              <w:top w:val="nil"/>
              <w:left w:val="single" w:sz="8" w:space="0" w:color="auto"/>
              <w:bottom w:val="nil"/>
              <w:right w:val="single" w:sz="8" w:space="0" w:color="auto"/>
            </w:tcBorders>
            <w:shd w:val="clear" w:color="auto" w:fill="auto"/>
            <w:noWrap/>
            <w:vAlign w:val="bottom"/>
            <w:hideMark/>
          </w:tcPr>
          <w:p w14:paraId="70F5CDBA"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131.2</w:t>
            </w:r>
          </w:p>
        </w:tc>
        <w:tc>
          <w:tcPr>
            <w:tcW w:w="744" w:type="dxa"/>
            <w:tcBorders>
              <w:top w:val="nil"/>
              <w:left w:val="nil"/>
              <w:bottom w:val="nil"/>
              <w:right w:val="nil"/>
            </w:tcBorders>
            <w:shd w:val="clear" w:color="auto" w:fill="auto"/>
            <w:noWrap/>
            <w:vAlign w:val="bottom"/>
            <w:hideMark/>
          </w:tcPr>
          <w:p w14:paraId="20E24E49"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134.2</w:t>
            </w:r>
          </w:p>
        </w:tc>
        <w:tc>
          <w:tcPr>
            <w:tcW w:w="744" w:type="dxa"/>
            <w:tcBorders>
              <w:top w:val="nil"/>
              <w:left w:val="single" w:sz="8" w:space="0" w:color="auto"/>
              <w:bottom w:val="nil"/>
              <w:right w:val="single" w:sz="8" w:space="0" w:color="auto"/>
            </w:tcBorders>
            <w:shd w:val="clear" w:color="auto" w:fill="auto"/>
            <w:noWrap/>
            <w:vAlign w:val="bottom"/>
            <w:hideMark/>
          </w:tcPr>
          <w:p w14:paraId="24E207C9"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137.6</w:t>
            </w:r>
          </w:p>
        </w:tc>
        <w:tc>
          <w:tcPr>
            <w:tcW w:w="744" w:type="dxa"/>
            <w:tcBorders>
              <w:top w:val="nil"/>
              <w:left w:val="nil"/>
              <w:bottom w:val="nil"/>
              <w:right w:val="nil"/>
            </w:tcBorders>
            <w:shd w:val="clear" w:color="auto" w:fill="auto"/>
            <w:noWrap/>
            <w:vAlign w:val="bottom"/>
            <w:hideMark/>
          </w:tcPr>
          <w:p w14:paraId="0E516584"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136.4</w:t>
            </w:r>
          </w:p>
        </w:tc>
        <w:tc>
          <w:tcPr>
            <w:tcW w:w="744" w:type="dxa"/>
            <w:tcBorders>
              <w:top w:val="nil"/>
              <w:left w:val="single" w:sz="8" w:space="0" w:color="auto"/>
              <w:bottom w:val="nil"/>
              <w:right w:val="single" w:sz="8" w:space="0" w:color="auto"/>
            </w:tcBorders>
            <w:shd w:val="clear" w:color="auto" w:fill="auto"/>
            <w:noWrap/>
            <w:vAlign w:val="bottom"/>
            <w:hideMark/>
          </w:tcPr>
          <w:p w14:paraId="63B034F8"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135.1</w:t>
            </w:r>
          </w:p>
        </w:tc>
        <w:tc>
          <w:tcPr>
            <w:tcW w:w="744" w:type="dxa"/>
            <w:tcBorders>
              <w:top w:val="nil"/>
              <w:left w:val="nil"/>
              <w:bottom w:val="nil"/>
              <w:right w:val="single" w:sz="8" w:space="0" w:color="auto"/>
            </w:tcBorders>
            <w:shd w:val="clear" w:color="auto" w:fill="auto"/>
            <w:noWrap/>
            <w:vAlign w:val="bottom"/>
            <w:hideMark/>
          </w:tcPr>
          <w:p w14:paraId="79ECFAE3"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132.9</w:t>
            </w:r>
          </w:p>
        </w:tc>
        <w:tc>
          <w:tcPr>
            <w:tcW w:w="744" w:type="dxa"/>
            <w:tcBorders>
              <w:top w:val="nil"/>
              <w:left w:val="nil"/>
              <w:bottom w:val="nil"/>
              <w:right w:val="single" w:sz="8" w:space="0" w:color="auto"/>
            </w:tcBorders>
            <w:shd w:val="clear" w:color="auto" w:fill="auto"/>
            <w:noWrap/>
            <w:vAlign w:val="bottom"/>
            <w:hideMark/>
          </w:tcPr>
          <w:p w14:paraId="1361CCC8"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130.8</w:t>
            </w:r>
          </w:p>
        </w:tc>
        <w:tc>
          <w:tcPr>
            <w:tcW w:w="744" w:type="dxa"/>
            <w:tcBorders>
              <w:top w:val="nil"/>
              <w:left w:val="nil"/>
              <w:bottom w:val="nil"/>
              <w:right w:val="single" w:sz="8" w:space="0" w:color="auto"/>
            </w:tcBorders>
            <w:shd w:val="clear" w:color="auto" w:fill="auto"/>
            <w:noWrap/>
            <w:vAlign w:val="bottom"/>
            <w:hideMark/>
          </w:tcPr>
          <w:p w14:paraId="29F9C0F1"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130.3</w:t>
            </w:r>
          </w:p>
        </w:tc>
        <w:tc>
          <w:tcPr>
            <w:tcW w:w="744" w:type="dxa"/>
            <w:tcBorders>
              <w:top w:val="nil"/>
              <w:left w:val="nil"/>
              <w:bottom w:val="nil"/>
              <w:right w:val="single" w:sz="8" w:space="0" w:color="auto"/>
            </w:tcBorders>
            <w:shd w:val="clear" w:color="auto" w:fill="auto"/>
            <w:noWrap/>
            <w:vAlign w:val="bottom"/>
            <w:hideMark/>
          </w:tcPr>
          <w:p w14:paraId="6D6B9E70"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127.3</w:t>
            </w:r>
          </w:p>
        </w:tc>
      </w:tr>
      <w:tr w:rsidR="00D33F7C" w:rsidRPr="00AF27AC" w14:paraId="597573FA" w14:textId="77777777" w:rsidTr="00E213CE">
        <w:trPr>
          <w:trHeight w:val="272"/>
        </w:trPr>
        <w:tc>
          <w:tcPr>
            <w:tcW w:w="1551" w:type="dxa"/>
            <w:tcBorders>
              <w:top w:val="nil"/>
              <w:left w:val="single" w:sz="8" w:space="0" w:color="auto"/>
              <w:bottom w:val="nil"/>
              <w:right w:val="nil"/>
            </w:tcBorders>
            <w:shd w:val="clear" w:color="auto" w:fill="auto"/>
            <w:noWrap/>
            <w:vAlign w:val="center"/>
            <w:hideMark/>
          </w:tcPr>
          <w:p w14:paraId="1BD0A0E0" w14:textId="77777777" w:rsidR="00D33F7C" w:rsidRPr="00AF27AC" w:rsidRDefault="00D33F7C" w:rsidP="00E213CE">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Korea</w:t>
            </w:r>
          </w:p>
        </w:tc>
        <w:tc>
          <w:tcPr>
            <w:tcW w:w="744" w:type="dxa"/>
            <w:tcBorders>
              <w:top w:val="nil"/>
              <w:left w:val="single" w:sz="8" w:space="0" w:color="auto"/>
              <w:bottom w:val="nil"/>
              <w:right w:val="nil"/>
            </w:tcBorders>
            <w:shd w:val="clear" w:color="auto" w:fill="auto"/>
            <w:noWrap/>
            <w:vAlign w:val="center"/>
            <w:hideMark/>
          </w:tcPr>
          <w:p w14:paraId="2DB87CE7"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122.7</w:t>
            </w:r>
          </w:p>
        </w:tc>
        <w:tc>
          <w:tcPr>
            <w:tcW w:w="744" w:type="dxa"/>
            <w:tcBorders>
              <w:top w:val="nil"/>
              <w:left w:val="single" w:sz="8" w:space="0" w:color="auto"/>
              <w:bottom w:val="nil"/>
              <w:right w:val="single" w:sz="8" w:space="0" w:color="auto"/>
            </w:tcBorders>
            <w:shd w:val="clear" w:color="auto" w:fill="auto"/>
            <w:noWrap/>
            <w:vAlign w:val="bottom"/>
            <w:hideMark/>
          </w:tcPr>
          <w:p w14:paraId="199C875B"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123.1</w:t>
            </w:r>
          </w:p>
        </w:tc>
        <w:tc>
          <w:tcPr>
            <w:tcW w:w="744" w:type="dxa"/>
            <w:tcBorders>
              <w:top w:val="nil"/>
              <w:left w:val="nil"/>
              <w:bottom w:val="nil"/>
              <w:right w:val="nil"/>
            </w:tcBorders>
            <w:shd w:val="clear" w:color="auto" w:fill="auto"/>
            <w:noWrap/>
            <w:vAlign w:val="bottom"/>
            <w:hideMark/>
          </w:tcPr>
          <w:p w14:paraId="250174F1"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122.7</w:t>
            </w:r>
          </w:p>
        </w:tc>
        <w:tc>
          <w:tcPr>
            <w:tcW w:w="744" w:type="dxa"/>
            <w:tcBorders>
              <w:top w:val="nil"/>
              <w:left w:val="single" w:sz="8" w:space="0" w:color="auto"/>
              <w:bottom w:val="nil"/>
              <w:right w:val="single" w:sz="8" w:space="0" w:color="auto"/>
            </w:tcBorders>
            <w:shd w:val="clear" w:color="auto" w:fill="auto"/>
            <w:noWrap/>
            <w:vAlign w:val="bottom"/>
            <w:hideMark/>
          </w:tcPr>
          <w:p w14:paraId="43F014F2"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123.2</w:t>
            </w:r>
          </w:p>
        </w:tc>
        <w:tc>
          <w:tcPr>
            <w:tcW w:w="744" w:type="dxa"/>
            <w:tcBorders>
              <w:top w:val="nil"/>
              <w:left w:val="nil"/>
              <w:bottom w:val="nil"/>
              <w:right w:val="nil"/>
            </w:tcBorders>
            <w:shd w:val="clear" w:color="auto" w:fill="auto"/>
            <w:noWrap/>
            <w:vAlign w:val="bottom"/>
            <w:hideMark/>
          </w:tcPr>
          <w:p w14:paraId="6C60681F"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119.1</w:t>
            </w:r>
          </w:p>
        </w:tc>
        <w:tc>
          <w:tcPr>
            <w:tcW w:w="744" w:type="dxa"/>
            <w:tcBorders>
              <w:top w:val="nil"/>
              <w:left w:val="single" w:sz="8" w:space="0" w:color="auto"/>
              <w:bottom w:val="nil"/>
              <w:right w:val="single" w:sz="8" w:space="0" w:color="auto"/>
            </w:tcBorders>
            <w:shd w:val="clear" w:color="auto" w:fill="auto"/>
            <w:noWrap/>
            <w:vAlign w:val="bottom"/>
            <w:hideMark/>
          </w:tcPr>
          <w:p w14:paraId="49874FCB"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122.8</w:t>
            </w:r>
          </w:p>
        </w:tc>
        <w:tc>
          <w:tcPr>
            <w:tcW w:w="744" w:type="dxa"/>
            <w:tcBorders>
              <w:top w:val="nil"/>
              <w:left w:val="nil"/>
              <w:bottom w:val="nil"/>
              <w:right w:val="nil"/>
            </w:tcBorders>
            <w:shd w:val="clear" w:color="auto" w:fill="auto"/>
            <w:noWrap/>
            <w:vAlign w:val="bottom"/>
            <w:hideMark/>
          </w:tcPr>
          <w:p w14:paraId="670CF330"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130.9</w:t>
            </w:r>
          </w:p>
        </w:tc>
        <w:tc>
          <w:tcPr>
            <w:tcW w:w="744" w:type="dxa"/>
            <w:tcBorders>
              <w:top w:val="nil"/>
              <w:left w:val="single" w:sz="8" w:space="0" w:color="auto"/>
              <w:bottom w:val="nil"/>
              <w:right w:val="single" w:sz="8" w:space="0" w:color="auto"/>
            </w:tcBorders>
            <w:shd w:val="clear" w:color="auto" w:fill="auto"/>
            <w:noWrap/>
            <w:vAlign w:val="bottom"/>
            <w:hideMark/>
          </w:tcPr>
          <w:p w14:paraId="76DA6D79"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125.2</w:t>
            </w:r>
          </w:p>
        </w:tc>
        <w:tc>
          <w:tcPr>
            <w:tcW w:w="744" w:type="dxa"/>
            <w:tcBorders>
              <w:top w:val="nil"/>
              <w:left w:val="nil"/>
              <w:bottom w:val="nil"/>
              <w:right w:val="single" w:sz="8" w:space="0" w:color="auto"/>
            </w:tcBorders>
            <w:shd w:val="clear" w:color="auto" w:fill="auto"/>
            <w:noWrap/>
            <w:vAlign w:val="bottom"/>
            <w:hideMark/>
          </w:tcPr>
          <w:p w14:paraId="34A6B085"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125.7</w:t>
            </w:r>
          </w:p>
        </w:tc>
        <w:tc>
          <w:tcPr>
            <w:tcW w:w="744" w:type="dxa"/>
            <w:tcBorders>
              <w:top w:val="nil"/>
              <w:left w:val="nil"/>
              <w:bottom w:val="nil"/>
              <w:right w:val="single" w:sz="8" w:space="0" w:color="auto"/>
            </w:tcBorders>
            <w:shd w:val="clear" w:color="auto" w:fill="auto"/>
            <w:noWrap/>
            <w:vAlign w:val="bottom"/>
            <w:hideMark/>
          </w:tcPr>
          <w:p w14:paraId="79CEB801"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122.9</w:t>
            </w:r>
          </w:p>
        </w:tc>
        <w:tc>
          <w:tcPr>
            <w:tcW w:w="744" w:type="dxa"/>
            <w:tcBorders>
              <w:top w:val="nil"/>
              <w:left w:val="nil"/>
              <w:bottom w:val="nil"/>
              <w:right w:val="single" w:sz="8" w:space="0" w:color="auto"/>
            </w:tcBorders>
            <w:shd w:val="clear" w:color="auto" w:fill="auto"/>
            <w:noWrap/>
            <w:vAlign w:val="bottom"/>
            <w:hideMark/>
          </w:tcPr>
          <w:p w14:paraId="0A75E877"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120.3</w:t>
            </w:r>
          </w:p>
        </w:tc>
        <w:tc>
          <w:tcPr>
            <w:tcW w:w="744" w:type="dxa"/>
            <w:tcBorders>
              <w:top w:val="nil"/>
              <w:left w:val="nil"/>
              <w:bottom w:val="nil"/>
              <w:right w:val="single" w:sz="8" w:space="0" w:color="auto"/>
            </w:tcBorders>
            <w:shd w:val="clear" w:color="auto" w:fill="auto"/>
            <w:noWrap/>
            <w:vAlign w:val="bottom"/>
            <w:hideMark/>
          </w:tcPr>
          <w:p w14:paraId="6863D87F"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123.2</w:t>
            </w:r>
          </w:p>
        </w:tc>
      </w:tr>
      <w:tr w:rsidR="00D33F7C" w:rsidRPr="00AF27AC" w14:paraId="1F73859F" w14:textId="77777777" w:rsidTr="00E213CE">
        <w:trPr>
          <w:trHeight w:val="272"/>
        </w:trPr>
        <w:tc>
          <w:tcPr>
            <w:tcW w:w="1551" w:type="dxa"/>
            <w:tcBorders>
              <w:top w:val="nil"/>
              <w:left w:val="single" w:sz="8" w:space="0" w:color="auto"/>
              <w:bottom w:val="nil"/>
              <w:right w:val="nil"/>
            </w:tcBorders>
            <w:shd w:val="clear" w:color="auto" w:fill="auto"/>
            <w:noWrap/>
            <w:vAlign w:val="center"/>
            <w:hideMark/>
          </w:tcPr>
          <w:p w14:paraId="09EF109F" w14:textId="77777777" w:rsidR="00D33F7C" w:rsidRPr="00AF27AC" w:rsidRDefault="00D33F7C" w:rsidP="00E213CE">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Canada</w:t>
            </w:r>
          </w:p>
        </w:tc>
        <w:tc>
          <w:tcPr>
            <w:tcW w:w="744" w:type="dxa"/>
            <w:tcBorders>
              <w:top w:val="nil"/>
              <w:left w:val="single" w:sz="8" w:space="0" w:color="auto"/>
              <w:bottom w:val="nil"/>
              <w:right w:val="nil"/>
            </w:tcBorders>
            <w:shd w:val="clear" w:color="auto" w:fill="auto"/>
            <w:noWrap/>
            <w:vAlign w:val="center"/>
            <w:hideMark/>
          </w:tcPr>
          <w:p w14:paraId="335D4C39"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127.6</w:t>
            </w:r>
          </w:p>
        </w:tc>
        <w:tc>
          <w:tcPr>
            <w:tcW w:w="744" w:type="dxa"/>
            <w:tcBorders>
              <w:top w:val="nil"/>
              <w:left w:val="single" w:sz="8" w:space="0" w:color="auto"/>
              <w:bottom w:val="nil"/>
              <w:right w:val="single" w:sz="8" w:space="0" w:color="auto"/>
            </w:tcBorders>
            <w:shd w:val="clear" w:color="auto" w:fill="auto"/>
            <w:noWrap/>
            <w:vAlign w:val="bottom"/>
            <w:hideMark/>
          </w:tcPr>
          <w:p w14:paraId="1D4203D8"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133.9</w:t>
            </w:r>
          </w:p>
        </w:tc>
        <w:tc>
          <w:tcPr>
            <w:tcW w:w="744" w:type="dxa"/>
            <w:tcBorders>
              <w:top w:val="nil"/>
              <w:left w:val="nil"/>
              <w:bottom w:val="nil"/>
              <w:right w:val="nil"/>
            </w:tcBorders>
            <w:shd w:val="clear" w:color="auto" w:fill="auto"/>
            <w:noWrap/>
            <w:vAlign w:val="bottom"/>
            <w:hideMark/>
          </w:tcPr>
          <w:p w14:paraId="089A46D8"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131.1</w:t>
            </w:r>
          </w:p>
        </w:tc>
        <w:tc>
          <w:tcPr>
            <w:tcW w:w="744" w:type="dxa"/>
            <w:tcBorders>
              <w:top w:val="nil"/>
              <w:left w:val="single" w:sz="8" w:space="0" w:color="auto"/>
              <w:bottom w:val="nil"/>
              <w:right w:val="single" w:sz="8" w:space="0" w:color="auto"/>
            </w:tcBorders>
            <w:shd w:val="clear" w:color="auto" w:fill="auto"/>
            <w:noWrap/>
            <w:vAlign w:val="bottom"/>
            <w:hideMark/>
          </w:tcPr>
          <w:p w14:paraId="219C89FD"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128</w:t>
            </w:r>
          </w:p>
        </w:tc>
        <w:tc>
          <w:tcPr>
            <w:tcW w:w="744" w:type="dxa"/>
            <w:tcBorders>
              <w:top w:val="nil"/>
              <w:left w:val="nil"/>
              <w:bottom w:val="nil"/>
              <w:right w:val="nil"/>
            </w:tcBorders>
            <w:shd w:val="clear" w:color="auto" w:fill="auto"/>
            <w:noWrap/>
            <w:vAlign w:val="bottom"/>
            <w:hideMark/>
          </w:tcPr>
          <w:p w14:paraId="0D666742"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131.3</w:t>
            </w:r>
          </w:p>
        </w:tc>
        <w:tc>
          <w:tcPr>
            <w:tcW w:w="744" w:type="dxa"/>
            <w:tcBorders>
              <w:top w:val="nil"/>
              <w:left w:val="single" w:sz="8" w:space="0" w:color="auto"/>
              <w:bottom w:val="nil"/>
              <w:right w:val="single" w:sz="8" w:space="0" w:color="auto"/>
            </w:tcBorders>
            <w:shd w:val="clear" w:color="auto" w:fill="auto"/>
            <w:noWrap/>
            <w:vAlign w:val="bottom"/>
            <w:hideMark/>
          </w:tcPr>
          <w:p w14:paraId="2C94193B"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127.4</w:t>
            </w:r>
          </w:p>
        </w:tc>
        <w:tc>
          <w:tcPr>
            <w:tcW w:w="744" w:type="dxa"/>
            <w:tcBorders>
              <w:top w:val="nil"/>
              <w:left w:val="nil"/>
              <w:bottom w:val="nil"/>
              <w:right w:val="nil"/>
            </w:tcBorders>
            <w:shd w:val="clear" w:color="auto" w:fill="auto"/>
            <w:noWrap/>
            <w:vAlign w:val="bottom"/>
            <w:hideMark/>
          </w:tcPr>
          <w:p w14:paraId="4898C67F"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119.9</w:t>
            </w:r>
          </w:p>
        </w:tc>
        <w:tc>
          <w:tcPr>
            <w:tcW w:w="744" w:type="dxa"/>
            <w:tcBorders>
              <w:top w:val="nil"/>
              <w:left w:val="single" w:sz="8" w:space="0" w:color="auto"/>
              <w:bottom w:val="nil"/>
              <w:right w:val="single" w:sz="8" w:space="0" w:color="auto"/>
            </w:tcBorders>
            <w:shd w:val="clear" w:color="auto" w:fill="auto"/>
            <w:noWrap/>
            <w:vAlign w:val="bottom"/>
            <w:hideMark/>
          </w:tcPr>
          <w:p w14:paraId="2803DCB7"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126.7</w:t>
            </w:r>
          </w:p>
        </w:tc>
        <w:tc>
          <w:tcPr>
            <w:tcW w:w="744" w:type="dxa"/>
            <w:tcBorders>
              <w:top w:val="nil"/>
              <w:left w:val="nil"/>
              <w:bottom w:val="nil"/>
              <w:right w:val="single" w:sz="8" w:space="0" w:color="auto"/>
            </w:tcBorders>
            <w:shd w:val="clear" w:color="auto" w:fill="auto"/>
            <w:noWrap/>
            <w:vAlign w:val="bottom"/>
            <w:hideMark/>
          </w:tcPr>
          <w:p w14:paraId="37372582"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112.7</w:t>
            </w:r>
          </w:p>
        </w:tc>
        <w:tc>
          <w:tcPr>
            <w:tcW w:w="744" w:type="dxa"/>
            <w:tcBorders>
              <w:top w:val="nil"/>
              <w:left w:val="nil"/>
              <w:bottom w:val="nil"/>
              <w:right w:val="single" w:sz="8" w:space="0" w:color="auto"/>
            </w:tcBorders>
            <w:shd w:val="clear" w:color="auto" w:fill="auto"/>
            <w:noWrap/>
            <w:vAlign w:val="bottom"/>
            <w:hideMark/>
          </w:tcPr>
          <w:p w14:paraId="59A6BB93"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106</w:t>
            </w:r>
          </w:p>
        </w:tc>
        <w:tc>
          <w:tcPr>
            <w:tcW w:w="744" w:type="dxa"/>
            <w:tcBorders>
              <w:top w:val="nil"/>
              <w:left w:val="nil"/>
              <w:bottom w:val="nil"/>
              <w:right w:val="single" w:sz="8" w:space="0" w:color="auto"/>
            </w:tcBorders>
            <w:shd w:val="clear" w:color="auto" w:fill="auto"/>
            <w:noWrap/>
            <w:vAlign w:val="bottom"/>
            <w:hideMark/>
          </w:tcPr>
          <w:p w14:paraId="6C76DDF3"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116.1</w:t>
            </w:r>
          </w:p>
        </w:tc>
        <w:tc>
          <w:tcPr>
            <w:tcW w:w="744" w:type="dxa"/>
            <w:tcBorders>
              <w:top w:val="nil"/>
              <w:left w:val="nil"/>
              <w:bottom w:val="nil"/>
              <w:right w:val="single" w:sz="8" w:space="0" w:color="auto"/>
            </w:tcBorders>
            <w:shd w:val="clear" w:color="auto" w:fill="auto"/>
            <w:noWrap/>
            <w:vAlign w:val="bottom"/>
            <w:hideMark/>
          </w:tcPr>
          <w:p w14:paraId="272DB488"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121.1</w:t>
            </w:r>
          </w:p>
        </w:tc>
      </w:tr>
      <w:tr w:rsidR="00D33F7C" w:rsidRPr="00AF27AC" w14:paraId="41076F07" w14:textId="77777777" w:rsidTr="00E213CE">
        <w:trPr>
          <w:trHeight w:val="272"/>
        </w:trPr>
        <w:tc>
          <w:tcPr>
            <w:tcW w:w="1551" w:type="dxa"/>
            <w:tcBorders>
              <w:top w:val="nil"/>
              <w:left w:val="single" w:sz="8" w:space="0" w:color="auto"/>
              <w:bottom w:val="nil"/>
              <w:right w:val="nil"/>
            </w:tcBorders>
            <w:shd w:val="clear" w:color="auto" w:fill="auto"/>
            <w:noWrap/>
            <w:vAlign w:val="center"/>
            <w:hideMark/>
          </w:tcPr>
          <w:p w14:paraId="2DD9F1CA" w14:textId="77777777" w:rsidR="00D33F7C" w:rsidRPr="00AF27AC" w:rsidRDefault="00D33F7C" w:rsidP="00E213CE">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Norway</w:t>
            </w:r>
          </w:p>
        </w:tc>
        <w:tc>
          <w:tcPr>
            <w:tcW w:w="744" w:type="dxa"/>
            <w:tcBorders>
              <w:top w:val="nil"/>
              <w:left w:val="single" w:sz="8" w:space="0" w:color="auto"/>
              <w:bottom w:val="nil"/>
              <w:right w:val="nil"/>
            </w:tcBorders>
            <w:shd w:val="clear" w:color="auto" w:fill="auto"/>
            <w:noWrap/>
            <w:vAlign w:val="center"/>
            <w:hideMark/>
          </w:tcPr>
          <w:p w14:paraId="1D1DA1BC"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88.7</w:t>
            </w:r>
          </w:p>
        </w:tc>
        <w:tc>
          <w:tcPr>
            <w:tcW w:w="744" w:type="dxa"/>
            <w:tcBorders>
              <w:top w:val="nil"/>
              <w:left w:val="single" w:sz="8" w:space="0" w:color="auto"/>
              <w:bottom w:val="nil"/>
              <w:right w:val="single" w:sz="8" w:space="0" w:color="auto"/>
            </w:tcBorders>
            <w:shd w:val="clear" w:color="auto" w:fill="auto"/>
            <w:noWrap/>
            <w:vAlign w:val="bottom"/>
            <w:hideMark/>
          </w:tcPr>
          <w:p w14:paraId="14D26A7D"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89.9</w:t>
            </w:r>
          </w:p>
        </w:tc>
        <w:tc>
          <w:tcPr>
            <w:tcW w:w="744" w:type="dxa"/>
            <w:tcBorders>
              <w:top w:val="nil"/>
              <w:left w:val="nil"/>
              <w:bottom w:val="nil"/>
              <w:right w:val="nil"/>
            </w:tcBorders>
            <w:shd w:val="clear" w:color="auto" w:fill="auto"/>
            <w:noWrap/>
            <w:vAlign w:val="bottom"/>
            <w:hideMark/>
          </w:tcPr>
          <w:p w14:paraId="674BF1EF"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90.6</w:t>
            </w:r>
          </w:p>
        </w:tc>
        <w:tc>
          <w:tcPr>
            <w:tcW w:w="744" w:type="dxa"/>
            <w:tcBorders>
              <w:top w:val="nil"/>
              <w:left w:val="single" w:sz="8" w:space="0" w:color="auto"/>
              <w:bottom w:val="nil"/>
              <w:right w:val="single" w:sz="8" w:space="0" w:color="auto"/>
            </w:tcBorders>
            <w:shd w:val="clear" w:color="auto" w:fill="auto"/>
            <w:noWrap/>
            <w:vAlign w:val="bottom"/>
            <w:hideMark/>
          </w:tcPr>
          <w:p w14:paraId="678D4453"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90.5</w:t>
            </w:r>
          </w:p>
        </w:tc>
        <w:tc>
          <w:tcPr>
            <w:tcW w:w="744" w:type="dxa"/>
            <w:tcBorders>
              <w:top w:val="nil"/>
              <w:left w:val="nil"/>
              <w:bottom w:val="nil"/>
              <w:right w:val="nil"/>
            </w:tcBorders>
            <w:shd w:val="clear" w:color="auto" w:fill="auto"/>
            <w:noWrap/>
            <w:vAlign w:val="bottom"/>
            <w:hideMark/>
          </w:tcPr>
          <w:p w14:paraId="31831093"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82.9</w:t>
            </w:r>
          </w:p>
        </w:tc>
        <w:tc>
          <w:tcPr>
            <w:tcW w:w="744" w:type="dxa"/>
            <w:tcBorders>
              <w:top w:val="nil"/>
              <w:left w:val="single" w:sz="8" w:space="0" w:color="auto"/>
              <w:bottom w:val="nil"/>
              <w:right w:val="single" w:sz="8" w:space="0" w:color="auto"/>
            </w:tcBorders>
            <w:shd w:val="clear" w:color="auto" w:fill="auto"/>
            <w:noWrap/>
            <w:vAlign w:val="bottom"/>
            <w:hideMark/>
          </w:tcPr>
          <w:p w14:paraId="0C1FAAE0"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89</w:t>
            </w:r>
          </w:p>
        </w:tc>
        <w:tc>
          <w:tcPr>
            <w:tcW w:w="744" w:type="dxa"/>
            <w:tcBorders>
              <w:top w:val="nil"/>
              <w:left w:val="nil"/>
              <w:bottom w:val="nil"/>
              <w:right w:val="nil"/>
            </w:tcBorders>
            <w:shd w:val="clear" w:color="auto" w:fill="auto"/>
            <w:noWrap/>
            <w:vAlign w:val="bottom"/>
            <w:hideMark/>
          </w:tcPr>
          <w:p w14:paraId="35EB1430"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87.5</w:t>
            </w:r>
          </w:p>
        </w:tc>
        <w:tc>
          <w:tcPr>
            <w:tcW w:w="744" w:type="dxa"/>
            <w:tcBorders>
              <w:top w:val="nil"/>
              <w:left w:val="single" w:sz="8" w:space="0" w:color="auto"/>
              <w:bottom w:val="nil"/>
              <w:right w:val="single" w:sz="8" w:space="0" w:color="auto"/>
            </w:tcBorders>
            <w:shd w:val="clear" w:color="auto" w:fill="auto"/>
            <w:noWrap/>
            <w:vAlign w:val="bottom"/>
            <w:hideMark/>
          </w:tcPr>
          <w:p w14:paraId="167253DA"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91.5</w:t>
            </w:r>
          </w:p>
        </w:tc>
        <w:tc>
          <w:tcPr>
            <w:tcW w:w="744" w:type="dxa"/>
            <w:tcBorders>
              <w:top w:val="nil"/>
              <w:left w:val="nil"/>
              <w:bottom w:val="nil"/>
              <w:right w:val="single" w:sz="8" w:space="0" w:color="auto"/>
            </w:tcBorders>
            <w:shd w:val="clear" w:color="auto" w:fill="auto"/>
            <w:noWrap/>
            <w:vAlign w:val="bottom"/>
            <w:hideMark/>
          </w:tcPr>
          <w:p w14:paraId="3B078094"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97.6</w:t>
            </w:r>
          </w:p>
        </w:tc>
        <w:tc>
          <w:tcPr>
            <w:tcW w:w="744" w:type="dxa"/>
            <w:tcBorders>
              <w:top w:val="nil"/>
              <w:left w:val="nil"/>
              <w:bottom w:val="nil"/>
              <w:right w:val="single" w:sz="8" w:space="0" w:color="auto"/>
            </w:tcBorders>
            <w:shd w:val="clear" w:color="auto" w:fill="auto"/>
            <w:noWrap/>
            <w:vAlign w:val="bottom"/>
            <w:hideMark/>
          </w:tcPr>
          <w:p w14:paraId="29DC71F4"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94.4</w:t>
            </w:r>
          </w:p>
        </w:tc>
        <w:tc>
          <w:tcPr>
            <w:tcW w:w="744" w:type="dxa"/>
            <w:tcBorders>
              <w:top w:val="nil"/>
              <w:left w:val="nil"/>
              <w:bottom w:val="nil"/>
              <w:right w:val="single" w:sz="8" w:space="0" w:color="auto"/>
            </w:tcBorders>
            <w:shd w:val="clear" w:color="auto" w:fill="auto"/>
            <w:noWrap/>
            <w:vAlign w:val="bottom"/>
            <w:hideMark/>
          </w:tcPr>
          <w:p w14:paraId="090C5C5C"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109.3</w:t>
            </w:r>
          </w:p>
        </w:tc>
        <w:tc>
          <w:tcPr>
            <w:tcW w:w="744" w:type="dxa"/>
            <w:tcBorders>
              <w:top w:val="nil"/>
              <w:left w:val="nil"/>
              <w:bottom w:val="nil"/>
              <w:right w:val="single" w:sz="8" w:space="0" w:color="auto"/>
            </w:tcBorders>
            <w:shd w:val="clear" w:color="auto" w:fill="auto"/>
            <w:noWrap/>
            <w:vAlign w:val="bottom"/>
            <w:hideMark/>
          </w:tcPr>
          <w:p w14:paraId="3A3FEA2C"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113.6</w:t>
            </w:r>
          </w:p>
        </w:tc>
      </w:tr>
      <w:tr w:rsidR="00D33F7C" w:rsidRPr="00AF27AC" w14:paraId="0C11CD8F" w14:textId="77777777" w:rsidTr="00E213CE">
        <w:trPr>
          <w:trHeight w:val="272"/>
        </w:trPr>
        <w:tc>
          <w:tcPr>
            <w:tcW w:w="1551" w:type="dxa"/>
            <w:tcBorders>
              <w:top w:val="nil"/>
              <w:left w:val="single" w:sz="8" w:space="0" w:color="auto"/>
              <w:bottom w:val="nil"/>
              <w:right w:val="nil"/>
            </w:tcBorders>
            <w:shd w:val="clear" w:color="auto" w:fill="auto"/>
            <w:noWrap/>
            <w:vAlign w:val="center"/>
            <w:hideMark/>
          </w:tcPr>
          <w:p w14:paraId="553B3F9A" w14:textId="77777777" w:rsidR="00D33F7C" w:rsidRPr="00AF27AC" w:rsidRDefault="00D33F7C" w:rsidP="00E213CE">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France</w:t>
            </w:r>
          </w:p>
        </w:tc>
        <w:tc>
          <w:tcPr>
            <w:tcW w:w="744" w:type="dxa"/>
            <w:tcBorders>
              <w:top w:val="nil"/>
              <w:left w:val="single" w:sz="8" w:space="0" w:color="auto"/>
              <w:bottom w:val="nil"/>
              <w:right w:val="nil"/>
            </w:tcBorders>
            <w:shd w:val="clear" w:color="auto" w:fill="auto"/>
            <w:noWrap/>
            <w:vAlign w:val="center"/>
            <w:hideMark/>
          </w:tcPr>
          <w:p w14:paraId="5D03CB8A"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144.1</w:t>
            </w:r>
          </w:p>
        </w:tc>
        <w:tc>
          <w:tcPr>
            <w:tcW w:w="744" w:type="dxa"/>
            <w:tcBorders>
              <w:top w:val="nil"/>
              <w:left w:val="single" w:sz="8" w:space="0" w:color="auto"/>
              <w:bottom w:val="nil"/>
              <w:right w:val="single" w:sz="8" w:space="0" w:color="auto"/>
            </w:tcBorders>
            <w:shd w:val="clear" w:color="auto" w:fill="auto"/>
            <w:noWrap/>
            <w:vAlign w:val="bottom"/>
            <w:hideMark/>
          </w:tcPr>
          <w:p w14:paraId="75A449BE"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130</w:t>
            </w:r>
          </w:p>
        </w:tc>
        <w:tc>
          <w:tcPr>
            <w:tcW w:w="744" w:type="dxa"/>
            <w:tcBorders>
              <w:top w:val="nil"/>
              <w:left w:val="nil"/>
              <w:bottom w:val="nil"/>
              <w:right w:val="nil"/>
            </w:tcBorders>
            <w:shd w:val="clear" w:color="auto" w:fill="auto"/>
            <w:noWrap/>
            <w:vAlign w:val="bottom"/>
            <w:hideMark/>
          </w:tcPr>
          <w:p w14:paraId="3AADEB58"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133.3</w:t>
            </w:r>
          </w:p>
        </w:tc>
        <w:tc>
          <w:tcPr>
            <w:tcW w:w="744" w:type="dxa"/>
            <w:tcBorders>
              <w:top w:val="nil"/>
              <w:left w:val="single" w:sz="8" w:space="0" w:color="auto"/>
              <w:bottom w:val="nil"/>
              <w:right w:val="single" w:sz="8" w:space="0" w:color="auto"/>
            </w:tcBorders>
            <w:shd w:val="clear" w:color="auto" w:fill="auto"/>
            <w:noWrap/>
            <w:vAlign w:val="bottom"/>
            <w:hideMark/>
          </w:tcPr>
          <w:p w14:paraId="3D2A6968"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135.1</w:t>
            </w:r>
          </w:p>
        </w:tc>
        <w:tc>
          <w:tcPr>
            <w:tcW w:w="744" w:type="dxa"/>
            <w:tcBorders>
              <w:top w:val="nil"/>
              <w:left w:val="nil"/>
              <w:bottom w:val="nil"/>
              <w:right w:val="nil"/>
            </w:tcBorders>
            <w:shd w:val="clear" w:color="auto" w:fill="auto"/>
            <w:noWrap/>
            <w:vAlign w:val="bottom"/>
            <w:hideMark/>
          </w:tcPr>
          <w:p w14:paraId="1F1A9DD7"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136.9</w:t>
            </w:r>
          </w:p>
        </w:tc>
        <w:tc>
          <w:tcPr>
            <w:tcW w:w="744" w:type="dxa"/>
            <w:tcBorders>
              <w:top w:val="nil"/>
              <w:left w:val="single" w:sz="8" w:space="0" w:color="auto"/>
              <w:bottom w:val="nil"/>
              <w:right w:val="single" w:sz="8" w:space="0" w:color="auto"/>
            </w:tcBorders>
            <w:shd w:val="clear" w:color="auto" w:fill="auto"/>
            <w:noWrap/>
            <w:vAlign w:val="bottom"/>
            <w:hideMark/>
          </w:tcPr>
          <w:p w14:paraId="5B25F986"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132.4</w:t>
            </w:r>
          </w:p>
        </w:tc>
        <w:tc>
          <w:tcPr>
            <w:tcW w:w="744" w:type="dxa"/>
            <w:tcBorders>
              <w:top w:val="nil"/>
              <w:left w:val="nil"/>
              <w:bottom w:val="nil"/>
              <w:right w:val="nil"/>
            </w:tcBorders>
            <w:shd w:val="clear" w:color="auto" w:fill="auto"/>
            <w:noWrap/>
            <w:vAlign w:val="bottom"/>
            <w:hideMark/>
          </w:tcPr>
          <w:p w14:paraId="5AE28144"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111.3</w:t>
            </w:r>
          </w:p>
        </w:tc>
        <w:tc>
          <w:tcPr>
            <w:tcW w:w="744" w:type="dxa"/>
            <w:tcBorders>
              <w:top w:val="nil"/>
              <w:left w:val="single" w:sz="8" w:space="0" w:color="auto"/>
              <w:bottom w:val="nil"/>
              <w:right w:val="single" w:sz="8" w:space="0" w:color="auto"/>
            </w:tcBorders>
            <w:shd w:val="clear" w:color="auto" w:fill="auto"/>
            <w:noWrap/>
            <w:vAlign w:val="bottom"/>
            <w:hideMark/>
          </w:tcPr>
          <w:p w14:paraId="3E85E3A5"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122</w:t>
            </w:r>
          </w:p>
        </w:tc>
        <w:tc>
          <w:tcPr>
            <w:tcW w:w="744" w:type="dxa"/>
            <w:tcBorders>
              <w:top w:val="nil"/>
              <w:left w:val="nil"/>
              <w:bottom w:val="nil"/>
              <w:right w:val="single" w:sz="8" w:space="0" w:color="auto"/>
            </w:tcBorders>
            <w:shd w:val="clear" w:color="auto" w:fill="auto"/>
            <w:noWrap/>
            <w:vAlign w:val="bottom"/>
            <w:hideMark/>
          </w:tcPr>
          <w:p w14:paraId="317B17E5"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108.7</w:t>
            </w:r>
          </w:p>
        </w:tc>
        <w:tc>
          <w:tcPr>
            <w:tcW w:w="744" w:type="dxa"/>
            <w:tcBorders>
              <w:top w:val="nil"/>
              <w:left w:val="nil"/>
              <w:bottom w:val="nil"/>
              <w:right w:val="single" w:sz="8" w:space="0" w:color="auto"/>
            </w:tcBorders>
            <w:shd w:val="clear" w:color="auto" w:fill="auto"/>
            <w:noWrap/>
            <w:vAlign w:val="bottom"/>
            <w:hideMark/>
          </w:tcPr>
          <w:p w14:paraId="5A5075B2"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114.9</w:t>
            </w:r>
          </w:p>
        </w:tc>
        <w:tc>
          <w:tcPr>
            <w:tcW w:w="744" w:type="dxa"/>
            <w:tcBorders>
              <w:top w:val="nil"/>
              <w:left w:val="nil"/>
              <w:bottom w:val="nil"/>
              <w:right w:val="single" w:sz="8" w:space="0" w:color="auto"/>
            </w:tcBorders>
            <w:shd w:val="clear" w:color="auto" w:fill="auto"/>
            <w:noWrap/>
            <w:vAlign w:val="bottom"/>
            <w:hideMark/>
          </w:tcPr>
          <w:p w14:paraId="5BC00EC5"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107.8</w:t>
            </w:r>
          </w:p>
        </w:tc>
        <w:tc>
          <w:tcPr>
            <w:tcW w:w="744" w:type="dxa"/>
            <w:tcBorders>
              <w:top w:val="nil"/>
              <w:left w:val="nil"/>
              <w:bottom w:val="nil"/>
              <w:right w:val="single" w:sz="8" w:space="0" w:color="auto"/>
            </w:tcBorders>
            <w:shd w:val="clear" w:color="auto" w:fill="auto"/>
            <w:noWrap/>
            <w:vAlign w:val="bottom"/>
            <w:hideMark/>
          </w:tcPr>
          <w:p w14:paraId="720384FD"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109.5</w:t>
            </w:r>
          </w:p>
        </w:tc>
      </w:tr>
      <w:tr w:rsidR="00D33F7C" w:rsidRPr="00AF27AC" w14:paraId="769C753B" w14:textId="77777777" w:rsidTr="00E213CE">
        <w:trPr>
          <w:trHeight w:val="272"/>
        </w:trPr>
        <w:tc>
          <w:tcPr>
            <w:tcW w:w="1551" w:type="dxa"/>
            <w:tcBorders>
              <w:top w:val="nil"/>
              <w:left w:val="single" w:sz="8" w:space="0" w:color="auto"/>
              <w:bottom w:val="nil"/>
              <w:right w:val="nil"/>
            </w:tcBorders>
            <w:shd w:val="clear" w:color="auto" w:fill="auto"/>
            <w:noWrap/>
            <w:vAlign w:val="center"/>
            <w:hideMark/>
          </w:tcPr>
          <w:p w14:paraId="22078CF1" w14:textId="77777777" w:rsidR="00D33F7C" w:rsidRPr="00AF27AC" w:rsidRDefault="00D33F7C" w:rsidP="00E213CE">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Germany</w:t>
            </w:r>
          </w:p>
        </w:tc>
        <w:tc>
          <w:tcPr>
            <w:tcW w:w="744" w:type="dxa"/>
            <w:tcBorders>
              <w:top w:val="nil"/>
              <w:left w:val="single" w:sz="8" w:space="0" w:color="auto"/>
              <w:bottom w:val="nil"/>
              <w:right w:val="nil"/>
            </w:tcBorders>
            <w:shd w:val="clear" w:color="auto" w:fill="auto"/>
            <w:noWrap/>
            <w:vAlign w:val="center"/>
            <w:hideMark/>
          </w:tcPr>
          <w:p w14:paraId="16B6B08D"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79.4</w:t>
            </w:r>
          </w:p>
        </w:tc>
        <w:tc>
          <w:tcPr>
            <w:tcW w:w="744" w:type="dxa"/>
            <w:tcBorders>
              <w:top w:val="nil"/>
              <w:left w:val="single" w:sz="8" w:space="0" w:color="auto"/>
              <w:bottom w:val="nil"/>
              <w:right w:val="single" w:sz="8" w:space="0" w:color="auto"/>
            </w:tcBorders>
            <w:shd w:val="clear" w:color="auto" w:fill="auto"/>
            <w:noWrap/>
            <w:vAlign w:val="bottom"/>
            <w:hideMark/>
          </w:tcPr>
          <w:p w14:paraId="799FD122"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78.2</w:t>
            </w:r>
          </w:p>
        </w:tc>
        <w:tc>
          <w:tcPr>
            <w:tcW w:w="744" w:type="dxa"/>
            <w:tcBorders>
              <w:top w:val="nil"/>
              <w:left w:val="nil"/>
              <w:bottom w:val="nil"/>
              <w:right w:val="nil"/>
            </w:tcBorders>
            <w:shd w:val="clear" w:color="auto" w:fill="auto"/>
            <w:noWrap/>
            <w:vAlign w:val="bottom"/>
            <w:hideMark/>
          </w:tcPr>
          <w:p w14:paraId="0327033C"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78.7</w:t>
            </w:r>
          </w:p>
        </w:tc>
        <w:tc>
          <w:tcPr>
            <w:tcW w:w="744" w:type="dxa"/>
            <w:tcBorders>
              <w:top w:val="nil"/>
              <w:left w:val="single" w:sz="8" w:space="0" w:color="auto"/>
              <w:bottom w:val="nil"/>
              <w:right w:val="single" w:sz="8" w:space="0" w:color="auto"/>
            </w:tcBorders>
            <w:shd w:val="clear" w:color="auto" w:fill="auto"/>
            <w:noWrap/>
            <w:vAlign w:val="bottom"/>
            <w:hideMark/>
          </w:tcPr>
          <w:p w14:paraId="0AB3CE45"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74.7</w:t>
            </w:r>
          </w:p>
        </w:tc>
        <w:tc>
          <w:tcPr>
            <w:tcW w:w="744" w:type="dxa"/>
            <w:tcBorders>
              <w:top w:val="nil"/>
              <w:left w:val="nil"/>
              <w:bottom w:val="nil"/>
              <w:right w:val="nil"/>
            </w:tcBorders>
            <w:shd w:val="clear" w:color="auto" w:fill="auto"/>
            <w:noWrap/>
            <w:vAlign w:val="bottom"/>
            <w:hideMark/>
          </w:tcPr>
          <w:p w14:paraId="2EFCECC2"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74.2</w:t>
            </w:r>
          </w:p>
        </w:tc>
        <w:tc>
          <w:tcPr>
            <w:tcW w:w="744" w:type="dxa"/>
            <w:tcBorders>
              <w:top w:val="nil"/>
              <w:left w:val="single" w:sz="8" w:space="0" w:color="auto"/>
              <w:bottom w:val="nil"/>
              <w:right w:val="single" w:sz="8" w:space="0" w:color="auto"/>
            </w:tcBorders>
            <w:shd w:val="clear" w:color="auto" w:fill="auto"/>
            <w:noWrap/>
            <w:vAlign w:val="bottom"/>
            <w:hideMark/>
          </w:tcPr>
          <w:p w14:paraId="3813A815"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73</w:t>
            </w:r>
          </w:p>
        </w:tc>
        <w:tc>
          <w:tcPr>
            <w:tcW w:w="744" w:type="dxa"/>
            <w:tcBorders>
              <w:top w:val="nil"/>
              <w:left w:val="nil"/>
              <w:bottom w:val="nil"/>
              <w:right w:val="nil"/>
            </w:tcBorders>
            <w:shd w:val="clear" w:color="auto" w:fill="auto"/>
            <w:noWrap/>
            <w:vAlign w:val="bottom"/>
            <w:hideMark/>
          </w:tcPr>
          <w:p w14:paraId="65240182"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75.4</w:t>
            </w:r>
          </w:p>
        </w:tc>
        <w:tc>
          <w:tcPr>
            <w:tcW w:w="744" w:type="dxa"/>
            <w:tcBorders>
              <w:top w:val="nil"/>
              <w:left w:val="single" w:sz="8" w:space="0" w:color="auto"/>
              <w:bottom w:val="nil"/>
              <w:right w:val="single" w:sz="8" w:space="0" w:color="auto"/>
            </w:tcBorders>
            <w:shd w:val="clear" w:color="auto" w:fill="auto"/>
            <w:noWrap/>
            <w:vAlign w:val="bottom"/>
            <w:hideMark/>
          </w:tcPr>
          <w:p w14:paraId="315AD283"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74.8</w:t>
            </w:r>
          </w:p>
        </w:tc>
        <w:tc>
          <w:tcPr>
            <w:tcW w:w="744" w:type="dxa"/>
            <w:tcBorders>
              <w:top w:val="nil"/>
              <w:left w:val="nil"/>
              <w:bottom w:val="nil"/>
              <w:right w:val="single" w:sz="8" w:space="0" w:color="auto"/>
            </w:tcBorders>
            <w:shd w:val="clear" w:color="auto" w:fill="auto"/>
            <w:noWrap/>
            <w:vAlign w:val="bottom"/>
            <w:hideMark/>
          </w:tcPr>
          <w:p w14:paraId="044AAFDA"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73.5</w:t>
            </w:r>
          </w:p>
        </w:tc>
        <w:tc>
          <w:tcPr>
            <w:tcW w:w="744" w:type="dxa"/>
            <w:tcBorders>
              <w:top w:val="nil"/>
              <w:left w:val="nil"/>
              <w:bottom w:val="nil"/>
              <w:right w:val="single" w:sz="8" w:space="0" w:color="auto"/>
            </w:tcBorders>
            <w:shd w:val="clear" w:color="auto" w:fill="auto"/>
            <w:noWrap/>
            <w:vAlign w:val="bottom"/>
            <w:hideMark/>
          </w:tcPr>
          <w:p w14:paraId="404903E1"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77.6</w:t>
            </w:r>
          </w:p>
        </w:tc>
        <w:tc>
          <w:tcPr>
            <w:tcW w:w="744" w:type="dxa"/>
            <w:tcBorders>
              <w:top w:val="nil"/>
              <w:left w:val="nil"/>
              <w:bottom w:val="nil"/>
              <w:right w:val="single" w:sz="8" w:space="0" w:color="auto"/>
            </w:tcBorders>
            <w:shd w:val="clear" w:color="auto" w:fill="auto"/>
            <w:noWrap/>
            <w:vAlign w:val="bottom"/>
            <w:hideMark/>
          </w:tcPr>
          <w:p w14:paraId="4C26A5BB"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77.8</w:t>
            </w:r>
          </w:p>
        </w:tc>
        <w:tc>
          <w:tcPr>
            <w:tcW w:w="744" w:type="dxa"/>
            <w:tcBorders>
              <w:top w:val="nil"/>
              <w:left w:val="nil"/>
              <w:bottom w:val="nil"/>
              <w:right w:val="single" w:sz="8" w:space="0" w:color="auto"/>
            </w:tcBorders>
            <w:shd w:val="clear" w:color="auto" w:fill="auto"/>
            <w:noWrap/>
            <w:vAlign w:val="bottom"/>
            <w:hideMark/>
          </w:tcPr>
          <w:p w14:paraId="01B0CC5B"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77.1</w:t>
            </w:r>
          </w:p>
        </w:tc>
      </w:tr>
      <w:tr w:rsidR="00D33F7C" w:rsidRPr="00AF27AC" w14:paraId="7E4B1D5B" w14:textId="77777777" w:rsidTr="00E213CE">
        <w:trPr>
          <w:trHeight w:val="272"/>
        </w:trPr>
        <w:tc>
          <w:tcPr>
            <w:tcW w:w="1551" w:type="dxa"/>
            <w:tcBorders>
              <w:top w:val="nil"/>
              <w:left w:val="single" w:sz="8" w:space="0" w:color="auto"/>
              <w:bottom w:val="nil"/>
              <w:right w:val="nil"/>
            </w:tcBorders>
            <w:shd w:val="clear" w:color="auto" w:fill="auto"/>
            <w:noWrap/>
            <w:vAlign w:val="center"/>
            <w:hideMark/>
          </w:tcPr>
          <w:p w14:paraId="6B4A3EC9" w14:textId="77777777" w:rsidR="00D33F7C" w:rsidRPr="00AF27AC" w:rsidRDefault="00D33F7C" w:rsidP="00E213CE">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Bermuda</w:t>
            </w:r>
          </w:p>
        </w:tc>
        <w:tc>
          <w:tcPr>
            <w:tcW w:w="744" w:type="dxa"/>
            <w:tcBorders>
              <w:top w:val="nil"/>
              <w:left w:val="single" w:sz="8" w:space="0" w:color="auto"/>
              <w:bottom w:val="nil"/>
              <w:right w:val="nil"/>
            </w:tcBorders>
            <w:shd w:val="clear" w:color="auto" w:fill="auto"/>
            <w:noWrap/>
            <w:vAlign w:val="center"/>
            <w:hideMark/>
          </w:tcPr>
          <w:p w14:paraId="1A579A96"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70.9</w:t>
            </w:r>
          </w:p>
        </w:tc>
        <w:tc>
          <w:tcPr>
            <w:tcW w:w="744" w:type="dxa"/>
            <w:tcBorders>
              <w:top w:val="nil"/>
              <w:left w:val="single" w:sz="8" w:space="0" w:color="auto"/>
              <w:bottom w:val="nil"/>
              <w:right w:val="single" w:sz="8" w:space="0" w:color="auto"/>
            </w:tcBorders>
            <w:shd w:val="clear" w:color="auto" w:fill="auto"/>
            <w:noWrap/>
            <w:vAlign w:val="bottom"/>
            <w:hideMark/>
          </w:tcPr>
          <w:p w14:paraId="2DD21FD2"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71.1</w:t>
            </w:r>
          </w:p>
        </w:tc>
        <w:tc>
          <w:tcPr>
            <w:tcW w:w="744" w:type="dxa"/>
            <w:tcBorders>
              <w:top w:val="nil"/>
              <w:left w:val="nil"/>
              <w:bottom w:val="nil"/>
              <w:right w:val="nil"/>
            </w:tcBorders>
            <w:shd w:val="clear" w:color="auto" w:fill="auto"/>
            <w:noWrap/>
            <w:vAlign w:val="bottom"/>
            <w:hideMark/>
          </w:tcPr>
          <w:p w14:paraId="711B7F06"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74.2</w:t>
            </w:r>
          </w:p>
        </w:tc>
        <w:tc>
          <w:tcPr>
            <w:tcW w:w="744" w:type="dxa"/>
            <w:tcBorders>
              <w:top w:val="nil"/>
              <w:left w:val="single" w:sz="8" w:space="0" w:color="auto"/>
              <w:bottom w:val="nil"/>
              <w:right w:val="single" w:sz="8" w:space="0" w:color="auto"/>
            </w:tcBorders>
            <w:shd w:val="clear" w:color="auto" w:fill="auto"/>
            <w:noWrap/>
            <w:vAlign w:val="bottom"/>
            <w:hideMark/>
          </w:tcPr>
          <w:p w14:paraId="46E4EAD0"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76.1</w:t>
            </w:r>
          </w:p>
        </w:tc>
        <w:tc>
          <w:tcPr>
            <w:tcW w:w="744" w:type="dxa"/>
            <w:tcBorders>
              <w:top w:val="nil"/>
              <w:left w:val="nil"/>
              <w:bottom w:val="nil"/>
              <w:right w:val="nil"/>
            </w:tcBorders>
            <w:shd w:val="clear" w:color="auto" w:fill="auto"/>
            <w:noWrap/>
            <w:vAlign w:val="bottom"/>
            <w:hideMark/>
          </w:tcPr>
          <w:p w14:paraId="5710FB1D"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73.9</w:t>
            </w:r>
          </w:p>
        </w:tc>
        <w:tc>
          <w:tcPr>
            <w:tcW w:w="744" w:type="dxa"/>
            <w:tcBorders>
              <w:top w:val="nil"/>
              <w:left w:val="single" w:sz="8" w:space="0" w:color="auto"/>
              <w:bottom w:val="nil"/>
              <w:right w:val="single" w:sz="8" w:space="0" w:color="auto"/>
            </w:tcBorders>
            <w:shd w:val="clear" w:color="auto" w:fill="auto"/>
            <w:noWrap/>
            <w:vAlign w:val="bottom"/>
            <w:hideMark/>
          </w:tcPr>
          <w:p w14:paraId="417E614D"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74</w:t>
            </w:r>
          </w:p>
        </w:tc>
        <w:tc>
          <w:tcPr>
            <w:tcW w:w="744" w:type="dxa"/>
            <w:tcBorders>
              <w:top w:val="nil"/>
              <w:left w:val="nil"/>
              <w:bottom w:val="nil"/>
              <w:right w:val="nil"/>
            </w:tcBorders>
            <w:shd w:val="clear" w:color="auto" w:fill="auto"/>
            <w:noWrap/>
            <w:vAlign w:val="bottom"/>
            <w:hideMark/>
          </w:tcPr>
          <w:p w14:paraId="286791AE"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72.6</w:t>
            </w:r>
          </w:p>
        </w:tc>
        <w:tc>
          <w:tcPr>
            <w:tcW w:w="744" w:type="dxa"/>
            <w:tcBorders>
              <w:top w:val="nil"/>
              <w:left w:val="single" w:sz="8" w:space="0" w:color="auto"/>
              <w:bottom w:val="nil"/>
              <w:right w:val="single" w:sz="8" w:space="0" w:color="auto"/>
            </w:tcBorders>
            <w:shd w:val="clear" w:color="auto" w:fill="auto"/>
            <w:noWrap/>
            <w:vAlign w:val="bottom"/>
            <w:hideMark/>
          </w:tcPr>
          <w:p w14:paraId="284C775C"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68.2</w:t>
            </w:r>
          </w:p>
        </w:tc>
        <w:tc>
          <w:tcPr>
            <w:tcW w:w="744" w:type="dxa"/>
            <w:tcBorders>
              <w:top w:val="nil"/>
              <w:left w:val="nil"/>
              <w:bottom w:val="nil"/>
              <w:right w:val="single" w:sz="8" w:space="0" w:color="auto"/>
            </w:tcBorders>
            <w:shd w:val="clear" w:color="auto" w:fill="auto"/>
            <w:noWrap/>
            <w:vAlign w:val="bottom"/>
            <w:hideMark/>
          </w:tcPr>
          <w:p w14:paraId="188BD246"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67.1</w:t>
            </w:r>
          </w:p>
        </w:tc>
        <w:tc>
          <w:tcPr>
            <w:tcW w:w="744" w:type="dxa"/>
            <w:tcBorders>
              <w:top w:val="nil"/>
              <w:left w:val="nil"/>
              <w:bottom w:val="nil"/>
              <w:right w:val="single" w:sz="8" w:space="0" w:color="auto"/>
            </w:tcBorders>
            <w:shd w:val="clear" w:color="auto" w:fill="auto"/>
            <w:noWrap/>
            <w:vAlign w:val="bottom"/>
            <w:hideMark/>
          </w:tcPr>
          <w:p w14:paraId="470E96B4"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66.3</w:t>
            </w:r>
          </w:p>
        </w:tc>
        <w:tc>
          <w:tcPr>
            <w:tcW w:w="744" w:type="dxa"/>
            <w:tcBorders>
              <w:top w:val="nil"/>
              <w:left w:val="nil"/>
              <w:bottom w:val="nil"/>
              <w:right w:val="single" w:sz="8" w:space="0" w:color="auto"/>
            </w:tcBorders>
            <w:shd w:val="clear" w:color="auto" w:fill="auto"/>
            <w:noWrap/>
            <w:vAlign w:val="bottom"/>
            <w:hideMark/>
          </w:tcPr>
          <w:p w14:paraId="15B857FA"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67.1</w:t>
            </w:r>
          </w:p>
        </w:tc>
        <w:tc>
          <w:tcPr>
            <w:tcW w:w="744" w:type="dxa"/>
            <w:tcBorders>
              <w:top w:val="nil"/>
              <w:left w:val="nil"/>
              <w:bottom w:val="nil"/>
              <w:right w:val="single" w:sz="8" w:space="0" w:color="auto"/>
            </w:tcBorders>
            <w:shd w:val="clear" w:color="auto" w:fill="auto"/>
            <w:noWrap/>
            <w:vAlign w:val="bottom"/>
            <w:hideMark/>
          </w:tcPr>
          <w:p w14:paraId="5C13CA77"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66.3</w:t>
            </w:r>
          </w:p>
        </w:tc>
      </w:tr>
      <w:tr w:rsidR="00D33F7C" w:rsidRPr="00AF27AC" w14:paraId="5C9FBAC6" w14:textId="77777777" w:rsidTr="00E213CE">
        <w:trPr>
          <w:trHeight w:val="272"/>
        </w:trPr>
        <w:tc>
          <w:tcPr>
            <w:tcW w:w="1551" w:type="dxa"/>
            <w:tcBorders>
              <w:top w:val="nil"/>
              <w:left w:val="single" w:sz="8" w:space="0" w:color="auto"/>
              <w:bottom w:val="nil"/>
              <w:right w:val="nil"/>
            </w:tcBorders>
            <w:shd w:val="clear" w:color="auto" w:fill="auto"/>
            <w:noWrap/>
            <w:vAlign w:val="center"/>
            <w:hideMark/>
          </w:tcPr>
          <w:p w14:paraId="22B21C01" w14:textId="77777777" w:rsidR="00D33F7C" w:rsidRPr="00AF27AC" w:rsidRDefault="00D33F7C" w:rsidP="00E213CE">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Netherlands</w:t>
            </w:r>
          </w:p>
        </w:tc>
        <w:tc>
          <w:tcPr>
            <w:tcW w:w="744" w:type="dxa"/>
            <w:tcBorders>
              <w:top w:val="nil"/>
              <w:left w:val="single" w:sz="8" w:space="0" w:color="auto"/>
              <w:bottom w:val="nil"/>
              <w:right w:val="nil"/>
            </w:tcBorders>
            <w:shd w:val="clear" w:color="auto" w:fill="auto"/>
            <w:noWrap/>
            <w:vAlign w:val="center"/>
            <w:hideMark/>
          </w:tcPr>
          <w:p w14:paraId="25E9143A"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69.4</w:t>
            </w:r>
          </w:p>
        </w:tc>
        <w:tc>
          <w:tcPr>
            <w:tcW w:w="744" w:type="dxa"/>
            <w:tcBorders>
              <w:top w:val="nil"/>
              <w:left w:val="single" w:sz="8" w:space="0" w:color="auto"/>
              <w:bottom w:val="nil"/>
              <w:right w:val="single" w:sz="8" w:space="0" w:color="auto"/>
            </w:tcBorders>
            <w:shd w:val="clear" w:color="auto" w:fill="auto"/>
            <w:noWrap/>
            <w:vAlign w:val="bottom"/>
            <w:hideMark/>
          </w:tcPr>
          <w:p w14:paraId="79B9C1F2"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71.2</w:t>
            </w:r>
          </w:p>
        </w:tc>
        <w:tc>
          <w:tcPr>
            <w:tcW w:w="744" w:type="dxa"/>
            <w:tcBorders>
              <w:top w:val="nil"/>
              <w:left w:val="nil"/>
              <w:bottom w:val="nil"/>
              <w:right w:val="nil"/>
            </w:tcBorders>
            <w:shd w:val="clear" w:color="auto" w:fill="auto"/>
            <w:noWrap/>
            <w:vAlign w:val="bottom"/>
            <w:hideMark/>
          </w:tcPr>
          <w:p w14:paraId="665248B0"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68.5</w:t>
            </w:r>
          </w:p>
        </w:tc>
        <w:tc>
          <w:tcPr>
            <w:tcW w:w="744" w:type="dxa"/>
            <w:tcBorders>
              <w:top w:val="nil"/>
              <w:left w:val="single" w:sz="8" w:space="0" w:color="auto"/>
              <w:bottom w:val="nil"/>
              <w:right w:val="single" w:sz="8" w:space="0" w:color="auto"/>
            </w:tcBorders>
            <w:shd w:val="clear" w:color="auto" w:fill="auto"/>
            <w:noWrap/>
            <w:vAlign w:val="bottom"/>
            <w:hideMark/>
          </w:tcPr>
          <w:p w14:paraId="7DBB77CD"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69.2</w:t>
            </w:r>
          </w:p>
        </w:tc>
        <w:tc>
          <w:tcPr>
            <w:tcW w:w="744" w:type="dxa"/>
            <w:tcBorders>
              <w:top w:val="nil"/>
              <w:left w:val="nil"/>
              <w:bottom w:val="nil"/>
              <w:right w:val="nil"/>
            </w:tcBorders>
            <w:shd w:val="clear" w:color="auto" w:fill="auto"/>
            <w:noWrap/>
            <w:vAlign w:val="bottom"/>
            <w:hideMark/>
          </w:tcPr>
          <w:p w14:paraId="1BEFFAF2"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69.7</w:t>
            </w:r>
          </w:p>
        </w:tc>
        <w:tc>
          <w:tcPr>
            <w:tcW w:w="744" w:type="dxa"/>
            <w:tcBorders>
              <w:top w:val="nil"/>
              <w:left w:val="single" w:sz="8" w:space="0" w:color="auto"/>
              <w:bottom w:val="nil"/>
              <w:right w:val="single" w:sz="8" w:space="0" w:color="auto"/>
            </w:tcBorders>
            <w:shd w:val="clear" w:color="auto" w:fill="auto"/>
            <w:noWrap/>
            <w:vAlign w:val="bottom"/>
            <w:hideMark/>
          </w:tcPr>
          <w:p w14:paraId="607AD8F9"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71.7</w:t>
            </w:r>
          </w:p>
        </w:tc>
        <w:tc>
          <w:tcPr>
            <w:tcW w:w="744" w:type="dxa"/>
            <w:tcBorders>
              <w:top w:val="nil"/>
              <w:left w:val="nil"/>
              <w:bottom w:val="nil"/>
              <w:right w:val="nil"/>
            </w:tcBorders>
            <w:shd w:val="clear" w:color="auto" w:fill="auto"/>
            <w:noWrap/>
            <w:vAlign w:val="bottom"/>
            <w:hideMark/>
          </w:tcPr>
          <w:p w14:paraId="63E2B819"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69.7</w:t>
            </w:r>
          </w:p>
        </w:tc>
        <w:tc>
          <w:tcPr>
            <w:tcW w:w="744" w:type="dxa"/>
            <w:tcBorders>
              <w:top w:val="nil"/>
              <w:left w:val="single" w:sz="8" w:space="0" w:color="auto"/>
              <w:bottom w:val="nil"/>
              <w:right w:val="single" w:sz="8" w:space="0" w:color="auto"/>
            </w:tcBorders>
            <w:shd w:val="clear" w:color="auto" w:fill="auto"/>
            <w:noWrap/>
            <w:vAlign w:val="bottom"/>
            <w:hideMark/>
          </w:tcPr>
          <w:p w14:paraId="0BBD89A7"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69.8</w:t>
            </w:r>
          </w:p>
        </w:tc>
        <w:tc>
          <w:tcPr>
            <w:tcW w:w="744" w:type="dxa"/>
            <w:tcBorders>
              <w:top w:val="nil"/>
              <w:left w:val="nil"/>
              <w:bottom w:val="nil"/>
              <w:right w:val="single" w:sz="8" w:space="0" w:color="auto"/>
            </w:tcBorders>
            <w:shd w:val="clear" w:color="auto" w:fill="auto"/>
            <w:noWrap/>
            <w:vAlign w:val="bottom"/>
            <w:hideMark/>
          </w:tcPr>
          <w:p w14:paraId="015674BC"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66.1</w:t>
            </w:r>
          </w:p>
        </w:tc>
        <w:tc>
          <w:tcPr>
            <w:tcW w:w="744" w:type="dxa"/>
            <w:tcBorders>
              <w:top w:val="nil"/>
              <w:left w:val="nil"/>
              <w:bottom w:val="nil"/>
              <w:right w:val="single" w:sz="8" w:space="0" w:color="auto"/>
            </w:tcBorders>
            <w:shd w:val="clear" w:color="auto" w:fill="auto"/>
            <w:noWrap/>
            <w:vAlign w:val="bottom"/>
            <w:hideMark/>
          </w:tcPr>
          <w:p w14:paraId="6CC8F216"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65.8</w:t>
            </w:r>
          </w:p>
        </w:tc>
        <w:tc>
          <w:tcPr>
            <w:tcW w:w="744" w:type="dxa"/>
            <w:tcBorders>
              <w:top w:val="nil"/>
              <w:left w:val="nil"/>
              <w:bottom w:val="nil"/>
              <w:right w:val="single" w:sz="8" w:space="0" w:color="auto"/>
            </w:tcBorders>
            <w:shd w:val="clear" w:color="auto" w:fill="auto"/>
            <w:noWrap/>
            <w:vAlign w:val="bottom"/>
            <w:hideMark/>
          </w:tcPr>
          <w:p w14:paraId="73FC331F"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65</w:t>
            </w:r>
          </w:p>
        </w:tc>
        <w:tc>
          <w:tcPr>
            <w:tcW w:w="744" w:type="dxa"/>
            <w:tcBorders>
              <w:top w:val="nil"/>
              <w:left w:val="nil"/>
              <w:bottom w:val="nil"/>
              <w:right w:val="single" w:sz="8" w:space="0" w:color="auto"/>
            </w:tcBorders>
            <w:shd w:val="clear" w:color="auto" w:fill="auto"/>
            <w:noWrap/>
            <w:vAlign w:val="bottom"/>
            <w:hideMark/>
          </w:tcPr>
          <w:p w14:paraId="2D421EAE"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63.7</w:t>
            </w:r>
          </w:p>
        </w:tc>
      </w:tr>
      <w:tr w:rsidR="00D33F7C" w:rsidRPr="00AF27AC" w14:paraId="4CBC85AB" w14:textId="77777777" w:rsidTr="00E213CE">
        <w:trPr>
          <w:trHeight w:val="272"/>
        </w:trPr>
        <w:tc>
          <w:tcPr>
            <w:tcW w:w="1551" w:type="dxa"/>
            <w:tcBorders>
              <w:top w:val="nil"/>
              <w:left w:val="single" w:sz="8" w:space="0" w:color="auto"/>
              <w:bottom w:val="nil"/>
              <w:right w:val="nil"/>
            </w:tcBorders>
            <w:shd w:val="clear" w:color="auto" w:fill="auto"/>
            <w:noWrap/>
            <w:vAlign w:val="center"/>
            <w:hideMark/>
          </w:tcPr>
          <w:p w14:paraId="76CD154B" w14:textId="77777777" w:rsidR="00D33F7C" w:rsidRPr="00AF27AC" w:rsidRDefault="00D33F7C" w:rsidP="00E213CE">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Israel</w:t>
            </w:r>
          </w:p>
        </w:tc>
        <w:tc>
          <w:tcPr>
            <w:tcW w:w="744" w:type="dxa"/>
            <w:tcBorders>
              <w:top w:val="nil"/>
              <w:left w:val="single" w:sz="8" w:space="0" w:color="auto"/>
              <w:bottom w:val="nil"/>
              <w:right w:val="nil"/>
            </w:tcBorders>
            <w:shd w:val="clear" w:color="auto" w:fill="auto"/>
            <w:noWrap/>
            <w:vAlign w:val="center"/>
            <w:hideMark/>
          </w:tcPr>
          <w:p w14:paraId="34B6D682"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47.6</w:t>
            </w:r>
          </w:p>
        </w:tc>
        <w:tc>
          <w:tcPr>
            <w:tcW w:w="744" w:type="dxa"/>
            <w:tcBorders>
              <w:top w:val="nil"/>
              <w:left w:val="single" w:sz="8" w:space="0" w:color="auto"/>
              <w:bottom w:val="nil"/>
              <w:right w:val="single" w:sz="8" w:space="0" w:color="auto"/>
            </w:tcBorders>
            <w:shd w:val="clear" w:color="auto" w:fill="auto"/>
            <w:noWrap/>
            <w:vAlign w:val="bottom"/>
            <w:hideMark/>
          </w:tcPr>
          <w:p w14:paraId="6550013B"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48.4</w:t>
            </w:r>
          </w:p>
        </w:tc>
        <w:tc>
          <w:tcPr>
            <w:tcW w:w="744" w:type="dxa"/>
            <w:tcBorders>
              <w:top w:val="nil"/>
              <w:left w:val="nil"/>
              <w:bottom w:val="nil"/>
              <w:right w:val="nil"/>
            </w:tcBorders>
            <w:shd w:val="clear" w:color="auto" w:fill="auto"/>
            <w:noWrap/>
            <w:vAlign w:val="bottom"/>
            <w:hideMark/>
          </w:tcPr>
          <w:p w14:paraId="494C23A0"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47.7</w:t>
            </w:r>
          </w:p>
        </w:tc>
        <w:tc>
          <w:tcPr>
            <w:tcW w:w="744" w:type="dxa"/>
            <w:tcBorders>
              <w:top w:val="nil"/>
              <w:left w:val="single" w:sz="8" w:space="0" w:color="auto"/>
              <w:bottom w:val="nil"/>
              <w:right w:val="single" w:sz="8" w:space="0" w:color="auto"/>
            </w:tcBorders>
            <w:shd w:val="clear" w:color="auto" w:fill="auto"/>
            <w:noWrap/>
            <w:vAlign w:val="bottom"/>
            <w:hideMark/>
          </w:tcPr>
          <w:p w14:paraId="08FFA03F"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51.5</w:t>
            </w:r>
          </w:p>
        </w:tc>
        <w:tc>
          <w:tcPr>
            <w:tcW w:w="744" w:type="dxa"/>
            <w:tcBorders>
              <w:top w:val="nil"/>
              <w:left w:val="nil"/>
              <w:bottom w:val="nil"/>
              <w:right w:val="nil"/>
            </w:tcBorders>
            <w:shd w:val="clear" w:color="auto" w:fill="auto"/>
            <w:noWrap/>
            <w:vAlign w:val="bottom"/>
            <w:hideMark/>
          </w:tcPr>
          <w:p w14:paraId="51B352AC"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53.3</w:t>
            </w:r>
          </w:p>
        </w:tc>
        <w:tc>
          <w:tcPr>
            <w:tcW w:w="744" w:type="dxa"/>
            <w:tcBorders>
              <w:top w:val="nil"/>
              <w:left w:val="single" w:sz="8" w:space="0" w:color="auto"/>
              <w:bottom w:val="nil"/>
              <w:right w:val="single" w:sz="8" w:space="0" w:color="auto"/>
            </w:tcBorders>
            <w:shd w:val="clear" w:color="auto" w:fill="auto"/>
            <w:noWrap/>
            <w:vAlign w:val="bottom"/>
            <w:hideMark/>
          </w:tcPr>
          <w:p w14:paraId="67777CC1"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57</w:t>
            </w:r>
          </w:p>
        </w:tc>
        <w:tc>
          <w:tcPr>
            <w:tcW w:w="744" w:type="dxa"/>
            <w:tcBorders>
              <w:top w:val="nil"/>
              <w:left w:val="nil"/>
              <w:bottom w:val="nil"/>
              <w:right w:val="nil"/>
            </w:tcBorders>
            <w:shd w:val="clear" w:color="auto" w:fill="auto"/>
            <w:noWrap/>
            <w:vAlign w:val="bottom"/>
            <w:hideMark/>
          </w:tcPr>
          <w:p w14:paraId="6DF9E402"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48.7</w:t>
            </w:r>
          </w:p>
        </w:tc>
        <w:tc>
          <w:tcPr>
            <w:tcW w:w="744" w:type="dxa"/>
            <w:tcBorders>
              <w:top w:val="nil"/>
              <w:left w:val="single" w:sz="8" w:space="0" w:color="auto"/>
              <w:bottom w:val="nil"/>
              <w:right w:val="single" w:sz="8" w:space="0" w:color="auto"/>
            </w:tcBorders>
            <w:shd w:val="clear" w:color="auto" w:fill="auto"/>
            <w:noWrap/>
            <w:vAlign w:val="bottom"/>
            <w:hideMark/>
          </w:tcPr>
          <w:p w14:paraId="26AD1026"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53.7</w:t>
            </w:r>
          </w:p>
        </w:tc>
        <w:tc>
          <w:tcPr>
            <w:tcW w:w="744" w:type="dxa"/>
            <w:tcBorders>
              <w:top w:val="nil"/>
              <w:left w:val="nil"/>
              <w:bottom w:val="nil"/>
              <w:right w:val="single" w:sz="8" w:space="0" w:color="auto"/>
            </w:tcBorders>
            <w:shd w:val="clear" w:color="auto" w:fill="auto"/>
            <w:noWrap/>
            <w:vAlign w:val="bottom"/>
            <w:hideMark/>
          </w:tcPr>
          <w:p w14:paraId="5851392D"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58.2</w:t>
            </w:r>
          </w:p>
        </w:tc>
        <w:tc>
          <w:tcPr>
            <w:tcW w:w="744" w:type="dxa"/>
            <w:tcBorders>
              <w:top w:val="nil"/>
              <w:left w:val="nil"/>
              <w:bottom w:val="nil"/>
              <w:right w:val="single" w:sz="8" w:space="0" w:color="auto"/>
            </w:tcBorders>
            <w:shd w:val="clear" w:color="auto" w:fill="auto"/>
            <w:noWrap/>
            <w:vAlign w:val="bottom"/>
            <w:hideMark/>
          </w:tcPr>
          <w:p w14:paraId="3F0B561B"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61</w:t>
            </w:r>
          </w:p>
        </w:tc>
        <w:tc>
          <w:tcPr>
            <w:tcW w:w="744" w:type="dxa"/>
            <w:tcBorders>
              <w:top w:val="nil"/>
              <w:left w:val="nil"/>
              <w:bottom w:val="nil"/>
              <w:right w:val="single" w:sz="8" w:space="0" w:color="auto"/>
            </w:tcBorders>
            <w:shd w:val="clear" w:color="auto" w:fill="auto"/>
            <w:noWrap/>
            <w:vAlign w:val="bottom"/>
            <w:hideMark/>
          </w:tcPr>
          <w:p w14:paraId="30F30CB9"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61.4</w:t>
            </w:r>
          </w:p>
        </w:tc>
        <w:tc>
          <w:tcPr>
            <w:tcW w:w="744" w:type="dxa"/>
            <w:tcBorders>
              <w:top w:val="nil"/>
              <w:left w:val="nil"/>
              <w:bottom w:val="nil"/>
              <w:right w:val="single" w:sz="8" w:space="0" w:color="auto"/>
            </w:tcBorders>
            <w:shd w:val="clear" w:color="auto" w:fill="auto"/>
            <w:noWrap/>
            <w:vAlign w:val="bottom"/>
            <w:hideMark/>
          </w:tcPr>
          <w:p w14:paraId="773BD08C"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58.3</w:t>
            </w:r>
          </w:p>
        </w:tc>
      </w:tr>
      <w:tr w:rsidR="00D33F7C" w:rsidRPr="00AF27AC" w14:paraId="7CCC3F63" w14:textId="77777777" w:rsidTr="00E213CE">
        <w:trPr>
          <w:trHeight w:val="272"/>
        </w:trPr>
        <w:tc>
          <w:tcPr>
            <w:tcW w:w="1551" w:type="dxa"/>
            <w:tcBorders>
              <w:top w:val="nil"/>
              <w:left w:val="single" w:sz="8" w:space="0" w:color="auto"/>
              <w:bottom w:val="nil"/>
              <w:right w:val="nil"/>
            </w:tcBorders>
            <w:shd w:val="clear" w:color="auto" w:fill="auto"/>
            <w:noWrap/>
            <w:vAlign w:val="center"/>
            <w:hideMark/>
          </w:tcPr>
          <w:p w14:paraId="7760BFDE" w14:textId="77777777" w:rsidR="00D33F7C" w:rsidRPr="00AF27AC" w:rsidRDefault="00D33F7C" w:rsidP="00E213CE">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United Arab Emirates</w:t>
            </w:r>
          </w:p>
        </w:tc>
        <w:tc>
          <w:tcPr>
            <w:tcW w:w="744" w:type="dxa"/>
            <w:tcBorders>
              <w:top w:val="nil"/>
              <w:left w:val="single" w:sz="8" w:space="0" w:color="auto"/>
              <w:bottom w:val="nil"/>
              <w:right w:val="nil"/>
            </w:tcBorders>
            <w:shd w:val="clear" w:color="auto" w:fill="auto"/>
            <w:noWrap/>
            <w:vAlign w:val="center"/>
            <w:hideMark/>
          </w:tcPr>
          <w:p w14:paraId="55ADA42E"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26.1</w:t>
            </w:r>
          </w:p>
        </w:tc>
        <w:tc>
          <w:tcPr>
            <w:tcW w:w="744" w:type="dxa"/>
            <w:tcBorders>
              <w:top w:val="nil"/>
              <w:left w:val="single" w:sz="8" w:space="0" w:color="auto"/>
              <w:bottom w:val="nil"/>
              <w:right w:val="single" w:sz="8" w:space="0" w:color="auto"/>
            </w:tcBorders>
            <w:shd w:val="clear" w:color="auto" w:fill="auto"/>
            <w:noWrap/>
            <w:vAlign w:val="bottom"/>
            <w:hideMark/>
          </w:tcPr>
          <w:p w14:paraId="01804E5C"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29.5</w:t>
            </w:r>
          </w:p>
        </w:tc>
        <w:tc>
          <w:tcPr>
            <w:tcW w:w="744" w:type="dxa"/>
            <w:tcBorders>
              <w:top w:val="nil"/>
              <w:left w:val="nil"/>
              <w:bottom w:val="nil"/>
              <w:right w:val="nil"/>
            </w:tcBorders>
            <w:shd w:val="clear" w:color="auto" w:fill="auto"/>
            <w:noWrap/>
            <w:vAlign w:val="bottom"/>
            <w:hideMark/>
          </w:tcPr>
          <w:p w14:paraId="324AC423"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36.6</w:t>
            </w:r>
          </w:p>
        </w:tc>
        <w:tc>
          <w:tcPr>
            <w:tcW w:w="744" w:type="dxa"/>
            <w:tcBorders>
              <w:top w:val="nil"/>
              <w:left w:val="single" w:sz="8" w:space="0" w:color="auto"/>
              <w:bottom w:val="nil"/>
              <w:right w:val="single" w:sz="8" w:space="0" w:color="auto"/>
            </w:tcBorders>
            <w:shd w:val="clear" w:color="auto" w:fill="auto"/>
            <w:noWrap/>
            <w:vAlign w:val="bottom"/>
            <w:hideMark/>
          </w:tcPr>
          <w:p w14:paraId="79534CB4"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33.1</w:t>
            </w:r>
          </w:p>
        </w:tc>
        <w:tc>
          <w:tcPr>
            <w:tcW w:w="744" w:type="dxa"/>
            <w:tcBorders>
              <w:top w:val="nil"/>
              <w:left w:val="nil"/>
              <w:bottom w:val="nil"/>
              <w:right w:val="nil"/>
            </w:tcBorders>
            <w:shd w:val="clear" w:color="auto" w:fill="auto"/>
            <w:noWrap/>
            <w:vAlign w:val="bottom"/>
            <w:hideMark/>
          </w:tcPr>
          <w:p w14:paraId="0BB28081"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29.1</w:t>
            </w:r>
          </w:p>
        </w:tc>
        <w:tc>
          <w:tcPr>
            <w:tcW w:w="744" w:type="dxa"/>
            <w:tcBorders>
              <w:top w:val="nil"/>
              <w:left w:val="single" w:sz="8" w:space="0" w:color="auto"/>
              <w:bottom w:val="nil"/>
              <w:right w:val="single" w:sz="8" w:space="0" w:color="auto"/>
            </w:tcBorders>
            <w:shd w:val="clear" w:color="auto" w:fill="auto"/>
            <w:noWrap/>
            <w:vAlign w:val="bottom"/>
            <w:hideMark/>
          </w:tcPr>
          <w:p w14:paraId="59F88E55"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36.8</w:t>
            </w:r>
          </w:p>
        </w:tc>
        <w:tc>
          <w:tcPr>
            <w:tcW w:w="744" w:type="dxa"/>
            <w:tcBorders>
              <w:top w:val="nil"/>
              <w:left w:val="nil"/>
              <w:bottom w:val="nil"/>
              <w:right w:val="nil"/>
            </w:tcBorders>
            <w:shd w:val="clear" w:color="auto" w:fill="auto"/>
            <w:noWrap/>
            <w:vAlign w:val="bottom"/>
            <w:hideMark/>
          </w:tcPr>
          <w:p w14:paraId="2F7938EF"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32.2</w:t>
            </w:r>
          </w:p>
        </w:tc>
        <w:tc>
          <w:tcPr>
            <w:tcW w:w="744" w:type="dxa"/>
            <w:tcBorders>
              <w:top w:val="nil"/>
              <w:left w:val="single" w:sz="8" w:space="0" w:color="auto"/>
              <w:bottom w:val="nil"/>
              <w:right w:val="single" w:sz="8" w:space="0" w:color="auto"/>
            </w:tcBorders>
            <w:shd w:val="clear" w:color="auto" w:fill="auto"/>
            <w:noWrap/>
            <w:vAlign w:val="bottom"/>
            <w:hideMark/>
          </w:tcPr>
          <w:p w14:paraId="5889EB6F"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33.8</w:t>
            </w:r>
          </w:p>
        </w:tc>
        <w:tc>
          <w:tcPr>
            <w:tcW w:w="744" w:type="dxa"/>
            <w:tcBorders>
              <w:top w:val="nil"/>
              <w:left w:val="nil"/>
              <w:bottom w:val="nil"/>
              <w:right w:val="single" w:sz="8" w:space="0" w:color="auto"/>
            </w:tcBorders>
            <w:shd w:val="clear" w:color="auto" w:fill="auto"/>
            <w:noWrap/>
            <w:vAlign w:val="bottom"/>
            <w:hideMark/>
          </w:tcPr>
          <w:p w14:paraId="3E19ED85"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50.6</w:t>
            </w:r>
          </w:p>
        </w:tc>
        <w:tc>
          <w:tcPr>
            <w:tcW w:w="744" w:type="dxa"/>
            <w:tcBorders>
              <w:top w:val="nil"/>
              <w:left w:val="nil"/>
              <w:bottom w:val="nil"/>
              <w:right w:val="single" w:sz="8" w:space="0" w:color="auto"/>
            </w:tcBorders>
            <w:shd w:val="clear" w:color="auto" w:fill="auto"/>
            <w:noWrap/>
            <w:vAlign w:val="bottom"/>
            <w:hideMark/>
          </w:tcPr>
          <w:p w14:paraId="03B9EC40"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45.6</w:t>
            </w:r>
          </w:p>
        </w:tc>
        <w:tc>
          <w:tcPr>
            <w:tcW w:w="744" w:type="dxa"/>
            <w:tcBorders>
              <w:top w:val="nil"/>
              <w:left w:val="nil"/>
              <w:bottom w:val="nil"/>
              <w:right w:val="single" w:sz="8" w:space="0" w:color="auto"/>
            </w:tcBorders>
            <w:shd w:val="clear" w:color="auto" w:fill="auto"/>
            <w:noWrap/>
            <w:vAlign w:val="bottom"/>
            <w:hideMark/>
          </w:tcPr>
          <w:p w14:paraId="0EA8FA11"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43.7</w:t>
            </w:r>
          </w:p>
        </w:tc>
        <w:tc>
          <w:tcPr>
            <w:tcW w:w="744" w:type="dxa"/>
            <w:tcBorders>
              <w:top w:val="nil"/>
              <w:left w:val="nil"/>
              <w:bottom w:val="nil"/>
              <w:right w:val="single" w:sz="8" w:space="0" w:color="auto"/>
            </w:tcBorders>
            <w:shd w:val="clear" w:color="auto" w:fill="auto"/>
            <w:noWrap/>
            <w:vAlign w:val="bottom"/>
            <w:hideMark/>
          </w:tcPr>
          <w:p w14:paraId="038E151A"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57.3</w:t>
            </w:r>
          </w:p>
        </w:tc>
      </w:tr>
      <w:tr w:rsidR="00D33F7C" w:rsidRPr="00AF27AC" w14:paraId="43F7FC22" w14:textId="77777777" w:rsidTr="00E213CE">
        <w:trPr>
          <w:trHeight w:val="272"/>
        </w:trPr>
        <w:tc>
          <w:tcPr>
            <w:tcW w:w="1551" w:type="dxa"/>
            <w:tcBorders>
              <w:top w:val="nil"/>
              <w:left w:val="single" w:sz="8" w:space="0" w:color="auto"/>
              <w:bottom w:val="nil"/>
              <w:right w:val="nil"/>
            </w:tcBorders>
            <w:shd w:val="clear" w:color="auto" w:fill="auto"/>
            <w:noWrap/>
            <w:vAlign w:val="center"/>
            <w:hideMark/>
          </w:tcPr>
          <w:p w14:paraId="42A8BAF7" w14:textId="77777777" w:rsidR="00D33F7C" w:rsidRPr="00AF27AC" w:rsidRDefault="00D33F7C" w:rsidP="00E213CE">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Thailand</w:t>
            </w:r>
          </w:p>
        </w:tc>
        <w:tc>
          <w:tcPr>
            <w:tcW w:w="744" w:type="dxa"/>
            <w:tcBorders>
              <w:top w:val="nil"/>
              <w:left w:val="single" w:sz="8" w:space="0" w:color="auto"/>
              <w:bottom w:val="nil"/>
              <w:right w:val="nil"/>
            </w:tcBorders>
            <w:shd w:val="clear" w:color="auto" w:fill="auto"/>
            <w:noWrap/>
            <w:vAlign w:val="center"/>
            <w:hideMark/>
          </w:tcPr>
          <w:p w14:paraId="5E197543"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85.5</w:t>
            </w:r>
          </w:p>
        </w:tc>
        <w:tc>
          <w:tcPr>
            <w:tcW w:w="744" w:type="dxa"/>
            <w:tcBorders>
              <w:top w:val="nil"/>
              <w:left w:val="single" w:sz="8" w:space="0" w:color="auto"/>
              <w:bottom w:val="nil"/>
              <w:right w:val="single" w:sz="8" w:space="0" w:color="auto"/>
            </w:tcBorders>
            <w:shd w:val="clear" w:color="auto" w:fill="auto"/>
            <w:noWrap/>
            <w:vAlign w:val="bottom"/>
            <w:hideMark/>
          </w:tcPr>
          <w:p w14:paraId="11B47BE3"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87.9</w:t>
            </w:r>
          </w:p>
        </w:tc>
        <w:tc>
          <w:tcPr>
            <w:tcW w:w="744" w:type="dxa"/>
            <w:tcBorders>
              <w:top w:val="nil"/>
              <w:left w:val="nil"/>
              <w:bottom w:val="nil"/>
              <w:right w:val="nil"/>
            </w:tcBorders>
            <w:shd w:val="clear" w:color="auto" w:fill="auto"/>
            <w:noWrap/>
            <w:vAlign w:val="bottom"/>
            <w:hideMark/>
          </w:tcPr>
          <w:p w14:paraId="54016032"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85.7</w:t>
            </w:r>
          </w:p>
        </w:tc>
        <w:tc>
          <w:tcPr>
            <w:tcW w:w="744" w:type="dxa"/>
            <w:tcBorders>
              <w:top w:val="nil"/>
              <w:left w:val="single" w:sz="8" w:space="0" w:color="auto"/>
              <w:bottom w:val="nil"/>
              <w:right w:val="single" w:sz="8" w:space="0" w:color="auto"/>
            </w:tcBorders>
            <w:shd w:val="clear" w:color="auto" w:fill="auto"/>
            <w:noWrap/>
            <w:vAlign w:val="bottom"/>
            <w:hideMark/>
          </w:tcPr>
          <w:p w14:paraId="53D448DC"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83.2</w:t>
            </w:r>
          </w:p>
        </w:tc>
        <w:tc>
          <w:tcPr>
            <w:tcW w:w="744" w:type="dxa"/>
            <w:tcBorders>
              <w:top w:val="nil"/>
              <w:left w:val="nil"/>
              <w:bottom w:val="nil"/>
              <w:right w:val="nil"/>
            </w:tcBorders>
            <w:shd w:val="clear" w:color="auto" w:fill="auto"/>
            <w:noWrap/>
            <w:vAlign w:val="bottom"/>
            <w:hideMark/>
          </w:tcPr>
          <w:p w14:paraId="11FC12F1"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82</w:t>
            </w:r>
          </w:p>
        </w:tc>
        <w:tc>
          <w:tcPr>
            <w:tcW w:w="744" w:type="dxa"/>
            <w:tcBorders>
              <w:top w:val="nil"/>
              <w:left w:val="single" w:sz="8" w:space="0" w:color="auto"/>
              <w:bottom w:val="nil"/>
              <w:right w:val="single" w:sz="8" w:space="0" w:color="auto"/>
            </w:tcBorders>
            <w:shd w:val="clear" w:color="auto" w:fill="auto"/>
            <w:noWrap/>
            <w:vAlign w:val="bottom"/>
            <w:hideMark/>
          </w:tcPr>
          <w:p w14:paraId="0E6F5410"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82</w:t>
            </w:r>
          </w:p>
        </w:tc>
        <w:tc>
          <w:tcPr>
            <w:tcW w:w="744" w:type="dxa"/>
            <w:tcBorders>
              <w:top w:val="nil"/>
              <w:left w:val="nil"/>
              <w:bottom w:val="nil"/>
              <w:right w:val="nil"/>
            </w:tcBorders>
            <w:shd w:val="clear" w:color="auto" w:fill="auto"/>
            <w:noWrap/>
            <w:vAlign w:val="bottom"/>
            <w:hideMark/>
          </w:tcPr>
          <w:p w14:paraId="5FF8993E"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80</w:t>
            </w:r>
          </w:p>
        </w:tc>
        <w:tc>
          <w:tcPr>
            <w:tcW w:w="744" w:type="dxa"/>
            <w:tcBorders>
              <w:top w:val="nil"/>
              <w:left w:val="single" w:sz="8" w:space="0" w:color="auto"/>
              <w:bottom w:val="nil"/>
              <w:right w:val="single" w:sz="8" w:space="0" w:color="auto"/>
            </w:tcBorders>
            <w:shd w:val="clear" w:color="auto" w:fill="auto"/>
            <w:noWrap/>
            <w:vAlign w:val="bottom"/>
            <w:hideMark/>
          </w:tcPr>
          <w:p w14:paraId="5F1BB889"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82.2</w:t>
            </w:r>
          </w:p>
        </w:tc>
        <w:tc>
          <w:tcPr>
            <w:tcW w:w="744" w:type="dxa"/>
            <w:tcBorders>
              <w:top w:val="nil"/>
              <w:left w:val="nil"/>
              <w:bottom w:val="nil"/>
              <w:right w:val="single" w:sz="8" w:space="0" w:color="auto"/>
            </w:tcBorders>
            <w:shd w:val="clear" w:color="auto" w:fill="auto"/>
            <w:noWrap/>
            <w:vAlign w:val="bottom"/>
            <w:hideMark/>
          </w:tcPr>
          <w:p w14:paraId="458357E1"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80.6</w:t>
            </w:r>
          </w:p>
        </w:tc>
        <w:tc>
          <w:tcPr>
            <w:tcW w:w="744" w:type="dxa"/>
            <w:tcBorders>
              <w:top w:val="nil"/>
              <w:left w:val="nil"/>
              <w:bottom w:val="nil"/>
              <w:right w:val="single" w:sz="8" w:space="0" w:color="auto"/>
            </w:tcBorders>
            <w:shd w:val="clear" w:color="auto" w:fill="auto"/>
            <w:noWrap/>
            <w:vAlign w:val="bottom"/>
            <w:hideMark/>
          </w:tcPr>
          <w:p w14:paraId="5ACF3318"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66.9</w:t>
            </w:r>
          </w:p>
        </w:tc>
        <w:tc>
          <w:tcPr>
            <w:tcW w:w="744" w:type="dxa"/>
            <w:tcBorders>
              <w:top w:val="nil"/>
              <w:left w:val="nil"/>
              <w:bottom w:val="nil"/>
              <w:right w:val="single" w:sz="8" w:space="0" w:color="auto"/>
            </w:tcBorders>
            <w:shd w:val="clear" w:color="auto" w:fill="auto"/>
            <w:noWrap/>
            <w:vAlign w:val="bottom"/>
            <w:hideMark/>
          </w:tcPr>
          <w:p w14:paraId="59E8102F"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59.8</w:t>
            </w:r>
          </w:p>
        </w:tc>
        <w:tc>
          <w:tcPr>
            <w:tcW w:w="744" w:type="dxa"/>
            <w:tcBorders>
              <w:top w:val="nil"/>
              <w:left w:val="nil"/>
              <w:bottom w:val="nil"/>
              <w:right w:val="single" w:sz="8" w:space="0" w:color="auto"/>
            </w:tcBorders>
            <w:shd w:val="clear" w:color="auto" w:fill="auto"/>
            <w:noWrap/>
            <w:vAlign w:val="bottom"/>
            <w:hideMark/>
          </w:tcPr>
          <w:p w14:paraId="36C1CD91"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57</w:t>
            </w:r>
          </w:p>
        </w:tc>
      </w:tr>
      <w:tr w:rsidR="00D33F7C" w:rsidRPr="00AF27AC" w14:paraId="1E5B52DC" w14:textId="77777777" w:rsidTr="00E213CE">
        <w:trPr>
          <w:trHeight w:val="272"/>
        </w:trPr>
        <w:tc>
          <w:tcPr>
            <w:tcW w:w="1551" w:type="dxa"/>
            <w:tcBorders>
              <w:top w:val="nil"/>
              <w:left w:val="single" w:sz="8" w:space="0" w:color="auto"/>
              <w:bottom w:val="nil"/>
              <w:right w:val="nil"/>
            </w:tcBorders>
            <w:shd w:val="clear" w:color="auto" w:fill="auto"/>
            <w:noWrap/>
            <w:vAlign w:val="center"/>
            <w:hideMark/>
          </w:tcPr>
          <w:p w14:paraId="1B9070A2" w14:textId="77777777" w:rsidR="00D33F7C" w:rsidRPr="00AF27AC" w:rsidRDefault="00D33F7C" w:rsidP="00E213CE">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Poland</w:t>
            </w:r>
          </w:p>
        </w:tc>
        <w:tc>
          <w:tcPr>
            <w:tcW w:w="744" w:type="dxa"/>
            <w:tcBorders>
              <w:top w:val="nil"/>
              <w:left w:val="single" w:sz="8" w:space="0" w:color="auto"/>
              <w:bottom w:val="nil"/>
              <w:right w:val="nil"/>
            </w:tcBorders>
            <w:shd w:val="clear" w:color="auto" w:fill="auto"/>
            <w:noWrap/>
            <w:vAlign w:val="center"/>
            <w:hideMark/>
          </w:tcPr>
          <w:p w14:paraId="0F3DA6E2"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39.7</w:t>
            </w:r>
          </w:p>
        </w:tc>
        <w:tc>
          <w:tcPr>
            <w:tcW w:w="744" w:type="dxa"/>
            <w:tcBorders>
              <w:top w:val="nil"/>
              <w:left w:val="single" w:sz="8" w:space="0" w:color="auto"/>
              <w:bottom w:val="nil"/>
              <w:right w:val="single" w:sz="8" w:space="0" w:color="auto"/>
            </w:tcBorders>
            <w:shd w:val="clear" w:color="auto" w:fill="auto"/>
            <w:noWrap/>
            <w:vAlign w:val="bottom"/>
            <w:hideMark/>
          </w:tcPr>
          <w:p w14:paraId="4B37F023"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42.5</w:t>
            </w:r>
          </w:p>
        </w:tc>
        <w:tc>
          <w:tcPr>
            <w:tcW w:w="744" w:type="dxa"/>
            <w:tcBorders>
              <w:top w:val="nil"/>
              <w:left w:val="nil"/>
              <w:bottom w:val="nil"/>
              <w:right w:val="nil"/>
            </w:tcBorders>
            <w:shd w:val="clear" w:color="auto" w:fill="auto"/>
            <w:noWrap/>
            <w:vAlign w:val="bottom"/>
            <w:hideMark/>
          </w:tcPr>
          <w:p w14:paraId="3C0445DB"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43.8</w:t>
            </w:r>
          </w:p>
        </w:tc>
        <w:tc>
          <w:tcPr>
            <w:tcW w:w="744" w:type="dxa"/>
            <w:tcBorders>
              <w:top w:val="nil"/>
              <w:left w:val="single" w:sz="8" w:space="0" w:color="auto"/>
              <w:bottom w:val="nil"/>
              <w:right w:val="single" w:sz="8" w:space="0" w:color="auto"/>
            </w:tcBorders>
            <w:shd w:val="clear" w:color="auto" w:fill="auto"/>
            <w:noWrap/>
            <w:vAlign w:val="bottom"/>
            <w:hideMark/>
          </w:tcPr>
          <w:p w14:paraId="0AF8C5EB"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44.1</w:t>
            </w:r>
          </w:p>
        </w:tc>
        <w:tc>
          <w:tcPr>
            <w:tcW w:w="744" w:type="dxa"/>
            <w:tcBorders>
              <w:top w:val="nil"/>
              <w:left w:val="nil"/>
              <w:bottom w:val="nil"/>
              <w:right w:val="nil"/>
            </w:tcBorders>
            <w:shd w:val="clear" w:color="auto" w:fill="auto"/>
            <w:noWrap/>
            <w:vAlign w:val="bottom"/>
            <w:hideMark/>
          </w:tcPr>
          <w:p w14:paraId="04CD764E"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46.1</w:t>
            </w:r>
          </w:p>
        </w:tc>
        <w:tc>
          <w:tcPr>
            <w:tcW w:w="744" w:type="dxa"/>
            <w:tcBorders>
              <w:top w:val="nil"/>
              <w:left w:val="single" w:sz="8" w:space="0" w:color="auto"/>
              <w:bottom w:val="nil"/>
              <w:right w:val="single" w:sz="8" w:space="0" w:color="auto"/>
            </w:tcBorders>
            <w:shd w:val="clear" w:color="auto" w:fill="auto"/>
            <w:noWrap/>
            <w:vAlign w:val="bottom"/>
            <w:hideMark/>
          </w:tcPr>
          <w:p w14:paraId="59404F13"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47.5</w:t>
            </w:r>
          </w:p>
        </w:tc>
        <w:tc>
          <w:tcPr>
            <w:tcW w:w="744" w:type="dxa"/>
            <w:tcBorders>
              <w:top w:val="nil"/>
              <w:left w:val="nil"/>
              <w:bottom w:val="nil"/>
              <w:right w:val="nil"/>
            </w:tcBorders>
            <w:shd w:val="clear" w:color="auto" w:fill="auto"/>
            <w:noWrap/>
            <w:vAlign w:val="bottom"/>
            <w:hideMark/>
          </w:tcPr>
          <w:p w14:paraId="13266359"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50.5</w:t>
            </w:r>
          </w:p>
        </w:tc>
        <w:tc>
          <w:tcPr>
            <w:tcW w:w="744" w:type="dxa"/>
            <w:tcBorders>
              <w:top w:val="nil"/>
              <w:left w:val="single" w:sz="8" w:space="0" w:color="auto"/>
              <w:bottom w:val="nil"/>
              <w:right w:val="single" w:sz="8" w:space="0" w:color="auto"/>
            </w:tcBorders>
            <w:shd w:val="clear" w:color="auto" w:fill="auto"/>
            <w:noWrap/>
            <w:vAlign w:val="bottom"/>
            <w:hideMark/>
          </w:tcPr>
          <w:p w14:paraId="42BDFFD5"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53.3</w:t>
            </w:r>
          </w:p>
        </w:tc>
        <w:tc>
          <w:tcPr>
            <w:tcW w:w="744" w:type="dxa"/>
            <w:tcBorders>
              <w:top w:val="nil"/>
              <w:left w:val="nil"/>
              <w:bottom w:val="nil"/>
              <w:right w:val="single" w:sz="8" w:space="0" w:color="auto"/>
            </w:tcBorders>
            <w:shd w:val="clear" w:color="auto" w:fill="auto"/>
            <w:noWrap/>
            <w:vAlign w:val="bottom"/>
            <w:hideMark/>
          </w:tcPr>
          <w:p w14:paraId="0E0C788E"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53.2</w:t>
            </w:r>
          </w:p>
        </w:tc>
        <w:tc>
          <w:tcPr>
            <w:tcW w:w="744" w:type="dxa"/>
            <w:tcBorders>
              <w:top w:val="nil"/>
              <w:left w:val="nil"/>
              <w:bottom w:val="nil"/>
              <w:right w:val="single" w:sz="8" w:space="0" w:color="auto"/>
            </w:tcBorders>
            <w:shd w:val="clear" w:color="auto" w:fill="auto"/>
            <w:noWrap/>
            <w:vAlign w:val="bottom"/>
            <w:hideMark/>
          </w:tcPr>
          <w:p w14:paraId="0F79A1D3"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52.6</w:t>
            </w:r>
          </w:p>
        </w:tc>
        <w:tc>
          <w:tcPr>
            <w:tcW w:w="744" w:type="dxa"/>
            <w:tcBorders>
              <w:top w:val="nil"/>
              <w:left w:val="nil"/>
              <w:bottom w:val="nil"/>
              <w:right w:val="single" w:sz="8" w:space="0" w:color="auto"/>
            </w:tcBorders>
            <w:shd w:val="clear" w:color="auto" w:fill="auto"/>
            <w:noWrap/>
            <w:vAlign w:val="bottom"/>
            <w:hideMark/>
          </w:tcPr>
          <w:p w14:paraId="4841E502"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52.5</w:t>
            </w:r>
          </w:p>
        </w:tc>
        <w:tc>
          <w:tcPr>
            <w:tcW w:w="744" w:type="dxa"/>
            <w:tcBorders>
              <w:top w:val="nil"/>
              <w:left w:val="nil"/>
              <w:bottom w:val="nil"/>
              <w:right w:val="single" w:sz="8" w:space="0" w:color="auto"/>
            </w:tcBorders>
            <w:shd w:val="clear" w:color="auto" w:fill="auto"/>
            <w:noWrap/>
            <w:vAlign w:val="bottom"/>
            <w:hideMark/>
          </w:tcPr>
          <w:p w14:paraId="22FB50E6"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54</w:t>
            </w:r>
          </w:p>
        </w:tc>
      </w:tr>
      <w:tr w:rsidR="00D33F7C" w:rsidRPr="00AF27AC" w14:paraId="0E6AB815" w14:textId="77777777" w:rsidTr="00E213CE">
        <w:trPr>
          <w:trHeight w:val="272"/>
        </w:trPr>
        <w:tc>
          <w:tcPr>
            <w:tcW w:w="1551" w:type="dxa"/>
            <w:tcBorders>
              <w:top w:val="nil"/>
              <w:left w:val="single" w:sz="8" w:space="0" w:color="auto"/>
              <w:bottom w:val="nil"/>
              <w:right w:val="nil"/>
            </w:tcBorders>
            <w:shd w:val="clear" w:color="auto" w:fill="auto"/>
            <w:noWrap/>
            <w:vAlign w:val="center"/>
            <w:hideMark/>
          </w:tcPr>
          <w:p w14:paraId="30868A74" w14:textId="77777777" w:rsidR="00D33F7C" w:rsidRPr="00AF27AC" w:rsidRDefault="00D33F7C" w:rsidP="00E213CE">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Philippines</w:t>
            </w:r>
          </w:p>
        </w:tc>
        <w:tc>
          <w:tcPr>
            <w:tcW w:w="744" w:type="dxa"/>
            <w:tcBorders>
              <w:top w:val="nil"/>
              <w:left w:val="single" w:sz="8" w:space="0" w:color="auto"/>
              <w:bottom w:val="nil"/>
              <w:right w:val="nil"/>
            </w:tcBorders>
            <w:shd w:val="clear" w:color="auto" w:fill="auto"/>
            <w:noWrap/>
            <w:vAlign w:val="center"/>
            <w:hideMark/>
          </w:tcPr>
          <w:p w14:paraId="347A5763"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44.2</w:t>
            </w:r>
          </w:p>
        </w:tc>
        <w:tc>
          <w:tcPr>
            <w:tcW w:w="744" w:type="dxa"/>
            <w:tcBorders>
              <w:top w:val="nil"/>
              <w:left w:val="single" w:sz="8" w:space="0" w:color="auto"/>
              <w:bottom w:val="nil"/>
              <w:right w:val="single" w:sz="8" w:space="0" w:color="auto"/>
            </w:tcBorders>
            <w:shd w:val="clear" w:color="auto" w:fill="auto"/>
            <w:noWrap/>
            <w:vAlign w:val="bottom"/>
            <w:hideMark/>
          </w:tcPr>
          <w:p w14:paraId="5477433C"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43.8</w:t>
            </w:r>
          </w:p>
        </w:tc>
        <w:tc>
          <w:tcPr>
            <w:tcW w:w="744" w:type="dxa"/>
            <w:tcBorders>
              <w:top w:val="nil"/>
              <w:left w:val="nil"/>
              <w:bottom w:val="nil"/>
              <w:right w:val="nil"/>
            </w:tcBorders>
            <w:shd w:val="clear" w:color="auto" w:fill="auto"/>
            <w:noWrap/>
            <w:vAlign w:val="bottom"/>
            <w:hideMark/>
          </w:tcPr>
          <w:p w14:paraId="7E5B3F91"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47.6</w:t>
            </w:r>
          </w:p>
        </w:tc>
        <w:tc>
          <w:tcPr>
            <w:tcW w:w="744" w:type="dxa"/>
            <w:tcBorders>
              <w:top w:val="nil"/>
              <w:left w:val="single" w:sz="8" w:space="0" w:color="auto"/>
              <w:bottom w:val="nil"/>
              <w:right w:val="single" w:sz="8" w:space="0" w:color="auto"/>
            </w:tcBorders>
            <w:shd w:val="clear" w:color="auto" w:fill="auto"/>
            <w:noWrap/>
            <w:vAlign w:val="bottom"/>
            <w:hideMark/>
          </w:tcPr>
          <w:p w14:paraId="0DA297AA"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46.7</w:t>
            </w:r>
          </w:p>
        </w:tc>
        <w:tc>
          <w:tcPr>
            <w:tcW w:w="744" w:type="dxa"/>
            <w:tcBorders>
              <w:top w:val="nil"/>
              <w:left w:val="nil"/>
              <w:bottom w:val="nil"/>
              <w:right w:val="nil"/>
            </w:tcBorders>
            <w:shd w:val="clear" w:color="auto" w:fill="auto"/>
            <w:noWrap/>
            <w:vAlign w:val="bottom"/>
            <w:hideMark/>
          </w:tcPr>
          <w:p w14:paraId="31A0FD25"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47.3</w:t>
            </w:r>
          </w:p>
        </w:tc>
        <w:tc>
          <w:tcPr>
            <w:tcW w:w="744" w:type="dxa"/>
            <w:tcBorders>
              <w:top w:val="nil"/>
              <w:left w:val="single" w:sz="8" w:space="0" w:color="auto"/>
              <w:bottom w:val="nil"/>
              <w:right w:val="single" w:sz="8" w:space="0" w:color="auto"/>
            </w:tcBorders>
            <w:shd w:val="clear" w:color="auto" w:fill="auto"/>
            <w:noWrap/>
            <w:vAlign w:val="bottom"/>
            <w:hideMark/>
          </w:tcPr>
          <w:p w14:paraId="081C4A9D"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48.6</w:t>
            </w:r>
          </w:p>
        </w:tc>
        <w:tc>
          <w:tcPr>
            <w:tcW w:w="744" w:type="dxa"/>
            <w:tcBorders>
              <w:top w:val="nil"/>
              <w:left w:val="nil"/>
              <w:bottom w:val="nil"/>
              <w:right w:val="nil"/>
            </w:tcBorders>
            <w:shd w:val="clear" w:color="auto" w:fill="auto"/>
            <w:noWrap/>
            <w:vAlign w:val="bottom"/>
            <w:hideMark/>
          </w:tcPr>
          <w:p w14:paraId="4067182A"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43.3</w:t>
            </w:r>
          </w:p>
        </w:tc>
        <w:tc>
          <w:tcPr>
            <w:tcW w:w="744" w:type="dxa"/>
            <w:tcBorders>
              <w:top w:val="nil"/>
              <w:left w:val="single" w:sz="8" w:space="0" w:color="auto"/>
              <w:bottom w:val="nil"/>
              <w:right w:val="single" w:sz="8" w:space="0" w:color="auto"/>
            </w:tcBorders>
            <w:shd w:val="clear" w:color="auto" w:fill="auto"/>
            <w:noWrap/>
            <w:vAlign w:val="bottom"/>
            <w:hideMark/>
          </w:tcPr>
          <w:p w14:paraId="4E16E6C3"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48</w:t>
            </w:r>
          </w:p>
        </w:tc>
        <w:tc>
          <w:tcPr>
            <w:tcW w:w="744" w:type="dxa"/>
            <w:tcBorders>
              <w:top w:val="nil"/>
              <w:left w:val="nil"/>
              <w:bottom w:val="nil"/>
              <w:right w:val="single" w:sz="8" w:space="0" w:color="auto"/>
            </w:tcBorders>
            <w:shd w:val="clear" w:color="auto" w:fill="auto"/>
            <w:noWrap/>
            <w:vAlign w:val="bottom"/>
            <w:hideMark/>
          </w:tcPr>
          <w:p w14:paraId="5F9FA912"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50.8</w:t>
            </w:r>
          </w:p>
        </w:tc>
        <w:tc>
          <w:tcPr>
            <w:tcW w:w="744" w:type="dxa"/>
            <w:tcBorders>
              <w:top w:val="nil"/>
              <w:left w:val="nil"/>
              <w:bottom w:val="nil"/>
              <w:right w:val="single" w:sz="8" w:space="0" w:color="auto"/>
            </w:tcBorders>
            <w:shd w:val="clear" w:color="auto" w:fill="auto"/>
            <w:noWrap/>
            <w:vAlign w:val="bottom"/>
            <w:hideMark/>
          </w:tcPr>
          <w:p w14:paraId="0B25F667"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50.9</w:t>
            </w:r>
          </w:p>
        </w:tc>
        <w:tc>
          <w:tcPr>
            <w:tcW w:w="744" w:type="dxa"/>
            <w:tcBorders>
              <w:top w:val="nil"/>
              <w:left w:val="nil"/>
              <w:bottom w:val="nil"/>
              <w:right w:val="single" w:sz="8" w:space="0" w:color="auto"/>
            </w:tcBorders>
            <w:shd w:val="clear" w:color="auto" w:fill="auto"/>
            <w:noWrap/>
            <w:vAlign w:val="bottom"/>
            <w:hideMark/>
          </w:tcPr>
          <w:p w14:paraId="4A6A7F3F"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50.7</w:t>
            </w:r>
          </w:p>
        </w:tc>
        <w:tc>
          <w:tcPr>
            <w:tcW w:w="744" w:type="dxa"/>
            <w:tcBorders>
              <w:top w:val="nil"/>
              <w:left w:val="nil"/>
              <w:bottom w:val="nil"/>
              <w:right w:val="single" w:sz="8" w:space="0" w:color="auto"/>
            </w:tcBorders>
            <w:shd w:val="clear" w:color="auto" w:fill="auto"/>
            <w:noWrap/>
            <w:vAlign w:val="bottom"/>
            <w:hideMark/>
          </w:tcPr>
          <w:p w14:paraId="72A065B5"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50.2</w:t>
            </w:r>
          </w:p>
        </w:tc>
      </w:tr>
      <w:tr w:rsidR="00D33F7C" w:rsidRPr="00AF27AC" w14:paraId="74ADA6F3" w14:textId="77777777" w:rsidTr="00E213CE">
        <w:trPr>
          <w:trHeight w:val="272"/>
        </w:trPr>
        <w:tc>
          <w:tcPr>
            <w:tcW w:w="1551" w:type="dxa"/>
            <w:tcBorders>
              <w:top w:val="nil"/>
              <w:left w:val="single" w:sz="8" w:space="0" w:color="auto"/>
              <w:bottom w:val="nil"/>
              <w:right w:val="nil"/>
            </w:tcBorders>
            <w:shd w:val="clear" w:color="auto" w:fill="auto"/>
            <w:noWrap/>
            <w:vAlign w:val="center"/>
            <w:hideMark/>
          </w:tcPr>
          <w:p w14:paraId="2F24C3B0" w14:textId="77777777" w:rsidR="00D33F7C" w:rsidRPr="00AF27AC" w:rsidRDefault="00D33F7C" w:rsidP="00E213CE">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Mexico</w:t>
            </w:r>
          </w:p>
        </w:tc>
        <w:tc>
          <w:tcPr>
            <w:tcW w:w="744" w:type="dxa"/>
            <w:tcBorders>
              <w:top w:val="nil"/>
              <w:left w:val="single" w:sz="8" w:space="0" w:color="auto"/>
              <w:bottom w:val="nil"/>
              <w:right w:val="nil"/>
            </w:tcBorders>
            <w:shd w:val="clear" w:color="auto" w:fill="auto"/>
            <w:noWrap/>
            <w:vAlign w:val="center"/>
            <w:hideMark/>
          </w:tcPr>
          <w:p w14:paraId="30740A69"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47</w:t>
            </w:r>
          </w:p>
        </w:tc>
        <w:tc>
          <w:tcPr>
            <w:tcW w:w="744" w:type="dxa"/>
            <w:tcBorders>
              <w:top w:val="nil"/>
              <w:left w:val="single" w:sz="8" w:space="0" w:color="auto"/>
              <w:bottom w:val="nil"/>
              <w:right w:val="single" w:sz="8" w:space="0" w:color="auto"/>
            </w:tcBorders>
            <w:shd w:val="clear" w:color="auto" w:fill="auto"/>
            <w:noWrap/>
            <w:vAlign w:val="bottom"/>
            <w:hideMark/>
          </w:tcPr>
          <w:p w14:paraId="6EC01EF4"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47.6</w:t>
            </w:r>
          </w:p>
        </w:tc>
        <w:tc>
          <w:tcPr>
            <w:tcW w:w="744" w:type="dxa"/>
            <w:tcBorders>
              <w:top w:val="nil"/>
              <w:left w:val="nil"/>
              <w:bottom w:val="nil"/>
              <w:right w:val="nil"/>
            </w:tcBorders>
            <w:shd w:val="clear" w:color="auto" w:fill="auto"/>
            <w:noWrap/>
            <w:vAlign w:val="bottom"/>
            <w:hideMark/>
          </w:tcPr>
          <w:p w14:paraId="5B707B6A"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49.5</w:t>
            </w:r>
          </w:p>
        </w:tc>
        <w:tc>
          <w:tcPr>
            <w:tcW w:w="744" w:type="dxa"/>
            <w:tcBorders>
              <w:top w:val="nil"/>
              <w:left w:val="single" w:sz="8" w:space="0" w:color="auto"/>
              <w:bottom w:val="nil"/>
              <w:right w:val="single" w:sz="8" w:space="0" w:color="auto"/>
            </w:tcBorders>
            <w:shd w:val="clear" w:color="auto" w:fill="auto"/>
            <w:noWrap/>
            <w:vAlign w:val="bottom"/>
            <w:hideMark/>
          </w:tcPr>
          <w:p w14:paraId="053B6641"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49.2</w:t>
            </w:r>
          </w:p>
        </w:tc>
        <w:tc>
          <w:tcPr>
            <w:tcW w:w="744" w:type="dxa"/>
            <w:tcBorders>
              <w:top w:val="nil"/>
              <w:left w:val="nil"/>
              <w:bottom w:val="nil"/>
              <w:right w:val="nil"/>
            </w:tcBorders>
            <w:shd w:val="clear" w:color="auto" w:fill="auto"/>
            <w:noWrap/>
            <w:vAlign w:val="bottom"/>
            <w:hideMark/>
          </w:tcPr>
          <w:p w14:paraId="52CE8FCC"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48.8</w:t>
            </w:r>
          </w:p>
        </w:tc>
        <w:tc>
          <w:tcPr>
            <w:tcW w:w="744" w:type="dxa"/>
            <w:tcBorders>
              <w:top w:val="nil"/>
              <w:left w:val="single" w:sz="8" w:space="0" w:color="auto"/>
              <w:bottom w:val="nil"/>
              <w:right w:val="single" w:sz="8" w:space="0" w:color="auto"/>
            </w:tcBorders>
            <w:shd w:val="clear" w:color="auto" w:fill="auto"/>
            <w:noWrap/>
            <w:vAlign w:val="bottom"/>
            <w:hideMark/>
          </w:tcPr>
          <w:p w14:paraId="596F6A30"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52.7</w:t>
            </w:r>
          </w:p>
        </w:tc>
        <w:tc>
          <w:tcPr>
            <w:tcW w:w="744" w:type="dxa"/>
            <w:tcBorders>
              <w:top w:val="nil"/>
              <w:left w:val="nil"/>
              <w:bottom w:val="nil"/>
              <w:right w:val="nil"/>
            </w:tcBorders>
            <w:shd w:val="clear" w:color="auto" w:fill="auto"/>
            <w:noWrap/>
            <w:vAlign w:val="bottom"/>
            <w:hideMark/>
          </w:tcPr>
          <w:p w14:paraId="22498E8D"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49.4</w:t>
            </w:r>
          </w:p>
        </w:tc>
        <w:tc>
          <w:tcPr>
            <w:tcW w:w="744" w:type="dxa"/>
            <w:tcBorders>
              <w:top w:val="nil"/>
              <w:left w:val="single" w:sz="8" w:space="0" w:color="auto"/>
              <w:bottom w:val="nil"/>
              <w:right w:val="single" w:sz="8" w:space="0" w:color="auto"/>
            </w:tcBorders>
            <w:shd w:val="clear" w:color="auto" w:fill="auto"/>
            <w:noWrap/>
            <w:vAlign w:val="bottom"/>
            <w:hideMark/>
          </w:tcPr>
          <w:p w14:paraId="7AEE8C43"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49.8</w:t>
            </w:r>
          </w:p>
        </w:tc>
        <w:tc>
          <w:tcPr>
            <w:tcW w:w="744" w:type="dxa"/>
            <w:tcBorders>
              <w:top w:val="nil"/>
              <w:left w:val="nil"/>
              <w:bottom w:val="nil"/>
              <w:right w:val="single" w:sz="8" w:space="0" w:color="auto"/>
            </w:tcBorders>
            <w:shd w:val="clear" w:color="auto" w:fill="auto"/>
            <w:noWrap/>
            <w:vAlign w:val="bottom"/>
            <w:hideMark/>
          </w:tcPr>
          <w:p w14:paraId="2C87ECC3"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49.4</w:t>
            </w:r>
          </w:p>
        </w:tc>
        <w:tc>
          <w:tcPr>
            <w:tcW w:w="744" w:type="dxa"/>
            <w:tcBorders>
              <w:top w:val="nil"/>
              <w:left w:val="nil"/>
              <w:bottom w:val="nil"/>
              <w:right w:val="single" w:sz="8" w:space="0" w:color="auto"/>
            </w:tcBorders>
            <w:shd w:val="clear" w:color="auto" w:fill="auto"/>
            <w:noWrap/>
            <w:vAlign w:val="bottom"/>
            <w:hideMark/>
          </w:tcPr>
          <w:p w14:paraId="7592C995"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48</w:t>
            </w:r>
          </w:p>
        </w:tc>
        <w:tc>
          <w:tcPr>
            <w:tcW w:w="744" w:type="dxa"/>
            <w:tcBorders>
              <w:top w:val="nil"/>
              <w:left w:val="nil"/>
              <w:bottom w:val="nil"/>
              <w:right w:val="single" w:sz="8" w:space="0" w:color="auto"/>
            </w:tcBorders>
            <w:shd w:val="clear" w:color="auto" w:fill="auto"/>
            <w:noWrap/>
            <w:vAlign w:val="bottom"/>
            <w:hideMark/>
          </w:tcPr>
          <w:p w14:paraId="1B4C43AE"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48.4</w:t>
            </w:r>
          </w:p>
        </w:tc>
        <w:tc>
          <w:tcPr>
            <w:tcW w:w="744" w:type="dxa"/>
            <w:tcBorders>
              <w:top w:val="nil"/>
              <w:left w:val="nil"/>
              <w:bottom w:val="nil"/>
              <w:right w:val="single" w:sz="8" w:space="0" w:color="auto"/>
            </w:tcBorders>
            <w:shd w:val="clear" w:color="auto" w:fill="auto"/>
            <w:noWrap/>
            <w:vAlign w:val="bottom"/>
            <w:hideMark/>
          </w:tcPr>
          <w:p w14:paraId="57CD2913"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49.1</w:t>
            </w:r>
          </w:p>
        </w:tc>
      </w:tr>
      <w:tr w:rsidR="00D33F7C" w:rsidRPr="00AF27AC" w14:paraId="72983C64" w14:textId="77777777" w:rsidTr="00E213CE">
        <w:trPr>
          <w:trHeight w:val="272"/>
        </w:trPr>
        <w:tc>
          <w:tcPr>
            <w:tcW w:w="1551" w:type="dxa"/>
            <w:tcBorders>
              <w:top w:val="nil"/>
              <w:left w:val="single" w:sz="8" w:space="0" w:color="auto"/>
              <w:bottom w:val="nil"/>
              <w:right w:val="nil"/>
            </w:tcBorders>
            <w:shd w:val="clear" w:color="auto" w:fill="auto"/>
            <w:noWrap/>
            <w:vAlign w:val="center"/>
            <w:hideMark/>
          </w:tcPr>
          <w:p w14:paraId="44EAAB71" w14:textId="77777777" w:rsidR="00D33F7C" w:rsidRPr="00AF27AC" w:rsidRDefault="00D33F7C" w:rsidP="00E213CE">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Kuwait</w:t>
            </w:r>
          </w:p>
        </w:tc>
        <w:tc>
          <w:tcPr>
            <w:tcW w:w="744" w:type="dxa"/>
            <w:tcBorders>
              <w:top w:val="nil"/>
              <w:left w:val="single" w:sz="8" w:space="0" w:color="auto"/>
              <w:bottom w:val="nil"/>
              <w:right w:val="nil"/>
            </w:tcBorders>
            <w:shd w:val="clear" w:color="auto" w:fill="auto"/>
            <w:noWrap/>
            <w:vAlign w:val="center"/>
            <w:hideMark/>
          </w:tcPr>
          <w:p w14:paraId="79BFEEEE"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44.7</w:t>
            </w:r>
          </w:p>
        </w:tc>
        <w:tc>
          <w:tcPr>
            <w:tcW w:w="744" w:type="dxa"/>
            <w:tcBorders>
              <w:top w:val="nil"/>
              <w:left w:val="single" w:sz="8" w:space="0" w:color="auto"/>
              <w:bottom w:val="nil"/>
              <w:right w:val="single" w:sz="8" w:space="0" w:color="auto"/>
            </w:tcBorders>
            <w:shd w:val="clear" w:color="auto" w:fill="auto"/>
            <w:noWrap/>
            <w:vAlign w:val="bottom"/>
            <w:hideMark/>
          </w:tcPr>
          <w:p w14:paraId="533E1B58"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47.9</w:t>
            </w:r>
          </w:p>
        </w:tc>
        <w:tc>
          <w:tcPr>
            <w:tcW w:w="744" w:type="dxa"/>
            <w:tcBorders>
              <w:top w:val="nil"/>
              <w:left w:val="nil"/>
              <w:bottom w:val="nil"/>
              <w:right w:val="nil"/>
            </w:tcBorders>
            <w:shd w:val="clear" w:color="auto" w:fill="auto"/>
            <w:noWrap/>
            <w:vAlign w:val="bottom"/>
            <w:hideMark/>
          </w:tcPr>
          <w:p w14:paraId="10ABD49D"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46.4</w:t>
            </w:r>
          </w:p>
        </w:tc>
        <w:tc>
          <w:tcPr>
            <w:tcW w:w="744" w:type="dxa"/>
            <w:tcBorders>
              <w:top w:val="nil"/>
              <w:left w:val="single" w:sz="8" w:space="0" w:color="auto"/>
              <w:bottom w:val="nil"/>
              <w:right w:val="single" w:sz="8" w:space="0" w:color="auto"/>
            </w:tcBorders>
            <w:shd w:val="clear" w:color="auto" w:fill="auto"/>
            <w:noWrap/>
            <w:vAlign w:val="bottom"/>
            <w:hideMark/>
          </w:tcPr>
          <w:p w14:paraId="2B08561D"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46.6</w:t>
            </w:r>
          </w:p>
        </w:tc>
        <w:tc>
          <w:tcPr>
            <w:tcW w:w="744" w:type="dxa"/>
            <w:tcBorders>
              <w:top w:val="nil"/>
              <w:left w:val="nil"/>
              <w:bottom w:val="nil"/>
              <w:right w:val="nil"/>
            </w:tcBorders>
            <w:shd w:val="clear" w:color="auto" w:fill="auto"/>
            <w:noWrap/>
            <w:vAlign w:val="bottom"/>
            <w:hideMark/>
          </w:tcPr>
          <w:p w14:paraId="79DC7085"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47.1</w:t>
            </w:r>
          </w:p>
        </w:tc>
        <w:tc>
          <w:tcPr>
            <w:tcW w:w="744" w:type="dxa"/>
            <w:tcBorders>
              <w:top w:val="nil"/>
              <w:left w:val="single" w:sz="8" w:space="0" w:color="auto"/>
              <w:bottom w:val="nil"/>
              <w:right w:val="single" w:sz="8" w:space="0" w:color="auto"/>
            </w:tcBorders>
            <w:shd w:val="clear" w:color="auto" w:fill="auto"/>
            <w:noWrap/>
            <w:vAlign w:val="bottom"/>
            <w:hideMark/>
          </w:tcPr>
          <w:p w14:paraId="18D5A44A"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46.1</w:t>
            </w:r>
          </w:p>
        </w:tc>
        <w:tc>
          <w:tcPr>
            <w:tcW w:w="744" w:type="dxa"/>
            <w:tcBorders>
              <w:top w:val="nil"/>
              <w:left w:val="nil"/>
              <w:bottom w:val="nil"/>
              <w:right w:val="nil"/>
            </w:tcBorders>
            <w:shd w:val="clear" w:color="auto" w:fill="auto"/>
            <w:noWrap/>
            <w:vAlign w:val="bottom"/>
            <w:hideMark/>
          </w:tcPr>
          <w:p w14:paraId="570C7C07"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46.6</w:t>
            </w:r>
          </w:p>
        </w:tc>
        <w:tc>
          <w:tcPr>
            <w:tcW w:w="744" w:type="dxa"/>
            <w:tcBorders>
              <w:top w:val="nil"/>
              <w:left w:val="single" w:sz="8" w:space="0" w:color="auto"/>
              <w:bottom w:val="nil"/>
              <w:right w:val="single" w:sz="8" w:space="0" w:color="auto"/>
            </w:tcBorders>
            <w:shd w:val="clear" w:color="auto" w:fill="auto"/>
            <w:noWrap/>
            <w:vAlign w:val="bottom"/>
            <w:hideMark/>
          </w:tcPr>
          <w:p w14:paraId="14FF0DE2"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45.3</w:t>
            </w:r>
          </w:p>
        </w:tc>
        <w:tc>
          <w:tcPr>
            <w:tcW w:w="744" w:type="dxa"/>
            <w:tcBorders>
              <w:top w:val="nil"/>
              <w:left w:val="nil"/>
              <w:bottom w:val="nil"/>
              <w:right w:val="single" w:sz="8" w:space="0" w:color="auto"/>
            </w:tcBorders>
            <w:shd w:val="clear" w:color="auto" w:fill="auto"/>
            <w:noWrap/>
            <w:vAlign w:val="bottom"/>
            <w:hideMark/>
          </w:tcPr>
          <w:p w14:paraId="17C45BD0"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44.8</w:t>
            </w:r>
          </w:p>
        </w:tc>
        <w:tc>
          <w:tcPr>
            <w:tcW w:w="744" w:type="dxa"/>
            <w:tcBorders>
              <w:top w:val="nil"/>
              <w:left w:val="nil"/>
              <w:bottom w:val="nil"/>
              <w:right w:val="single" w:sz="8" w:space="0" w:color="auto"/>
            </w:tcBorders>
            <w:shd w:val="clear" w:color="auto" w:fill="auto"/>
            <w:noWrap/>
            <w:vAlign w:val="bottom"/>
            <w:hideMark/>
          </w:tcPr>
          <w:p w14:paraId="630303B1"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45.7</w:t>
            </w:r>
          </w:p>
        </w:tc>
        <w:tc>
          <w:tcPr>
            <w:tcW w:w="744" w:type="dxa"/>
            <w:tcBorders>
              <w:top w:val="nil"/>
              <w:left w:val="nil"/>
              <w:bottom w:val="nil"/>
              <w:right w:val="single" w:sz="8" w:space="0" w:color="auto"/>
            </w:tcBorders>
            <w:shd w:val="clear" w:color="auto" w:fill="auto"/>
            <w:noWrap/>
            <w:vAlign w:val="bottom"/>
            <w:hideMark/>
          </w:tcPr>
          <w:p w14:paraId="05B181EF"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45.8</w:t>
            </w:r>
          </w:p>
        </w:tc>
        <w:tc>
          <w:tcPr>
            <w:tcW w:w="744" w:type="dxa"/>
            <w:tcBorders>
              <w:top w:val="nil"/>
              <w:left w:val="nil"/>
              <w:bottom w:val="nil"/>
              <w:right w:val="single" w:sz="8" w:space="0" w:color="auto"/>
            </w:tcBorders>
            <w:shd w:val="clear" w:color="auto" w:fill="auto"/>
            <w:noWrap/>
            <w:vAlign w:val="bottom"/>
            <w:hideMark/>
          </w:tcPr>
          <w:p w14:paraId="05D25F22"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45.9</w:t>
            </w:r>
          </w:p>
        </w:tc>
      </w:tr>
      <w:tr w:rsidR="00D33F7C" w:rsidRPr="00AF27AC" w14:paraId="7CDCED65" w14:textId="77777777" w:rsidTr="00E213CE">
        <w:trPr>
          <w:trHeight w:val="272"/>
        </w:trPr>
        <w:tc>
          <w:tcPr>
            <w:tcW w:w="1551" w:type="dxa"/>
            <w:tcBorders>
              <w:top w:val="nil"/>
              <w:left w:val="single" w:sz="8" w:space="0" w:color="auto"/>
              <w:bottom w:val="nil"/>
              <w:right w:val="nil"/>
            </w:tcBorders>
            <w:shd w:val="clear" w:color="auto" w:fill="auto"/>
            <w:noWrap/>
            <w:vAlign w:val="center"/>
            <w:hideMark/>
          </w:tcPr>
          <w:p w14:paraId="5551CC80" w14:textId="77777777" w:rsidR="00D33F7C" w:rsidRPr="00AF27AC" w:rsidRDefault="00D33F7C" w:rsidP="00E213CE">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Australia</w:t>
            </w:r>
          </w:p>
        </w:tc>
        <w:tc>
          <w:tcPr>
            <w:tcW w:w="744" w:type="dxa"/>
            <w:tcBorders>
              <w:top w:val="nil"/>
              <w:left w:val="single" w:sz="8" w:space="0" w:color="auto"/>
              <w:bottom w:val="nil"/>
              <w:right w:val="nil"/>
            </w:tcBorders>
            <w:shd w:val="clear" w:color="auto" w:fill="auto"/>
            <w:noWrap/>
            <w:vAlign w:val="center"/>
            <w:hideMark/>
          </w:tcPr>
          <w:p w14:paraId="3E1F3439"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43</w:t>
            </w:r>
          </w:p>
        </w:tc>
        <w:tc>
          <w:tcPr>
            <w:tcW w:w="744" w:type="dxa"/>
            <w:tcBorders>
              <w:top w:val="nil"/>
              <w:left w:val="single" w:sz="8" w:space="0" w:color="auto"/>
              <w:bottom w:val="nil"/>
              <w:right w:val="single" w:sz="8" w:space="0" w:color="auto"/>
            </w:tcBorders>
            <w:shd w:val="clear" w:color="auto" w:fill="auto"/>
            <w:noWrap/>
            <w:vAlign w:val="bottom"/>
            <w:hideMark/>
          </w:tcPr>
          <w:p w14:paraId="4E2353DC"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43.8</w:t>
            </w:r>
          </w:p>
        </w:tc>
        <w:tc>
          <w:tcPr>
            <w:tcW w:w="744" w:type="dxa"/>
            <w:tcBorders>
              <w:top w:val="nil"/>
              <w:left w:val="nil"/>
              <w:bottom w:val="nil"/>
              <w:right w:val="nil"/>
            </w:tcBorders>
            <w:shd w:val="clear" w:color="auto" w:fill="auto"/>
            <w:noWrap/>
            <w:vAlign w:val="bottom"/>
            <w:hideMark/>
          </w:tcPr>
          <w:p w14:paraId="3C550101"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42.9</w:t>
            </w:r>
          </w:p>
        </w:tc>
        <w:tc>
          <w:tcPr>
            <w:tcW w:w="744" w:type="dxa"/>
            <w:tcBorders>
              <w:top w:val="nil"/>
              <w:left w:val="single" w:sz="8" w:space="0" w:color="auto"/>
              <w:bottom w:val="nil"/>
              <w:right w:val="single" w:sz="8" w:space="0" w:color="auto"/>
            </w:tcBorders>
            <w:shd w:val="clear" w:color="auto" w:fill="auto"/>
            <w:noWrap/>
            <w:vAlign w:val="bottom"/>
            <w:hideMark/>
          </w:tcPr>
          <w:p w14:paraId="2414544A"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39.3</w:t>
            </w:r>
          </w:p>
        </w:tc>
        <w:tc>
          <w:tcPr>
            <w:tcW w:w="744" w:type="dxa"/>
            <w:tcBorders>
              <w:top w:val="nil"/>
              <w:left w:val="nil"/>
              <w:bottom w:val="nil"/>
              <w:right w:val="nil"/>
            </w:tcBorders>
            <w:shd w:val="clear" w:color="auto" w:fill="auto"/>
            <w:noWrap/>
            <w:vAlign w:val="bottom"/>
            <w:hideMark/>
          </w:tcPr>
          <w:p w14:paraId="3AF254F4"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39.5</w:t>
            </w:r>
          </w:p>
        </w:tc>
        <w:tc>
          <w:tcPr>
            <w:tcW w:w="744" w:type="dxa"/>
            <w:tcBorders>
              <w:top w:val="nil"/>
              <w:left w:val="single" w:sz="8" w:space="0" w:color="auto"/>
              <w:bottom w:val="nil"/>
              <w:right w:val="single" w:sz="8" w:space="0" w:color="auto"/>
            </w:tcBorders>
            <w:shd w:val="clear" w:color="auto" w:fill="auto"/>
            <w:noWrap/>
            <w:vAlign w:val="bottom"/>
            <w:hideMark/>
          </w:tcPr>
          <w:p w14:paraId="7DB1E5B6"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40.6</w:t>
            </w:r>
          </w:p>
        </w:tc>
        <w:tc>
          <w:tcPr>
            <w:tcW w:w="744" w:type="dxa"/>
            <w:tcBorders>
              <w:top w:val="nil"/>
              <w:left w:val="nil"/>
              <w:bottom w:val="nil"/>
              <w:right w:val="nil"/>
            </w:tcBorders>
            <w:shd w:val="clear" w:color="auto" w:fill="auto"/>
            <w:noWrap/>
            <w:vAlign w:val="bottom"/>
            <w:hideMark/>
          </w:tcPr>
          <w:p w14:paraId="2CC6657D"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39.8</w:t>
            </w:r>
          </w:p>
        </w:tc>
        <w:tc>
          <w:tcPr>
            <w:tcW w:w="744" w:type="dxa"/>
            <w:tcBorders>
              <w:top w:val="nil"/>
              <w:left w:val="single" w:sz="8" w:space="0" w:color="auto"/>
              <w:bottom w:val="nil"/>
              <w:right w:val="single" w:sz="8" w:space="0" w:color="auto"/>
            </w:tcBorders>
            <w:shd w:val="clear" w:color="auto" w:fill="auto"/>
            <w:noWrap/>
            <w:vAlign w:val="bottom"/>
            <w:hideMark/>
          </w:tcPr>
          <w:p w14:paraId="52303551"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41</w:t>
            </w:r>
          </w:p>
        </w:tc>
        <w:tc>
          <w:tcPr>
            <w:tcW w:w="744" w:type="dxa"/>
            <w:tcBorders>
              <w:top w:val="nil"/>
              <w:left w:val="nil"/>
              <w:bottom w:val="nil"/>
              <w:right w:val="single" w:sz="8" w:space="0" w:color="auto"/>
            </w:tcBorders>
            <w:shd w:val="clear" w:color="auto" w:fill="auto"/>
            <w:noWrap/>
            <w:vAlign w:val="bottom"/>
            <w:hideMark/>
          </w:tcPr>
          <w:p w14:paraId="1E7A3427"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40.5</w:t>
            </w:r>
          </w:p>
        </w:tc>
        <w:tc>
          <w:tcPr>
            <w:tcW w:w="744" w:type="dxa"/>
            <w:tcBorders>
              <w:top w:val="nil"/>
              <w:left w:val="nil"/>
              <w:bottom w:val="nil"/>
              <w:right w:val="single" w:sz="8" w:space="0" w:color="auto"/>
            </w:tcBorders>
            <w:shd w:val="clear" w:color="auto" w:fill="auto"/>
            <w:noWrap/>
            <w:vAlign w:val="bottom"/>
            <w:hideMark/>
          </w:tcPr>
          <w:p w14:paraId="512F79D5"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41.3</w:t>
            </w:r>
          </w:p>
        </w:tc>
        <w:tc>
          <w:tcPr>
            <w:tcW w:w="744" w:type="dxa"/>
            <w:tcBorders>
              <w:top w:val="nil"/>
              <w:left w:val="nil"/>
              <w:bottom w:val="nil"/>
              <w:right w:val="single" w:sz="8" w:space="0" w:color="auto"/>
            </w:tcBorders>
            <w:shd w:val="clear" w:color="auto" w:fill="auto"/>
            <w:noWrap/>
            <w:vAlign w:val="bottom"/>
            <w:hideMark/>
          </w:tcPr>
          <w:p w14:paraId="2561CD07"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42.9</w:t>
            </w:r>
          </w:p>
        </w:tc>
        <w:tc>
          <w:tcPr>
            <w:tcW w:w="744" w:type="dxa"/>
            <w:tcBorders>
              <w:top w:val="nil"/>
              <w:left w:val="nil"/>
              <w:bottom w:val="nil"/>
              <w:right w:val="single" w:sz="8" w:space="0" w:color="auto"/>
            </w:tcBorders>
            <w:shd w:val="clear" w:color="auto" w:fill="auto"/>
            <w:noWrap/>
            <w:vAlign w:val="bottom"/>
            <w:hideMark/>
          </w:tcPr>
          <w:p w14:paraId="3403478E"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45.4</w:t>
            </w:r>
          </w:p>
        </w:tc>
      </w:tr>
      <w:tr w:rsidR="00D33F7C" w:rsidRPr="00AF27AC" w14:paraId="4A44D4BC" w14:textId="77777777" w:rsidTr="00E213CE">
        <w:trPr>
          <w:trHeight w:val="272"/>
        </w:trPr>
        <w:tc>
          <w:tcPr>
            <w:tcW w:w="1551" w:type="dxa"/>
            <w:tcBorders>
              <w:top w:val="nil"/>
              <w:left w:val="single" w:sz="8" w:space="0" w:color="auto"/>
              <w:bottom w:val="nil"/>
              <w:right w:val="nil"/>
            </w:tcBorders>
            <w:shd w:val="clear" w:color="auto" w:fill="auto"/>
            <w:noWrap/>
            <w:vAlign w:val="center"/>
            <w:hideMark/>
          </w:tcPr>
          <w:p w14:paraId="428C4197" w14:textId="77777777" w:rsidR="00D33F7C" w:rsidRPr="00AF27AC" w:rsidRDefault="00D33F7C" w:rsidP="00E213CE">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Sweden</w:t>
            </w:r>
          </w:p>
        </w:tc>
        <w:tc>
          <w:tcPr>
            <w:tcW w:w="744" w:type="dxa"/>
            <w:tcBorders>
              <w:top w:val="nil"/>
              <w:left w:val="single" w:sz="8" w:space="0" w:color="auto"/>
              <w:bottom w:val="nil"/>
              <w:right w:val="nil"/>
            </w:tcBorders>
            <w:shd w:val="clear" w:color="auto" w:fill="auto"/>
            <w:noWrap/>
            <w:vAlign w:val="center"/>
            <w:hideMark/>
          </w:tcPr>
          <w:p w14:paraId="19BD081D"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39.1</w:t>
            </w:r>
          </w:p>
        </w:tc>
        <w:tc>
          <w:tcPr>
            <w:tcW w:w="744" w:type="dxa"/>
            <w:tcBorders>
              <w:top w:val="nil"/>
              <w:left w:val="single" w:sz="8" w:space="0" w:color="auto"/>
              <w:bottom w:val="nil"/>
              <w:right w:val="single" w:sz="8" w:space="0" w:color="auto"/>
            </w:tcBorders>
            <w:shd w:val="clear" w:color="auto" w:fill="auto"/>
            <w:noWrap/>
            <w:vAlign w:val="bottom"/>
            <w:hideMark/>
          </w:tcPr>
          <w:p w14:paraId="03ECF43D"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40</w:t>
            </w:r>
          </w:p>
        </w:tc>
        <w:tc>
          <w:tcPr>
            <w:tcW w:w="744" w:type="dxa"/>
            <w:tcBorders>
              <w:top w:val="nil"/>
              <w:left w:val="nil"/>
              <w:bottom w:val="nil"/>
              <w:right w:val="nil"/>
            </w:tcBorders>
            <w:shd w:val="clear" w:color="auto" w:fill="auto"/>
            <w:noWrap/>
            <w:vAlign w:val="bottom"/>
            <w:hideMark/>
          </w:tcPr>
          <w:p w14:paraId="34628860"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38.3</w:t>
            </w:r>
          </w:p>
        </w:tc>
        <w:tc>
          <w:tcPr>
            <w:tcW w:w="744" w:type="dxa"/>
            <w:tcBorders>
              <w:top w:val="nil"/>
              <w:left w:val="single" w:sz="8" w:space="0" w:color="auto"/>
              <w:bottom w:val="nil"/>
              <w:right w:val="single" w:sz="8" w:space="0" w:color="auto"/>
            </w:tcBorders>
            <w:shd w:val="clear" w:color="auto" w:fill="auto"/>
            <w:noWrap/>
            <w:vAlign w:val="bottom"/>
            <w:hideMark/>
          </w:tcPr>
          <w:p w14:paraId="431697E7"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38.2</w:t>
            </w:r>
          </w:p>
        </w:tc>
        <w:tc>
          <w:tcPr>
            <w:tcW w:w="744" w:type="dxa"/>
            <w:tcBorders>
              <w:top w:val="nil"/>
              <w:left w:val="nil"/>
              <w:bottom w:val="nil"/>
              <w:right w:val="nil"/>
            </w:tcBorders>
            <w:shd w:val="clear" w:color="auto" w:fill="auto"/>
            <w:noWrap/>
            <w:vAlign w:val="bottom"/>
            <w:hideMark/>
          </w:tcPr>
          <w:p w14:paraId="54CE4844"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37.7</w:t>
            </w:r>
          </w:p>
        </w:tc>
        <w:tc>
          <w:tcPr>
            <w:tcW w:w="744" w:type="dxa"/>
            <w:tcBorders>
              <w:top w:val="nil"/>
              <w:left w:val="single" w:sz="8" w:space="0" w:color="auto"/>
              <w:bottom w:val="nil"/>
              <w:right w:val="single" w:sz="8" w:space="0" w:color="auto"/>
            </w:tcBorders>
            <w:shd w:val="clear" w:color="auto" w:fill="auto"/>
            <w:noWrap/>
            <w:vAlign w:val="bottom"/>
            <w:hideMark/>
          </w:tcPr>
          <w:p w14:paraId="08B74042"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37.7</w:t>
            </w:r>
          </w:p>
        </w:tc>
        <w:tc>
          <w:tcPr>
            <w:tcW w:w="744" w:type="dxa"/>
            <w:tcBorders>
              <w:top w:val="nil"/>
              <w:left w:val="nil"/>
              <w:bottom w:val="nil"/>
              <w:right w:val="nil"/>
            </w:tcBorders>
            <w:shd w:val="clear" w:color="auto" w:fill="auto"/>
            <w:noWrap/>
            <w:vAlign w:val="bottom"/>
            <w:hideMark/>
          </w:tcPr>
          <w:p w14:paraId="7928D880"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40.3</w:t>
            </w:r>
          </w:p>
        </w:tc>
        <w:tc>
          <w:tcPr>
            <w:tcW w:w="744" w:type="dxa"/>
            <w:tcBorders>
              <w:top w:val="nil"/>
              <w:left w:val="single" w:sz="8" w:space="0" w:color="auto"/>
              <w:bottom w:val="nil"/>
              <w:right w:val="single" w:sz="8" w:space="0" w:color="auto"/>
            </w:tcBorders>
            <w:shd w:val="clear" w:color="auto" w:fill="auto"/>
            <w:noWrap/>
            <w:vAlign w:val="bottom"/>
            <w:hideMark/>
          </w:tcPr>
          <w:p w14:paraId="2F068D01"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42.2</w:t>
            </w:r>
          </w:p>
        </w:tc>
        <w:tc>
          <w:tcPr>
            <w:tcW w:w="744" w:type="dxa"/>
            <w:tcBorders>
              <w:top w:val="nil"/>
              <w:left w:val="nil"/>
              <w:bottom w:val="nil"/>
              <w:right w:val="single" w:sz="8" w:space="0" w:color="auto"/>
            </w:tcBorders>
            <w:shd w:val="clear" w:color="auto" w:fill="auto"/>
            <w:noWrap/>
            <w:vAlign w:val="bottom"/>
            <w:hideMark/>
          </w:tcPr>
          <w:p w14:paraId="295C256C"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40.8</w:t>
            </w:r>
          </w:p>
        </w:tc>
        <w:tc>
          <w:tcPr>
            <w:tcW w:w="744" w:type="dxa"/>
            <w:tcBorders>
              <w:top w:val="nil"/>
              <w:left w:val="nil"/>
              <w:bottom w:val="nil"/>
              <w:right w:val="single" w:sz="8" w:space="0" w:color="auto"/>
            </w:tcBorders>
            <w:shd w:val="clear" w:color="auto" w:fill="auto"/>
            <w:noWrap/>
            <w:vAlign w:val="bottom"/>
            <w:hideMark/>
          </w:tcPr>
          <w:p w14:paraId="4F1473B4"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40</w:t>
            </w:r>
          </w:p>
        </w:tc>
        <w:tc>
          <w:tcPr>
            <w:tcW w:w="744" w:type="dxa"/>
            <w:tcBorders>
              <w:top w:val="nil"/>
              <w:left w:val="nil"/>
              <w:bottom w:val="nil"/>
              <w:right w:val="single" w:sz="8" w:space="0" w:color="auto"/>
            </w:tcBorders>
            <w:shd w:val="clear" w:color="auto" w:fill="auto"/>
            <w:noWrap/>
            <w:vAlign w:val="bottom"/>
            <w:hideMark/>
          </w:tcPr>
          <w:p w14:paraId="5EA7A791"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41.3</w:t>
            </w:r>
          </w:p>
        </w:tc>
        <w:tc>
          <w:tcPr>
            <w:tcW w:w="744" w:type="dxa"/>
            <w:tcBorders>
              <w:top w:val="nil"/>
              <w:left w:val="nil"/>
              <w:bottom w:val="nil"/>
              <w:right w:val="single" w:sz="8" w:space="0" w:color="auto"/>
            </w:tcBorders>
            <w:shd w:val="clear" w:color="auto" w:fill="auto"/>
            <w:noWrap/>
            <w:vAlign w:val="bottom"/>
            <w:hideMark/>
          </w:tcPr>
          <w:p w14:paraId="60D44415"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43</w:t>
            </w:r>
          </w:p>
        </w:tc>
      </w:tr>
      <w:tr w:rsidR="00D33F7C" w:rsidRPr="00AF27AC" w14:paraId="705B85D1" w14:textId="77777777" w:rsidTr="00E213CE">
        <w:trPr>
          <w:trHeight w:val="272"/>
        </w:trPr>
        <w:tc>
          <w:tcPr>
            <w:tcW w:w="1551" w:type="dxa"/>
            <w:tcBorders>
              <w:top w:val="nil"/>
              <w:left w:val="single" w:sz="8" w:space="0" w:color="auto"/>
              <w:bottom w:val="nil"/>
              <w:right w:val="nil"/>
            </w:tcBorders>
            <w:shd w:val="clear" w:color="auto" w:fill="auto"/>
            <w:noWrap/>
            <w:vAlign w:val="center"/>
            <w:hideMark/>
          </w:tcPr>
          <w:p w14:paraId="4DA21AD8" w14:textId="77777777" w:rsidR="00D33F7C" w:rsidRPr="00AF27AC" w:rsidRDefault="00D33F7C" w:rsidP="00E213CE">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Chile</w:t>
            </w:r>
          </w:p>
        </w:tc>
        <w:tc>
          <w:tcPr>
            <w:tcW w:w="744" w:type="dxa"/>
            <w:tcBorders>
              <w:top w:val="nil"/>
              <w:left w:val="single" w:sz="8" w:space="0" w:color="auto"/>
              <w:bottom w:val="nil"/>
              <w:right w:val="nil"/>
            </w:tcBorders>
            <w:shd w:val="clear" w:color="auto" w:fill="auto"/>
            <w:noWrap/>
            <w:vAlign w:val="center"/>
            <w:hideMark/>
          </w:tcPr>
          <w:p w14:paraId="5EECB58C"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29.8</w:t>
            </w:r>
          </w:p>
        </w:tc>
        <w:tc>
          <w:tcPr>
            <w:tcW w:w="744" w:type="dxa"/>
            <w:tcBorders>
              <w:top w:val="nil"/>
              <w:left w:val="single" w:sz="8" w:space="0" w:color="auto"/>
              <w:bottom w:val="nil"/>
              <w:right w:val="single" w:sz="8" w:space="0" w:color="auto"/>
            </w:tcBorders>
            <w:shd w:val="clear" w:color="auto" w:fill="auto"/>
            <w:noWrap/>
            <w:vAlign w:val="bottom"/>
            <w:hideMark/>
          </w:tcPr>
          <w:p w14:paraId="39FD96F9"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30.1</w:t>
            </w:r>
          </w:p>
        </w:tc>
        <w:tc>
          <w:tcPr>
            <w:tcW w:w="744" w:type="dxa"/>
            <w:tcBorders>
              <w:top w:val="nil"/>
              <w:left w:val="nil"/>
              <w:bottom w:val="nil"/>
              <w:right w:val="nil"/>
            </w:tcBorders>
            <w:shd w:val="clear" w:color="auto" w:fill="auto"/>
            <w:noWrap/>
            <w:vAlign w:val="bottom"/>
            <w:hideMark/>
          </w:tcPr>
          <w:p w14:paraId="5095A380"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29.4</w:t>
            </w:r>
          </w:p>
        </w:tc>
        <w:tc>
          <w:tcPr>
            <w:tcW w:w="744" w:type="dxa"/>
            <w:tcBorders>
              <w:top w:val="nil"/>
              <w:left w:val="single" w:sz="8" w:space="0" w:color="auto"/>
              <w:bottom w:val="nil"/>
              <w:right w:val="single" w:sz="8" w:space="0" w:color="auto"/>
            </w:tcBorders>
            <w:shd w:val="clear" w:color="auto" w:fill="auto"/>
            <w:noWrap/>
            <w:vAlign w:val="bottom"/>
            <w:hideMark/>
          </w:tcPr>
          <w:p w14:paraId="17AE4590"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29.4</w:t>
            </w:r>
          </w:p>
        </w:tc>
        <w:tc>
          <w:tcPr>
            <w:tcW w:w="744" w:type="dxa"/>
            <w:tcBorders>
              <w:top w:val="nil"/>
              <w:left w:val="nil"/>
              <w:bottom w:val="nil"/>
              <w:right w:val="nil"/>
            </w:tcBorders>
            <w:shd w:val="clear" w:color="auto" w:fill="auto"/>
            <w:noWrap/>
            <w:vAlign w:val="bottom"/>
            <w:hideMark/>
          </w:tcPr>
          <w:p w14:paraId="13AF538C"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29.1</w:t>
            </w:r>
          </w:p>
        </w:tc>
        <w:tc>
          <w:tcPr>
            <w:tcW w:w="744" w:type="dxa"/>
            <w:tcBorders>
              <w:top w:val="nil"/>
              <w:left w:val="single" w:sz="8" w:space="0" w:color="auto"/>
              <w:bottom w:val="nil"/>
              <w:right w:val="single" w:sz="8" w:space="0" w:color="auto"/>
            </w:tcBorders>
            <w:shd w:val="clear" w:color="auto" w:fill="auto"/>
            <w:noWrap/>
            <w:vAlign w:val="bottom"/>
            <w:hideMark/>
          </w:tcPr>
          <w:p w14:paraId="4824D81B"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27.7</w:t>
            </w:r>
          </w:p>
        </w:tc>
        <w:tc>
          <w:tcPr>
            <w:tcW w:w="744" w:type="dxa"/>
            <w:tcBorders>
              <w:top w:val="nil"/>
              <w:left w:val="nil"/>
              <w:bottom w:val="nil"/>
              <w:right w:val="nil"/>
            </w:tcBorders>
            <w:shd w:val="clear" w:color="auto" w:fill="auto"/>
            <w:noWrap/>
            <w:vAlign w:val="bottom"/>
            <w:hideMark/>
          </w:tcPr>
          <w:p w14:paraId="48837121"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27.3</w:t>
            </w:r>
          </w:p>
        </w:tc>
        <w:tc>
          <w:tcPr>
            <w:tcW w:w="744" w:type="dxa"/>
            <w:tcBorders>
              <w:top w:val="nil"/>
              <w:left w:val="single" w:sz="8" w:space="0" w:color="auto"/>
              <w:bottom w:val="nil"/>
              <w:right w:val="single" w:sz="8" w:space="0" w:color="auto"/>
            </w:tcBorders>
            <w:shd w:val="clear" w:color="auto" w:fill="auto"/>
            <w:noWrap/>
            <w:vAlign w:val="bottom"/>
            <w:hideMark/>
          </w:tcPr>
          <w:p w14:paraId="7597D959"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30.1</w:t>
            </w:r>
          </w:p>
        </w:tc>
        <w:tc>
          <w:tcPr>
            <w:tcW w:w="744" w:type="dxa"/>
            <w:tcBorders>
              <w:top w:val="nil"/>
              <w:left w:val="nil"/>
              <w:bottom w:val="nil"/>
              <w:right w:val="single" w:sz="8" w:space="0" w:color="auto"/>
            </w:tcBorders>
            <w:shd w:val="clear" w:color="auto" w:fill="auto"/>
            <w:noWrap/>
            <w:vAlign w:val="bottom"/>
            <w:hideMark/>
          </w:tcPr>
          <w:p w14:paraId="5D7A2DC8"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38.2</w:t>
            </w:r>
          </w:p>
        </w:tc>
        <w:tc>
          <w:tcPr>
            <w:tcW w:w="744" w:type="dxa"/>
            <w:tcBorders>
              <w:top w:val="nil"/>
              <w:left w:val="nil"/>
              <w:bottom w:val="nil"/>
              <w:right w:val="single" w:sz="8" w:space="0" w:color="auto"/>
            </w:tcBorders>
            <w:shd w:val="clear" w:color="auto" w:fill="auto"/>
            <w:noWrap/>
            <w:vAlign w:val="bottom"/>
            <w:hideMark/>
          </w:tcPr>
          <w:p w14:paraId="333B34A3"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38.3</w:t>
            </w:r>
          </w:p>
        </w:tc>
        <w:tc>
          <w:tcPr>
            <w:tcW w:w="744" w:type="dxa"/>
            <w:tcBorders>
              <w:top w:val="nil"/>
              <w:left w:val="nil"/>
              <w:bottom w:val="nil"/>
              <w:right w:val="single" w:sz="8" w:space="0" w:color="auto"/>
            </w:tcBorders>
            <w:shd w:val="clear" w:color="auto" w:fill="auto"/>
            <w:noWrap/>
            <w:vAlign w:val="bottom"/>
            <w:hideMark/>
          </w:tcPr>
          <w:p w14:paraId="015F2909"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38</w:t>
            </w:r>
          </w:p>
        </w:tc>
        <w:tc>
          <w:tcPr>
            <w:tcW w:w="744" w:type="dxa"/>
            <w:tcBorders>
              <w:top w:val="nil"/>
              <w:left w:val="nil"/>
              <w:bottom w:val="nil"/>
              <w:right w:val="single" w:sz="8" w:space="0" w:color="auto"/>
            </w:tcBorders>
            <w:shd w:val="clear" w:color="auto" w:fill="auto"/>
            <w:noWrap/>
            <w:vAlign w:val="bottom"/>
            <w:hideMark/>
          </w:tcPr>
          <w:p w14:paraId="3AB5ED40"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39.4</w:t>
            </w:r>
          </w:p>
        </w:tc>
      </w:tr>
      <w:tr w:rsidR="00D33F7C" w:rsidRPr="00AF27AC" w14:paraId="72BAEC25" w14:textId="77777777" w:rsidTr="00E213CE">
        <w:trPr>
          <w:trHeight w:val="272"/>
        </w:trPr>
        <w:tc>
          <w:tcPr>
            <w:tcW w:w="1551" w:type="dxa"/>
            <w:tcBorders>
              <w:top w:val="nil"/>
              <w:left w:val="single" w:sz="8" w:space="0" w:color="auto"/>
              <w:bottom w:val="nil"/>
              <w:right w:val="nil"/>
            </w:tcBorders>
            <w:shd w:val="clear" w:color="auto" w:fill="auto"/>
            <w:noWrap/>
            <w:vAlign w:val="center"/>
            <w:hideMark/>
          </w:tcPr>
          <w:p w14:paraId="022998DE" w14:textId="77777777" w:rsidR="00D33F7C" w:rsidRPr="00AF27AC" w:rsidRDefault="00D33F7C" w:rsidP="00E213CE">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Vietnam</w:t>
            </w:r>
          </w:p>
        </w:tc>
        <w:tc>
          <w:tcPr>
            <w:tcW w:w="744" w:type="dxa"/>
            <w:tcBorders>
              <w:top w:val="nil"/>
              <w:left w:val="single" w:sz="8" w:space="0" w:color="auto"/>
              <w:bottom w:val="nil"/>
              <w:right w:val="nil"/>
            </w:tcBorders>
            <w:shd w:val="clear" w:color="auto" w:fill="auto"/>
            <w:noWrap/>
            <w:vAlign w:val="center"/>
            <w:hideMark/>
          </w:tcPr>
          <w:p w14:paraId="10DA2C88"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30.3</w:t>
            </w:r>
          </w:p>
        </w:tc>
        <w:tc>
          <w:tcPr>
            <w:tcW w:w="744" w:type="dxa"/>
            <w:tcBorders>
              <w:top w:val="nil"/>
              <w:left w:val="single" w:sz="8" w:space="0" w:color="auto"/>
              <w:bottom w:val="nil"/>
              <w:right w:val="single" w:sz="8" w:space="0" w:color="auto"/>
            </w:tcBorders>
            <w:shd w:val="clear" w:color="auto" w:fill="auto"/>
            <w:noWrap/>
            <w:vAlign w:val="bottom"/>
            <w:hideMark/>
          </w:tcPr>
          <w:p w14:paraId="1CEB1382"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29.9</w:t>
            </w:r>
          </w:p>
        </w:tc>
        <w:tc>
          <w:tcPr>
            <w:tcW w:w="744" w:type="dxa"/>
            <w:tcBorders>
              <w:top w:val="nil"/>
              <w:left w:val="nil"/>
              <w:bottom w:val="nil"/>
              <w:right w:val="nil"/>
            </w:tcBorders>
            <w:shd w:val="clear" w:color="auto" w:fill="auto"/>
            <w:noWrap/>
            <w:vAlign w:val="bottom"/>
            <w:hideMark/>
          </w:tcPr>
          <w:p w14:paraId="01583241"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30.1</w:t>
            </w:r>
          </w:p>
        </w:tc>
        <w:tc>
          <w:tcPr>
            <w:tcW w:w="744" w:type="dxa"/>
            <w:tcBorders>
              <w:top w:val="nil"/>
              <w:left w:val="single" w:sz="8" w:space="0" w:color="auto"/>
              <w:bottom w:val="nil"/>
              <w:right w:val="single" w:sz="8" w:space="0" w:color="auto"/>
            </w:tcBorders>
            <w:shd w:val="clear" w:color="auto" w:fill="auto"/>
            <w:noWrap/>
            <w:vAlign w:val="bottom"/>
            <w:hideMark/>
          </w:tcPr>
          <w:p w14:paraId="2F8C9ACA"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30.4</w:t>
            </w:r>
          </w:p>
        </w:tc>
        <w:tc>
          <w:tcPr>
            <w:tcW w:w="744" w:type="dxa"/>
            <w:tcBorders>
              <w:top w:val="nil"/>
              <w:left w:val="nil"/>
              <w:bottom w:val="nil"/>
              <w:right w:val="nil"/>
            </w:tcBorders>
            <w:shd w:val="clear" w:color="auto" w:fill="auto"/>
            <w:noWrap/>
            <w:vAlign w:val="bottom"/>
            <w:hideMark/>
          </w:tcPr>
          <w:p w14:paraId="401B138C"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32.6</w:t>
            </w:r>
          </w:p>
        </w:tc>
        <w:tc>
          <w:tcPr>
            <w:tcW w:w="744" w:type="dxa"/>
            <w:tcBorders>
              <w:top w:val="nil"/>
              <w:left w:val="single" w:sz="8" w:space="0" w:color="auto"/>
              <w:bottom w:val="nil"/>
              <w:right w:val="single" w:sz="8" w:space="0" w:color="auto"/>
            </w:tcBorders>
            <w:shd w:val="clear" w:color="auto" w:fill="auto"/>
            <w:noWrap/>
            <w:vAlign w:val="bottom"/>
            <w:hideMark/>
          </w:tcPr>
          <w:p w14:paraId="69C9B0DE"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31.9</w:t>
            </w:r>
          </w:p>
        </w:tc>
        <w:tc>
          <w:tcPr>
            <w:tcW w:w="744" w:type="dxa"/>
            <w:tcBorders>
              <w:top w:val="nil"/>
              <w:left w:val="nil"/>
              <w:bottom w:val="nil"/>
              <w:right w:val="nil"/>
            </w:tcBorders>
            <w:shd w:val="clear" w:color="auto" w:fill="auto"/>
            <w:noWrap/>
            <w:vAlign w:val="bottom"/>
            <w:hideMark/>
          </w:tcPr>
          <w:p w14:paraId="7993366C"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33.2</w:t>
            </w:r>
          </w:p>
        </w:tc>
        <w:tc>
          <w:tcPr>
            <w:tcW w:w="744" w:type="dxa"/>
            <w:tcBorders>
              <w:top w:val="nil"/>
              <w:left w:val="single" w:sz="8" w:space="0" w:color="auto"/>
              <w:bottom w:val="nil"/>
              <w:right w:val="single" w:sz="8" w:space="0" w:color="auto"/>
            </w:tcBorders>
            <w:shd w:val="clear" w:color="auto" w:fill="auto"/>
            <w:noWrap/>
            <w:vAlign w:val="bottom"/>
            <w:hideMark/>
          </w:tcPr>
          <w:p w14:paraId="1F9BBE27"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37.4</w:t>
            </w:r>
          </w:p>
        </w:tc>
        <w:tc>
          <w:tcPr>
            <w:tcW w:w="744" w:type="dxa"/>
            <w:tcBorders>
              <w:top w:val="nil"/>
              <w:left w:val="nil"/>
              <w:bottom w:val="nil"/>
              <w:right w:val="single" w:sz="8" w:space="0" w:color="auto"/>
            </w:tcBorders>
            <w:shd w:val="clear" w:color="auto" w:fill="auto"/>
            <w:noWrap/>
            <w:vAlign w:val="bottom"/>
            <w:hideMark/>
          </w:tcPr>
          <w:p w14:paraId="34DAADD1"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37.3</w:t>
            </w:r>
          </w:p>
        </w:tc>
        <w:tc>
          <w:tcPr>
            <w:tcW w:w="744" w:type="dxa"/>
            <w:tcBorders>
              <w:top w:val="nil"/>
              <w:left w:val="nil"/>
              <w:bottom w:val="nil"/>
              <w:right w:val="single" w:sz="8" w:space="0" w:color="auto"/>
            </w:tcBorders>
            <w:shd w:val="clear" w:color="auto" w:fill="auto"/>
            <w:noWrap/>
            <w:vAlign w:val="bottom"/>
            <w:hideMark/>
          </w:tcPr>
          <w:p w14:paraId="444B07FD"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37.8</w:t>
            </w:r>
          </w:p>
        </w:tc>
        <w:tc>
          <w:tcPr>
            <w:tcW w:w="744" w:type="dxa"/>
            <w:tcBorders>
              <w:top w:val="nil"/>
              <w:left w:val="nil"/>
              <w:bottom w:val="nil"/>
              <w:right w:val="single" w:sz="8" w:space="0" w:color="auto"/>
            </w:tcBorders>
            <w:shd w:val="clear" w:color="auto" w:fill="auto"/>
            <w:noWrap/>
            <w:vAlign w:val="bottom"/>
            <w:hideMark/>
          </w:tcPr>
          <w:p w14:paraId="0D7E3F51"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37.3</w:t>
            </w:r>
          </w:p>
        </w:tc>
        <w:tc>
          <w:tcPr>
            <w:tcW w:w="744" w:type="dxa"/>
            <w:tcBorders>
              <w:top w:val="nil"/>
              <w:left w:val="nil"/>
              <w:bottom w:val="nil"/>
              <w:right w:val="single" w:sz="8" w:space="0" w:color="auto"/>
            </w:tcBorders>
            <w:shd w:val="clear" w:color="auto" w:fill="auto"/>
            <w:noWrap/>
            <w:vAlign w:val="bottom"/>
            <w:hideMark/>
          </w:tcPr>
          <w:p w14:paraId="3F4FC810"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38.9</w:t>
            </w:r>
          </w:p>
        </w:tc>
      </w:tr>
      <w:tr w:rsidR="00D33F7C" w:rsidRPr="00AF27AC" w14:paraId="0BAF7F16" w14:textId="77777777" w:rsidTr="00E213CE">
        <w:trPr>
          <w:trHeight w:val="272"/>
        </w:trPr>
        <w:tc>
          <w:tcPr>
            <w:tcW w:w="1551" w:type="dxa"/>
            <w:tcBorders>
              <w:top w:val="nil"/>
              <w:left w:val="single" w:sz="8" w:space="0" w:color="auto"/>
              <w:bottom w:val="nil"/>
              <w:right w:val="nil"/>
            </w:tcBorders>
            <w:shd w:val="clear" w:color="auto" w:fill="auto"/>
            <w:noWrap/>
            <w:vAlign w:val="center"/>
            <w:hideMark/>
          </w:tcPr>
          <w:p w14:paraId="08023B96" w14:textId="77777777" w:rsidR="00D33F7C" w:rsidRPr="00AF27AC" w:rsidRDefault="00D33F7C" w:rsidP="00E213CE">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Italy</w:t>
            </w:r>
          </w:p>
        </w:tc>
        <w:tc>
          <w:tcPr>
            <w:tcW w:w="744" w:type="dxa"/>
            <w:tcBorders>
              <w:top w:val="nil"/>
              <w:left w:val="single" w:sz="8" w:space="0" w:color="auto"/>
              <w:bottom w:val="nil"/>
              <w:right w:val="nil"/>
            </w:tcBorders>
            <w:shd w:val="clear" w:color="auto" w:fill="auto"/>
            <w:noWrap/>
            <w:vAlign w:val="center"/>
            <w:hideMark/>
          </w:tcPr>
          <w:p w14:paraId="58B48B95"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42.4</w:t>
            </w:r>
          </w:p>
        </w:tc>
        <w:tc>
          <w:tcPr>
            <w:tcW w:w="744" w:type="dxa"/>
            <w:tcBorders>
              <w:top w:val="nil"/>
              <w:left w:val="single" w:sz="8" w:space="0" w:color="auto"/>
              <w:bottom w:val="nil"/>
              <w:right w:val="single" w:sz="8" w:space="0" w:color="auto"/>
            </w:tcBorders>
            <w:shd w:val="clear" w:color="auto" w:fill="auto"/>
            <w:noWrap/>
            <w:vAlign w:val="bottom"/>
            <w:hideMark/>
          </w:tcPr>
          <w:p w14:paraId="215BC5C5"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42.6</w:t>
            </w:r>
          </w:p>
        </w:tc>
        <w:tc>
          <w:tcPr>
            <w:tcW w:w="744" w:type="dxa"/>
            <w:tcBorders>
              <w:top w:val="nil"/>
              <w:left w:val="nil"/>
              <w:bottom w:val="nil"/>
              <w:right w:val="nil"/>
            </w:tcBorders>
            <w:shd w:val="clear" w:color="auto" w:fill="auto"/>
            <w:noWrap/>
            <w:vAlign w:val="bottom"/>
            <w:hideMark/>
          </w:tcPr>
          <w:p w14:paraId="58BEECF5"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43.5</w:t>
            </w:r>
          </w:p>
        </w:tc>
        <w:tc>
          <w:tcPr>
            <w:tcW w:w="744" w:type="dxa"/>
            <w:tcBorders>
              <w:top w:val="nil"/>
              <w:left w:val="single" w:sz="8" w:space="0" w:color="auto"/>
              <w:bottom w:val="nil"/>
              <w:right w:val="single" w:sz="8" w:space="0" w:color="auto"/>
            </w:tcBorders>
            <w:shd w:val="clear" w:color="auto" w:fill="auto"/>
            <w:noWrap/>
            <w:vAlign w:val="bottom"/>
            <w:hideMark/>
          </w:tcPr>
          <w:p w14:paraId="2F955D67"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44</w:t>
            </w:r>
          </w:p>
        </w:tc>
        <w:tc>
          <w:tcPr>
            <w:tcW w:w="744" w:type="dxa"/>
            <w:tcBorders>
              <w:top w:val="nil"/>
              <w:left w:val="nil"/>
              <w:bottom w:val="nil"/>
              <w:right w:val="nil"/>
            </w:tcBorders>
            <w:shd w:val="clear" w:color="auto" w:fill="auto"/>
            <w:noWrap/>
            <w:vAlign w:val="bottom"/>
            <w:hideMark/>
          </w:tcPr>
          <w:p w14:paraId="102D0F90"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44.2</w:t>
            </w:r>
          </w:p>
        </w:tc>
        <w:tc>
          <w:tcPr>
            <w:tcW w:w="744" w:type="dxa"/>
            <w:tcBorders>
              <w:top w:val="nil"/>
              <w:left w:val="single" w:sz="8" w:space="0" w:color="auto"/>
              <w:bottom w:val="nil"/>
              <w:right w:val="single" w:sz="8" w:space="0" w:color="auto"/>
            </w:tcBorders>
            <w:shd w:val="clear" w:color="auto" w:fill="auto"/>
            <w:noWrap/>
            <w:vAlign w:val="bottom"/>
            <w:hideMark/>
          </w:tcPr>
          <w:p w14:paraId="2BBAC44E"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41.3</w:t>
            </w:r>
          </w:p>
        </w:tc>
        <w:tc>
          <w:tcPr>
            <w:tcW w:w="744" w:type="dxa"/>
            <w:tcBorders>
              <w:top w:val="nil"/>
              <w:left w:val="nil"/>
              <w:bottom w:val="nil"/>
              <w:right w:val="nil"/>
            </w:tcBorders>
            <w:shd w:val="clear" w:color="auto" w:fill="auto"/>
            <w:noWrap/>
            <w:vAlign w:val="bottom"/>
            <w:hideMark/>
          </w:tcPr>
          <w:p w14:paraId="3709B8A2"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39.1</w:t>
            </w:r>
          </w:p>
        </w:tc>
        <w:tc>
          <w:tcPr>
            <w:tcW w:w="744" w:type="dxa"/>
            <w:tcBorders>
              <w:top w:val="nil"/>
              <w:left w:val="single" w:sz="8" w:space="0" w:color="auto"/>
              <w:bottom w:val="nil"/>
              <w:right w:val="single" w:sz="8" w:space="0" w:color="auto"/>
            </w:tcBorders>
            <w:shd w:val="clear" w:color="auto" w:fill="auto"/>
            <w:noWrap/>
            <w:vAlign w:val="bottom"/>
            <w:hideMark/>
          </w:tcPr>
          <w:p w14:paraId="0AFCDF98"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38.3</w:t>
            </w:r>
          </w:p>
        </w:tc>
        <w:tc>
          <w:tcPr>
            <w:tcW w:w="744" w:type="dxa"/>
            <w:tcBorders>
              <w:top w:val="nil"/>
              <w:left w:val="nil"/>
              <w:bottom w:val="nil"/>
              <w:right w:val="single" w:sz="8" w:space="0" w:color="auto"/>
            </w:tcBorders>
            <w:shd w:val="clear" w:color="auto" w:fill="auto"/>
            <w:noWrap/>
            <w:vAlign w:val="bottom"/>
            <w:hideMark/>
          </w:tcPr>
          <w:p w14:paraId="221A7B4D"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36.8</w:t>
            </w:r>
          </w:p>
        </w:tc>
        <w:tc>
          <w:tcPr>
            <w:tcW w:w="744" w:type="dxa"/>
            <w:tcBorders>
              <w:top w:val="nil"/>
              <w:left w:val="nil"/>
              <w:bottom w:val="nil"/>
              <w:right w:val="single" w:sz="8" w:space="0" w:color="auto"/>
            </w:tcBorders>
            <w:shd w:val="clear" w:color="auto" w:fill="auto"/>
            <w:noWrap/>
            <w:vAlign w:val="bottom"/>
            <w:hideMark/>
          </w:tcPr>
          <w:p w14:paraId="6CF8EB79"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36.5</w:t>
            </w:r>
          </w:p>
        </w:tc>
        <w:tc>
          <w:tcPr>
            <w:tcW w:w="744" w:type="dxa"/>
            <w:tcBorders>
              <w:top w:val="nil"/>
              <w:left w:val="nil"/>
              <w:bottom w:val="nil"/>
              <w:right w:val="single" w:sz="8" w:space="0" w:color="auto"/>
            </w:tcBorders>
            <w:shd w:val="clear" w:color="auto" w:fill="auto"/>
            <w:noWrap/>
            <w:vAlign w:val="bottom"/>
            <w:hideMark/>
          </w:tcPr>
          <w:p w14:paraId="246E6B22"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37.7</w:t>
            </w:r>
          </w:p>
        </w:tc>
        <w:tc>
          <w:tcPr>
            <w:tcW w:w="744" w:type="dxa"/>
            <w:tcBorders>
              <w:top w:val="nil"/>
              <w:left w:val="nil"/>
              <w:bottom w:val="nil"/>
              <w:right w:val="single" w:sz="8" w:space="0" w:color="auto"/>
            </w:tcBorders>
            <w:shd w:val="clear" w:color="auto" w:fill="auto"/>
            <w:noWrap/>
            <w:vAlign w:val="bottom"/>
            <w:hideMark/>
          </w:tcPr>
          <w:p w14:paraId="3B10B9AA"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38.2</w:t>
            </w:r>
          </w:p>
        </w:tc>
      </w:tr>
      <w:tr w:rsidR="00D33F7C" w:rsidRPr="00AF27AC" w14:paraId="0601DBDE" w14:textId="77777777" w:rsidTr="00E213CE">
        <w:trPr>
          <w:trHeight w:val="272"/>
        </w:trPr>
        <w:tc>
          <w:tcPr>
            <w:tcW w:w="1551" w:type="dxa"/>
            <w:tcBorders>
              <w:top w:val="nil"/>
              <w:left w:val="single" w:sz="8" w:space="0" w:color="auto"/>
              <w:bottom w:val="nil"/>
              <w:right w:val="nil"/>
            </w:tcBorders>
            <w:shd w:val="clear" w:color="auto" w:fill="auto"/>
            <w:noWrap/>
            <w:vAlign w:val="center"/>
            <w:hideMark/>
          </w:tcPr>
          <w:p w14:paraId="66AB17AD" w14:textId="77777777" w:rsidR="00D33F7C" w:rsidRPr="00AF27AC" w:rsidRDefault="00D33F7C" w:rsidP="00E213CE">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Colombia</w:t>
            </w:r>
          </w:p>
        </w:tc>
        <w:tc>
          <w:tcPr>
            <w:tcW w:w="744" w:type="dxa"/>
            <w:tcBorders>
              <w:top w:val="nil"/>
              <w:left w:val="single" w:sz="8" w:space="0" w:color="auto"/>
              <w:bottom w:val="nil"/>
              <w:right w:val="nil"/>
            </w:tcBorders>
            <w:shd w:val="clear" w:color="auto" w:fill="auto"/>
            <w:noWrap/>
            <w:vAlign w:val="center"/>
            <w:hideMark/>
          </w:tcPr>
          <w:p w14:paraId="4CB839E3"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29.4</w:t>
            </w:r>
          </w:p>
        </w:tc>
        <w:tc>
          <w:tcPr>
            <w:tcW w:w="744" w:type="dxa"/>
            <w:tcBorders>
              <w:top w:val="nil"/>
              <w:left w:val="single" w:sz="8" w:space="0" w:color="auto"/>
              <w:bottom w:val="nil"/>
              <w:right w:val="single" w:sz="8" w:space="0" w:color="auto"/>
            </w:tcBorders>
            <w:shd w:val="clear" w:color="auto" w:fill="auto"/>
            <w:noWrap/>
            <w:vAlign w:val="bottom"/>
            <w:hideMark/>
          </w:tcPr>
          <w:p w14:paraId="5291A4D6"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29.8</w:t>
            </w:r>
          </w:p>
        </w:tc>
        <w:tc>
          <w:tcPr>
            <w:tcW w:w="744" w:type="dxa"/>
            <w:tcBorders>
              <w:top w:val="nil"/>
              <w:left w:val="nil"/>
              <w:bottom w:val="nil"/>
              <w:right w:val="nil"/>
            </w:tcBorders>
            <w:shd w:val="clear" w:color="auto" w:fill="auto"/>
            <w:noWrap/>
            <w:vAlign w:val="bottom"/>
            <w:hideMark/>
          </w:tcPr>
          <w:p w14:paraId="386D8ABF"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30.6</w:t>
            </w:r>
          </w:p>
        </w:tc>
        <w:tc>
          <w:tcPr>
            <w:tcW w:w="744" w:type="dxa"/>
            <w:tcBorders>
              <w:top w:val="nil"/>
              <w:left w:val="single" w:sz="8" w:space="0" w:color="auto"/>
              <w:bottom w:val="nil"/>
              <w:right w:val="single" w:sz="8" w:space="0" w:color="auto"/>
            </w:tcBorders>
            <w:shd w:val="clear" w:color="auto" w:fill="auto"/>
            <w:noWrap/>
            <w:vAlign w:val="bottom"/>
            <w:hideMark/>
          </w:tcPr>
          <w:p w14:paraId="5D709588"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29.8</w:t>
            </w:r>
          </w:p>
        </w:tc>
        <w:tc>
          <w:tcPr>
            <w:tcW w:w="744" w:type="dxa"/>
            <w:tcBorders>
              <w:top w:val="nil"/>
              <w:left w:val="nil"/>
              <w:bottom w:val="nil"/>
              <w:right w:val="nil"/>
            </w:tcBorders>
            <w:shd w:val="clear" w:color="auto" w:fill="auto"/>
            <w:noWrap/>
            <w:vAlign w:val="bottom"/>
            <w:hideMark/>
          </w:tcPr>
          <w:p w14:paraId="43255B92"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31.9</w:t>
            </w:r>
          </w:p>
        </w:tc>
        <w:tc>
          <w:tcPr>
            <w:tcW w:w="744" w:type="dxa"/>
            <w:tcBorders>
              <w:top w:val="nil"/>
              <w:left w:val="single" w:sz="8" w:space="0" w:color="auto"/>
              <w:bottom w:val="nil"/>
              <w:right w:val="single" w:sz="8" w:space="0" w:color="auto"/>
            </w:tcBorders>
            <w:shd w:val="clear" w:color="auto" w:fill="auto"/>
            <w:noWrap/>
            <w:vAlign w:val="bottom"/>
            <w:hideMark/>
          </w:tcPr>
          <w:p w14:paraId="0B36CFBA"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30.8</w:t>
            </w:r>
          </w:p>
        </w:tc>
        <w:tc>
          <w:tcPr>
            <w:tcW w:w="744" w:type="dxa"/>
            <w:tcBorders>
              <w:top w:val="nil"/>
              <w:left w:val="nil"/>
              <w:bottom w:val="nil"/>
              <w:right w:val="nil"/>
            </w:tcBorders>
            <w:shd w:val="clear" w:color="auto" w:fill="auto"/>
            <w:noWrap/>
            <w:vAlign w:val="bottom"/>
            <w:hideMark/>
          </w:tcPr>
          <w:p w14:paraId="50CBC452"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31</w:t>
            </w:r>
          </w:p>
        </w:tc>
        <w:tc>
          <w:tcPr>
            <w:tcW w:w="744" w:type="dxa"/>
            <w:tcBorders>
              <w:top w:val="nil"/>
              <w:left w:val="single" w:sz="8" w:space="0" w:color="auto"/>
              <w:bottom w:val="nil"/>
              <w:right w:val="single" w:sz="8" w:space="0" w:color="auto"/>
            </w:tcBorders>
            <w:shd w:val="clear" w:color="auto" w:fill="auto"/>
            <w:noWrap/>
            <w:vAlign w:val="bottom"/>
            <w:hideMark/>
          </w:tcPr>
          <w:p w14:paraId="34376F02"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32.4</w:t>
            </w:r>
          </w:p>
        </w:tc>
        <w:tc>
          <w:tcPr>
            <w:tcW w:w="744" w:type="dxa"/>
            <w:tcBorders>
              <w:top w:val="nil"/>
              <w:left w:val="nil"/>
              <w:bottom w:val="nil"/>
              <w:right w:val="single" w:sz="8" w:space="0" w:color="auto"/>
            </w:tcBorders>
            <w:shd w:val="clear" w:color="auto" w:fill="auto"/>
            <w:noWrap/>
            <w:vAlign w:val="bottom"/>
            <w:hideMark/>
          </w:tcPr>
          <w:p w14:paraId="4DAA64CF"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30.6</w:t>
            </w:r>
          </w:p>
        </w:tc>
        <w:tc>
          <w:tcPr>
            <w:tcW w:w="744" w:type="dxa"/>
            <w:tcBorders>
              <w:top w:val="nil"/>
              <w:left w:val="nil"/>
              <w:bottom w:val="nil"/>
              <w:right w:val="single" w:sz="8" w:space="0" w:color="auto"/>
            </w:tcBorders>
            <w:shd w:val="clear" w:color="auto" w:fill="auto"/>
            <w:noWrap/>
            <w:vAlign w:val="bottom"/>
            <w:hideMark/>
          </w:tcPr>
          <w:p w14:paraId="1CEA452C"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35.2</w:t>
            </w:r>
          </w:p>
        </w:tc>
        <w:tc>
          <w:tcPr>
            <w:tcW w:w="744" w:type="dxa"/>
            <w:tcBorders>
              <w:top w:val="nil"/>
              <w:left w:val="nil"/>
              <w:bottom w:val="nil"/>
              <w:right w:val="single" w:sz="8" w:space="0" w:color="auto"/>
            </w:tcBorders>
            <w:shd w:val="clear" w:color="auto" w:fill="auto"/>
            <w:noWrap/>
            <w:vAlign w:val="bottom"/>
            <w:hideMark/>
          </w:tcPr>
          <w:p w14:paraId="626C7902"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35.1</w:t>
            </w:r>
          </w:p>
        </w:tc>
        <w:tc>
          <w:tcPr>
            <w:tcW w:w="744" w:type="dxa"/>
            <w:tcBorders>
              <w:top w:val="nil"/>
              <w:left w:val="nil"/>
              <w:bottom w:val="nil"/>
              <w:right w:val="single" w:sz="8" w:space="0" w:color="auto"/>
            </w:tcBorders>
            <w:shd w:val="clear" w:color="auto" w:fill="auto"/>
            <w:noWrap/>
            <w:vAlign w:val="bottom"/>
            <w:hideMark/>
          </w:tcPr>
          <w:p w14:paraId="766B1B43"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35.8</w:t>
            </w:r>
          </w:p>
        </w:tc>
      </w:tr>
      <w:tr w:rsidR="00D33F7C" w:rsidRPr="00AF27AC" w14:paraId="4AED3294" w14:textId="77777777" w:rsidTr="00E213CE">
        <w:trPr>
          <w:trHeight w:val="272"/>
        </w:trPr>
        <w:tc>
          <w:tcPr>
            <w:tcW w:w="1551" w:type="dxa"/>
            <w:tcBorders>
              <w:top w:val="nil"/>
              <w:left w:val="single" w:sz="8" w:space="0" w:color="auto"/>
              <w:bottom w:val="nil"/>
              <w:right w:val="nil"/>
            </w:tcBorders>
            <w:shd w:val="clear" w:color="auto" w:fill="auto"/>
            <w:noWrap/>
            <w:vAlign w:val="center"/>
            <w:hideMark/>
          </w:tcPr>
          <w:p w14:paraId="105C9750" w14:textId="77777777" w:rsidR="00D33F7C" w:rsidRPr="00AF27AC" w:rsidRDefault="00D33F7C" w:rsidP="00E213CE">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All Other</w:t>
            </w:r>
          </w:p>
        </w:tc>
        <w:tc>
          <w:tcPr>
            <w:tcW w:w="744" w:type="dxa"/>
            <w:tcBorders>
              <w:top w:val="nil"/>
              <w:left w:val="single" w:sz="8" w:space="0" w:color="auto"/>
              <w:bottom w:val="nil"/>
              <w:right w:val="nil"/>
            </w:tcBorders>
            <w:shd w:val="clear" w:color="auto" w:fill="auto"/>
            <w:noWrap/>
            <w:vAlign w:val="center"/>
            <w:hideMark/>
          </w:tcPr>
          <w:p w14:paraId="4B258C5D"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536.6</w:t>
            </w:r>
          </w:p>
        </w:tc>
        <w:tc>
          <w:tcPr>
            <w:tcW w:w="744" w:type="dxa"/>
            <w:tcBorders>
              <w:top w:val="nil"/>
              <w:left w:val="single" w:sz="8" w:space="0" w:color="auto"/>
              <w:bottom w:val="nil"/>
              <w:right w:val="single" w:sz="8" w:space="0" w:color="auto"/>
            </w:tcBorders>
            <w:shd w:val="clear" w:color="auto" w:fill="auto"/>
            <w:noWrap/>
            <w:vAlign w:val="bottom"/>
            <w:hideMark/>
          </w:tcPr>
          <w:p w14:paraId="7A869D61"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548.3</w:t>
            </w:r>
          </w:p>
        </w:tc>
        <w:tc>
          <w:tcPr>
            <w:tcW w:w="744" w:type="dxa"/>
            <w:tcBorders>
              <w:top w:val="nil"/>
              <w:left w:val="nil"/>
              <w:bottom w:val="nil"/>
              <w:right w:val="nil"/>
            </w:tcBorders>
            <w:shd w:val="clear" w:color="auto" w:fill="auto"/>
            <w:noWrap/>
            <w:vAlign w:val="bottom"/>
            <w:hideMark/>
          </w:tcPr>
          <w:p w14:paraId="19508B06"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533.3</w:t>
            </w:r>
          </w:p>
        </w:tc>
        <w:tc>
          <w:tcPr>
            <w:tcW w:w="744" w:type="dxa"/>
            <w:tcBorders>
              <w:top w:val="nil"/>
              <w:left w:val="single" w:sz="8" w:space="0" w:color="auto"/>
              <w:bottom w:val="nil"/>
              <w:right w:val="single" w:sz="8" w:space="0" w:color="auto"/>
            </w:tcBorders>
            <w:shd w:val="clear" w:color="auto" w:fill="auto"/>
            <w:noWrap/>
            <w:vAlign w:val="bottom"/>
            <w:hideMark/>
          </w:tcPr>
          <w:p w14:paraId="41F23787"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533.4</w:t>
            </w:r>
          </w:p>
        </w:tc>
        <w:tc>
          <w:tcPr>
            <w:tcW w:w="744" w:type="dxa"/>
            <w:tcBorders>
              <w:top w:val="nil"/>
              <w:left w:val="nil"/>
              <w:bottom w:val="nil"/>
              <w:right w:val="nil"/>
            </w:tcBorders>
            <w:shd w:val="clear" w:color="auto" w:fill="auto"/>
            <w:noWrap/>
            <w:vAlign w:val="bottom"/>
            <w:hideMark/>
          </w:tcPr>
          <w:p w14:paraId="0449016D"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518.5</w:t>
            </w:r>
          </w:p>
        </w:tc>
        <w:tc>
          <w:tcPr>
            <w:tcW w:w="744" w:type="dxa"/>
            <w:tcBorders>
              <w:top w:val="nil"/>
              <w:left w:val="single" w:sz="8" w:space="0" w:color="auto"/>
              <w:bottom w:val="nil"/>
              <w:right w:val="single" w:sz="8" w:space="0" w:color="auto"/>
            </w:tcBorders>
            <w:shd w:val="clear" w:color="auto" w:fill="auto"/>
            <w:noWrap/>
            <w:vAlign w:val="bottom"/>
            <w:hideMark/>
          </w:tcPr>
          <w:p w14:paraId="7FC85BBB"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507.2</w:t>
            </w:r>
          </w:p>
        </w:tc>
        <w:tc>
          <w:tcPr>
            <w:tcW w:w="744" w:type="dxa"/>
            <w:tcBorders>
              <w:top w:val="nil"/>
              <w:left w:val="nil"/>
              <w:bottom w:val="nil"/>
              <w:right w:val="nil"/>
            </w:tcBorders>
            <w:shd w:val="clear" w:color="auto" w:fill="auto"/>
            <w:noWrap/>
            <w:vAlign w:val="bottom"/>
            <w:hideMark/>
          </w:tcPr>
          <w:p w14:paraId="44740A6C"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501.8</w:t>
            </w:r>
          </w:p>
        </w:tc>
        <w:tc>
          <w:tcPr>
            <w:tcW w:w="744" w:type="dxa"/>
            <w:tcBorders>
              <w:top w:val="nil"/>
              <w:left w:val="single" w:sz="8" w:space="0" w:color="auto"/>
              <w:bottom w:val="nil"/>
              <w:right w:val="single" w:sz="8" w:space="0" w:color="auto"/>
            </w:tcBorders>
            <w:shd w:val="clear" w:color="auto" w:fill="auto"/>
            <w:noWrap/>
            <w:vAlign w:val="bottom"/>
            <w:hideMark/>
          </w:tcPr>
          <w:p w14:paraId="32C0A3E2"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493.4</w:t>
            </w:r>
          </w:p>
        </w:tc>
        <w:tc>
          <w:tcPr>
            <w:tcW w:w="744" w:type="dxa"/>
            <w:tcBorders>
              <w:top w:val="nil"/>
              <w:left w:val="nil"/>
              <w:bottom w:val="nil"/>
              <w:right w:val="single" w:sz="8" w:space="0" w:color="auto"/>
            </w:tcBorders>
            <w:shd w:val="clear" w:color="auto" w:fill="auto"/>
            <w:noWrap/>
            <w:vAlign w:val="bottom"/>
            <w:hideMark/>
          </w:tcPr>
          <w:p w14:paraId="235BD5FE"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487.9</w:t>
            </w:r>
          </w:p>
        </w:tc>
        <w:tc>
          <w:tcPr>
            <w:tcW w:w="744" w:type="dxa"/>
            <w:tcBorders>
              <w:top w:val="nil"/>
              <w:left w:val="nil"/>
              <w:bottom w:val="nil"/>
              <w:right w:val="single" w:sz="8" w:space="0" w:color="auto"/>
            </w:tcBorders>
            <w:shd w:val="clear" w:color="auto" w:fill="auto"/>
            <w:noWrap/>
            <w:vAlign w:val="bottom"/>
            <w:hideMark/>
          </w:tcPr>
          <w:p w14:paraId="152D304B"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483.6</w:t>
            </w:r>
          </w:p>
        </w:tc>
        <w:tc>
          <w:tcPr>
            <w:tcW w:w="744" w:type="dxa"/>
            <w:tcBorders>
              <w:top w:val="nil"/>
              <w:left w:val="nil"/>
              <w:bottom w:val="nil"/>
              <w:right w:val="single" w:sz="8" w:space="0" w:color="auto"/>
            </w:tcBorders>
            <w:shd w:val="clear" w:color="auto" w:fill="auto"/>
            <w:noWrap/>
            <w:vAlign w:val="bottom"/>
            <w:hideMark/>
          </w:tcPr>
          <w:p w14:paraId="01A25783"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472.7</w:t>
            </w:r>
          </w:p>
        </w:tc>
        <w:tc>
          <w:tcPr>
            <w:tcW w:w="744" w:type="dxa"/>
            <w:tcBorders>
              <w:top w:val="nil"/>
              <w:left w:val="nil"/>
              <w:bottom w:val="nil"/>
              <w:right w:val="single" w:sz="8" w:space="0" w:color="auto"/>
            </w:tcBorders>
            <w:shd w:val="clear" w:color="auto" w:fill="auto"/>
            <w:noWrap/>
            <w:vAlign w:val="bottom"/>
            <w:hideMark/>
          </w:tcPr>
          <w:p w14:paraId="4C03DAC9"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481.7</w:t>
            </w:r>
          </w:p>
        </w:tc>
      </w:tr>
      <w:tr w:rsidR="00D33F7C" w:rsidRPr="00AF27AC" w14:paraId="6E3D8C5F" w14:textId="77777777" w:rsidTr="00E213CE">
        <w:trPr>
          <w:trHeight w:val="272"/>
        </w:trPr>
        <w:tc>
          <w:tcPr>
            <w:tcW w:w="1551" w:type="dxa"/>
            <w:tcBorders>
              <w:top w:val="nil"/>
              <w:left w:val="single" w:sz="8" w:space="0" w:color="auto"/>
              <w:bottom w:val="nil"/>
              <w:right w:val="nil"/>
            </w:tcBorders>
            <w:shd w:val="clear" w:color="auto" w:fill="auto"/>
            <w:noWrap/>
            <w:vAlign w:val="center"/>
            <w:hideMark/>
          </w:tcPr>
          <w:p w14:paraId="08BA29BE" w14:textId="77777777" w:rsidR="00D33F7C" w:rsidRPr="00AF27AC" w:rsidRDefault="00D33F7C" w:rsidP="00E213CE">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Grand Total</w:t>
            </w:r>
          </w:p>
        </w:tc>
        <w:tc>
          <w:tcPr>
            <w:tcW w:w="744" w:type="dxa"/>
            <w:tcBorders>
              <w:top w:val="nil"/>
              <w:left w:val="single" w:sz="8" w:space="0" w:color="auto"/>
              <w:bottom w:val="nil"/>
              <w:right w:val="nil"/>
            </w:tcBorders>
            <w:shd w:val="clear" w:color="auto" w:fill="auto"/>
            <w:noWrap/>
            <w:vAlign w:val="center"/>
            <w:hideMark/>
          </w:tcPr>
          <w:p w14:paraId="68E0068F"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7052.1</w:t>
            </w:r>
          </w:p>
        </w:tc>
        <w:tc>
          <w:tcPr>
            <w:tcW w:w="744" w:type="dxa"/>
            <w:tcBorders>
              <w:top w:val="nil"/>
              <w:left w:val="single" w:sz="8" w:space="0" w:color="auto"/>
              <w:bottom w:val="nil"/>
              <w:right w:val="single" w:sz="8" w:space="0" w:color="auto"/>
            </w:tcBorders>
            <w:shd w:val="clear" w:color="auto" w:fill="auto"/>
            <w:noWrap/>
            <w:vAlign w:val="bottom"/>
            <w:hideMark/>
          </w:tcPr>
          <w:p w14:paraId="7568800D"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7096.2</w:t>
            </w:r>
          </w:p>
        </w:tc>
        <w:tc>
          <w:tcPr>
            <w:tcW w:w="744" w:type="dxa"/>
            <w:tcBorders>
              <w:top w:val="nil"/>
              <w:left w:val="nil"/>
              <w:bottom w:val="nil"/>
              <w:right w:val="nil"/>
            </w:tcBorders>
            <w:shd w:val="clear" w:color="auto" w:fill="auto"/>
            <w:noWrap/>
            <w:vAlign w:val="bottom"/>
            <w:hideMark/>
          </w:tcPr>
          <w:p w14:paraId="45056656"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7082</w:t>
            </w:r>
          </w:p>
        </w:tc>
        <w:tc>
          <w:tcPr>
            <w:tcW w:w="744" w:type="dxa"/>
            <w:tcBorders>
              <w:top w:val="nil"/>
              <w:left w:val="single" w:sz="8" w:space="0" w:color="auto"/>
              <w:bottom w:val="nil"/>
              <w:right w:val="single" w:sz="8" w:space="0" w:color="auto"/>
            </w:tcBorders>
            <w:shd w:val="clear" w:color="auto" w:fill="auto"/>
            <w:noWrap/>
            <w:vAlign w:val="bottom"/>
            <w:hideMark/>
          </w:tcPr>
          <w:p w14:paraId="7B33D591"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7069.2</w:t>
            </w:r>
          </w:p>
        </w:tc>
        <w:tc>
          <w:tcPr>
            <w:tcW w:w="744" w:type="dxa"/>
            <w:tcBorders>
              <w:top w:val="nil"/>
              <w:left w:val="nil"/>
              <w:bottom w:val="nil"/>
              <w:right w:val="nil"/>
            </w:tcBorders>
            <w:shd w:val="clear" w:color="auto" w:fill="auto"/>
            <w:noWrap/>
            <w:vAlign w:val="bottom"/>
            <w:hideMark/>
          </w:tcPr>
          <w:p w14:paraId="0E952433"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7070.4</w:t>
            </w:r>
          </w:p>
        </w:tc>
        <w:tc>
          <w:tcPr>
            <w:tcW w:w="744" w:type="dxa"/>
            <w:tcBorders>
              <w:top w:val="nil"/>
              <w:left w:val="single" w:sz="8" w:space="0" w:color="auto"/>
              <w:bottom w:val="nil"/>
              <w:right w:val="single" w:sz="8" w:space="0" w:color="auto"/>
            </w:tcBorders>
            <w:shd w:val="clear" w:color="auto" w:fill="auto"/>
            <w:noWrap/>
            <w:vAlign w:val="bottom"/>
            <w:hideMark/>
          </w:tcPr>
          <w:p w14:paraId="0A9A6A35"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7051.2</w:t>
            </w:r>
          </w:p>
        </w:tc>
        <w:tc>
          <w:tcPr>
            <w:tcW w:w="744" w:type="dxa"/>
            <w:tcBorders>
              <w:top w:val="nil"/>
              <w:left w:val="nil"/>
              <w:bottom w:val="nil"/>
              <w:right w:val="nil"/>
            </w:tcBorders>
            <w:shd w:val="clear" w:color="auto" w:fill="auto"/>
            <w:noWrap/>
            <w:vAlign w:val="bottom"/>
            <w:hideMark/>
          </w:tcPr>
          <w:p w14:paraId="60E93723"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7070.8</w:t>
            </w:r>
          </w:p>
        </w:tc>
        <w:tc>
          <w:tcPr>
            <w:tcW w:w="744" w:type="dxa"/>
            <w:tcBorders>
              <w:top w:val="nil"/>
              <w:left w:val="single" w:sz="8" w:space="0" w:color="auto"/>
              <w:bottom w:val="nil"/>
              <w:right w:val="single" w:sz="8" w:space="0" w:color="auto"/>
            </w:tcBorders>
            <w:shd w:val="clear" w:color="auto" w:fill="auto"/>
            <w:noWrap/>
            <w:vAlign w:val="bottom"/>
            <w:hideMark/>
          </w:tcPr>
          <w:p w14:paraId="6DF52948"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7119.6</w:t>
            </w:r>
          </w:p>
        </w:tc>
        <w:tc>
          <w:tcPr>
            <w:tcW w:w="744" w:type="dxa"/>
            <w:tcBorders>
              <w:top w:val="nil"/>
              <w:left w:val="nil"/>
              <w:bottom w:val="nil"/>
              <w:right w:val="single" w:sz="8" w:space="0" w:color="auto"/>
            </w:tcBorders>
            <w:shd w:val="clear" w:color="auto" w:fill="auto"/>
            <w:noWrap/>
            <w:vAlign w:val="bottom"/>
            <w:hideMark/>
          </w:tcPr>
          <w:p w14:paraId="713D9AC0"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7098.7</w:t>
            </w:r>
          </w:p>
        </w:tc>
        <w:tc>
          <w:tcPr>
            <w:tcW w:w="744" w:type="dxa"/>
            <w:tcBorders>
              <w:top w:val="nil"/>
              <w:left w:val="nil"/>
              <w:bottom w:val="nil"/>
              <w:right w:val="single" w:sz="8" w:space="0" w:color="auto"/>
            </w:tcBorders>
            <w:shd w:val="clear" w:color="auto" w:fill="auto"/>
            <w:noWrap/>
            <w:vAlign w:val="bottom"/>
            <w:hideMark/>
          </w:tcPr>
          <w:p w14:paraId="6366B1A8"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7028.4</w:t>
            </w:r>
          </w:p>
        </w:tc>
        <w:tc>
          <w:tcPr>
            <w:tcW w:w="744" w:type="dxa"/>
            <w:tcBorders>
              <w:top w:val="nil"/>
              <w:left w:val="nil"/>
              <w:bottom w:val="nil"/>
              <w:right w:val="single" w:sz="8" w:space="0" w:color="auto"/>
            </w:tcBorders>
            <w:shd w:val="clear" w:color="auto" w:fill="auto"/>
            <w:noWrap/>
            <w:vAlign w:val="bottom"/>
            <w:hideMark/>
          </w:tcPr>
          <w:p w14:paraId="75BA683F"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7070.3</w:t>
            </w:r>
          </w:p>
        </w:tc>
        <w:tc>
          <w:tcPr>
            <w:tcW w:w="744" w:type="dxa"/>
            <w:tcBorders>
              <w:top w:val="nil"/>
              <w:left w:val="nil"/>
              <w:bottom w:val="nil"/>
              <w:right w:val="single" w:sz="8" w:space="0" w:color="auto"/>
            </w:tcBorders>
            <w:shd w:val="clear" w:color="auto" w:fill="auto"/>
            <w:noWrap/>
            <w:vAlign w:val="bottom"/>
            <w:hideMark/>
          </w:tcPr>
          <w:p w14:paraId="0B3E4083"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7135</w:t>
            </w:r>
          </w:p>
        </w:tc>
      </w:tr>
      <w:tr w:rsidR="00D33F7C" w:rsidRPr="00AF27AC" w14:paraId="266F2A3F" w14:textId="77777777" w:rsidTr="00E213CE">
        <w:trPr>
          <w:trHeight w:val="272"/>
        </w:trPr>
        <w:tc>
          <w:tcPr>
            <w:tcW w:w="1551" w:type="dxa"/>
            <w:tcBorders>
              <w:top w:val="nil"/>
              <w:left w:val="single" w:sz="8" w:space="0" w:color="auto"/>
              <w:bottom w:val="nil"/>
              <w:right w:val="nil"/>
            </w:tcBorders>
            <w:shd w:val="clear" w:color="auto" w:fill="auto"/>
            <w:noWrap/>
            <w:vAlign w:val="center"/>
            <w:hideMark/>
          </w:tcPr>
          <w:p w14:paraId="4A3F0DD9" w14:textId="77777777" w:rsidR="00D33F7C" w:rsidRPr="00AF27AC" w:rsidRDefault="00D33F7C" w:rsidP="00E213CE">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w:t>
            </w:r>
          </w:p>
        </w:tc>
        <w:tc>
          <w:tcPr>
            <w:tcW w:w="744" w:type="dxa"/>
            <w:tcBorders>
              <w:top w:val="nil"/>
              <w:left w:val="single" w:sz="8" w:space="0" w:color="auto"/>
              <w:bottom w:val="nil"/>
              <w:right w:val="nil"/>
            </w:tcBorders>
            <w:shd w:val="clear" w:color="auto" w:fill="auto"/>
            <w:noWrap/>
            <w:vAlign w:val="center"/>
            <w:hideMark/>
          </w:tcPr>
          <w:p w14:paraId="7003290D" w14:textId="77777777" w:rsidR="00D33F7C" w:rsidRPr="00AF27AC" w:rsidRDefault="00D33F7C" w:rsidP="00E213CE">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w:t>
            </w:r>
          </w:p>
        </w:tc>
        <w:tc>
          <w:tcPr>
            <w:tcW w:w="744" w:type="dxa"/>
            <w:tcBorders>
              <w:top w:val="nil"/>
              <w:left w:val="single" w:sz="8" w:space="0" w:color="auto"/>
              <w:bottom w:val="nil"/>
              <w:right w:val="single" w:sz="8" w:space="0" w:color="auto"/>
            </w:tcBorders>
            <w:shd w:val="clear" w:color="auto" w:fill="auto"/>
            <w:noWrap/>
            <w:vAlign w:val="bottom"/>
            <w:hideMark/>
          </w:tcPr>
          <w:p w14:paraId="444AD527" w14:textId="77777777" w:rsidR="00D33F7C" w:rsidRPr="00AF27AC" w:rsidRDefault="00D33F7C" w:rsidP="00E213CE">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w:t>
            </w:r>
          </w:p>
        </w:tc>
        <w:tc>
          <w:tcPr>
            <w:tcW w:w="744" w:type="dxa"/>
            <w:tcBorders>
              <w:top w:val="nil"/>
              <w:left w:val="nil"/>
              <w:bottom w:val="nil"/>
              <w:right w:val="nil"/>
            </w:tcBorders>
            <w:shd w:val="clear" w:color="auto" w:fill="auto"/>
            <w:noWrap/>
            <w:vAlign w:val="bottom"/>
            <w:hideMark/>
          </w:tcPr>
          <w:p w14:paraId="05E015B5" w14:textId="77777777" w:rsidR="00D33F7C" w:rsidRPr="00AF27AC" w:rsidRDefault="00D33F7C" w:rsidP="00E213CE">
            <w:pPr>
              <w:rPr>
                <w:rFonts w:ascii="Garamond" w:eastAsia="Times New Roman" w:hAnsi="Garamond" w:cs="Calibri"/>
                <w:color w:val="000000"/>
                <w:sz w:val="20"/>
                <w:szCs w:val="20"/>
                <w:lang w:val="en-IN" w:eastAsia="en-IN" w:bidi="hi-IN"/>
              </w:rPr>
            </w:pPr>
          </w:p>
        </w:tc>
        <w:tc>
          <w:tcPr>
            <w:tcW w:w="744" w:type="dxa"/>
            <w:tcBorders>
              <w:top w:val="nil"/>
              <w:left w:val="single" w:sz="8" w:space="0" w:color="auto"/>
              <w:bottom w:val="nil"/>
              <w:right w:val="single" w:sz="8" w:space="0" w:color="auto"/>
            </w:tcBorders>
            <w:shd w:val="clear" w:color="auto" w:fill="auto"/>
            <w:noWrap/>
            <w:vAlign w:val="bottom"/>
            <w:hideMark/>
          </w:tcPr>
          <w:p w14:paraId="00AD80BF" w14:textId="77777777" w:rsidR="00D33F7C" w:rsidRPr="00AF27AC" w:rsidRDefault="00D33F7C" w:rsidP="00E213CE">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w:t>
            </w:r>
          </w:p>
        </w:tc>
        <w:tc>
          <w:tcPr>
            <w:tcW w:w="744" w:type="dxa"/>
            <w:tcBorders>
              <w:top w:val="nil"/>
              <w:left w:val="nil"/>
              <w:bottom w:val="nil"/>
              <w:right w:val="nil"/>
            </w:tcBorders>
            <w:shd w:val="clear" w:color="auto" w:fill="auto"/>
            <w:noWrap/>
            <w:vAlign w:val="bottom"/>
            <w:hideMark/>
          </w:tcPr>
          <w:p w14:paraId="1B30D783" w14:textId="77777777" w:rsidR="00D33F7C" w:rsidRPr="00AF27AC" w:rsidRDefault="00D33F7C" w:rsidP="00E213CE">
            <w:pPr>
              <w:rPr>
                <w:rFonts w:ascii="Garamond" w:eastAsia="Times New Roman" w:hAnsi="Garamond" w:cs="Calibri"/>
                <w:color w:val="000000"/>
                <w:sz w:val="20"/>
                <w:szCs w:val="20"/>
                <w:lang w:val="en-IN" w:eastAsia="en-IN" w:bidi="hi-IN"/>
              </w:rPr>
            </w:pPr>
          </w:p>
        </w:tc>
        <w:tc>
          <w:tcPr>
            <w:tcW w:w="744" w:type="dxa"/>
            <w:tcBorders>
              <w:top w:val="nil"/>
              <w:left w:val="single" w:sz="8" w:space="0" w:color="auto"/>
              <w:bottom w:val="nil"/>
              <w:right w:val="single" w:sz="8" w:space="0" w:color="auto"/>
            </w:tcBorders>
            <w:shd w:val="clear" w:color="auto" w:fill="auto"/>
            <w:noWrap/>
            <w:vAlign w:val="bottom"/>
            <w:hideMark/>
          </w:tcPr>
          <w:p w14:paraId="3BC871F1" w14:textId="77777777" w:rsidR="00D33F7C" w:rsidRPr="00AF27AC" w:rsidRDefault="00D33F7C" w:rsidP="00E213CE">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w:t>
            </w:r>
          </w:p>
        </w:tc>
        <w:tc>
          <w:tcPr>
            <w:tcW w:w="744" w:type="dxa"/>
            <w:tcBorders>
              <w:top w:val="nil"/>
              <w:left w:val="nil"/>
              <w:bottom w:val="nil"/>
              <w:right w:val="nil"/>
            </w:tcBorders>
            <w:shd w:val="clear" w:color="auto" w:fill="auto"/>
            <w:noWrap/>
            <w:vAlign w:val="bottom"/>
            <w:hideMark/>
          </w:tcPr>
          <w:p w14:paraId="13C7F61E" w14:textId="77777777" w:rsidR="00D33F7C" w:rsidRPr="00AF27AC" w:rsidRDefault="00D33F7C" w:rsidP="00E213CE">
            <w:pPr>
              <w:rPr>
                <w:rFonts w:ascii="Garamond" w:eastAsia="Times New Roman" w:hAnsi="Garamond" w:cs="Calibri"/>
                <w:color w:val="000000"/>
                <w:sz w:val="20"/>
                <w:szCs w:val="20"/>
                <w:lang w:val="en-IN" w:eastAsia="en-IN" w:bidi="hi-IN"/>
              </w:rPr>
            </w:pPr>
          </w:p>
        </w:tc>
        <w:tc>
          <w:tcPr>
            <w:tcW w:w="744" w:type="dxa"/>
            <w:tcBorders>
              <w:top w:val="nil"/>
              <w:left w:val="single" w:sz="8" w:space="0" w:color="auto"/>
              <w:bottom w:val="nil"/>
              <w:right w:val="single" w:sz="8" w:space="0" w:color="auto"/>
            </w:tcBorders>
            <w:shd w:val="clear" w:color="auto" w:fill="auto"/>
            <w:noWrap/>
            <w:vAlign w:val="bottom"/>
            <w:hideMark/>
          </w:tcPr>
          <w:p w14:paraId="7939AAAC" w14:textId="77777777" w:rsidR="00D33F7C" w:rsidRPr="00AF27AC" w:rsidRDefault="00D33F7C" w:rsidP="00E213CE">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w:t>
            </w:r>
          </w:p>
        </w:tc>
        <w:tc>
          <w:tcPr>
            <w:tcW w:w="744" w:type="dxa"/>
            <w:tcBorders>
              <w:top w:val="nil"/>
              <w:left w:val="nil"/>
              <w:bottom w:val="nil"/>
              <w:right w:val="single" w:sz="8" w:space="0" w:color="auto"/>
            </w:tcBorders>
            <w:shd w:val="clear" w:color="auto" w:fill="auto"/>
            <w:noWrap/>
            <w:vAlign w:val="bottom"/>
            <w:hideMark/>
          </w:tcPr>
          <w:p w14:paraId="34557728" w14:textId="77777777" w:rsidR="00D33F7C" w:rsidRPr="00AF27AC" w:rsidRDefault="00D33F7C" w:rsidP="00E213CE">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w:t>
            </w:r>
          </w:p>
        </w:tc>
        <w:tc>
          <w:tcPr>
            <w:tcW w:w="744" w:type="dxa"/>
            <w:tcBorders>
              <w:top w:val="nil"/>
              <w:left w:val="nil"/>
              <w:bottom w:val="nil"/>
              <w:right w:val="single" w:sz="8" w:space="0" w:color="auto"/>
            </w:tcBorders>
            <w:shd w:val="clear" w:color="auto" w:fill="auto"/>
            <w:noWrap/>
            <w:vAlign w:val="bottom"/>
            <w:hideMark/>
          </w:tcPr>
          <w:p w14:paraId="4DC8F7F2" w14:textId="77777777" w:rsidR="00D33F7C" w:rsidRPr="00AF27AC" w:rsidRDefault="00D33F7C" w:rsidP="00E213CE">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w:t>
            </w:r>
          </w:p>
        </w:tc>
        <w:tc>
          <w:tcPr>
            <w:tcW w:w="744" w:type="dxa"/>
            <w:tcBorders>
              <w:top w:val="nil"/>
              <w:left w:val="nil"/>
              <w:bottom w:val="nil"/>
              <w:right w:val="single" w:sz="8" w:space="0" w:color="auto"/>
            </w:tcBorders>
            <w:shd w:val="clear" w:color="auto" w:fill="auto"/>
            <w:noWrap/>
            <w:vAlign w:val="bottom"/>
            <w:hideMark/>
          </w:tcPr>
          <w:p w14:paraId="31DCE485" w14:textId="77777777" w:rsidR="00D33F7C" w:rsidRPr="00AF27AC" w:rsidRDefault="00D33F7C" w:rsidP="00E213CE">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w:t>
            </w:r>
          </w:p>
        </w:tc>
        <w:tc>
          <w:tcPr>
            <w:tcW w:w="744" w:type="dxa"/>
            <w:tcBorders>
              <w:top w:val="nil"/>
              <w:left w:val="nil"/>
              <w:bottom w:val="nil"/>
              <w:right w:val="single" w:sz="8" w:space="0" w:color="auto"/>
            </w:tcBorders>
            <w:shd w:val="clear" w:color="auto" w:fill="auto"/>
            <w:noWrap/>
            <w:vAlign w:val="bottom"/>
            <w:hideMark/>
          </w:tcPr>
          <w:p w14:paraId="0237817C" w14:textId="77777777" w:rsidR="00D33F7C" w:rsidRPr="00AF27AC" w:rsidRDefault="00D33F7C" w:rsidP="00E213CE">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w:t>
            </w:r>
          </w:p>
        </w:tc>
      </w:tr>
      <w:tr w:rsidR="00D33F7C" w:rsidRPr="00AF27AC" w14:paraId="326847CA" w14:textId="77777777" w:rsidTr="00E213CE">
        <w:trPr>
          <w:trHeight w:val="272"/>
        </w:trPr>
        <w:tc>
          <w:tcPr>
            <w:tcW w:w="1551" w:type="dxa"/>
            <w:tcBorders>
              <w:top w:val="nil"/>
              <w:left w:val="single" w:sz="8" w:space="0" w:color="auto"/>
              <w:bottom w:val="nil"/>
              <w:right w:val="nil"/>
            </w:tcBorders>
            <w:shd w:val="clear" w:color="auto" w:fill="auto"/>
            <w:noWrap/>
            <w:vAlign w:val="center"/>
            <w:hideMark/>
          </w:tcPr>
          <w:p w14:paraId="11B46F36" w14:textId="77777777" w:rsidR="00D33F7C" w:rsidRPr="00AF27AC" w:rsidRDefault="00D33F7C" w:rsidP="00E213CE">
            <w:pP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Of which:</w:t>
            </w:r>
          </w:p>
        </w:tc>
        <w:tc>
          <w:tcPr>
            <w:tcW w:w="744" w:type="dxa"/>
            <w:tcBorders>
              <w:top w:val="nil"/>
              <w:left w:val="single" w:sz="8" w:space="0" w:color="auto"/>
              <w:bottom w:val="nil"/>
              <w:right w:val="nil"/>
            </w:tcBorders>
            <w:shd w:val="clear" w:color="auto" w:fill="auto"/>
            <w:noWrap/>
            <w:vAlign w:val="center"/>
            <w:hideMark/>
          </w:tcPr>
          <w:p w14:paraId="521B1733" w14:textId="77777777" w:rsidR="00D33F7C" w:rsidRPr="00AF27AC" w:rsidRDefault="00D33F7C" w:rsidP="00E213CE">
            <w:pP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 </w:t>
            </w:r>
          </w:p>
        </w:tc>
        <w:tc>
          <w:tcPr>
            <w:tcW w:w="744" w:type="dxa"/>
            <w:tcBorders>
              <w:top w:val="nil"/>
              <w:left w:val="single" w:sz="8" w:space="0" w:color="auto"/>
              <w:bottom w:val="nil"/>
              <w:right w:val="single" w:sz="8" w:space="0" w:color="auto"/>
            </w:tcBorders>
            <w:shd w:val="clear" w:color="auto" w:fill="auto"/>
            <w:noWrap/>
            <w:vAlign w:val="bottom"/>
            <w:hideMark/>
          </w:tcPr>
          <w:p w14:paraId="7455DC49" w14:textId="77777777" w:rsidR="00D33F7C" w:rsidRPr="00AF27AC" w:rsidRDefault="00D33F7C" w:rsidP="00E213CE">
            <w:pP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 </w:t>
            </w:r>
          </w:p>
        </w:tc>
        <w:tc>
          <w:tcPr>
            <w:tcW w:w="744" w:type="dxa"/>
            <w:tcBorders>
              <w:top w:val="nil"/>
              <w:left w:val="nil"/>
              <w:bottom w:val="nil"/>
              <w:right w:val="nil"/>
            </w:tcBorders>
            <w:shd w:val="clear" w:color="auto" w:fill="auto"/>
            <w:noWrap/>
            <w:vAlign w:val="bottom"/>
            <w:hideMark/>
          </w:tcPr>
          <w:p w14:paraId="1CF0D7C7" w14:textId="77777777" w:rsidR="00D33F7C" w:rsidRPr="00AF27AC" w:rsidRDefault="00D33F7C" w:rsidP="00E213CE">
            <w:pPr>
              <w:rPr>
                <w:rFonts w:ascii="Garamond" w:eastAsia="Times New Roman" w:hAnsi="Garamond" w:cs="Calibri"/>
                <w:b/>
                <w:bCs/>
                <w:color w:val="000000"/>
                <w:sz w:val="20"/>
                <w:szCs w:val="20"/>
                <w:lang w:val="en-IN" w:eastAsia="en-IN" w:bidi="hi-IN"/>
              </w:rPr>
            </w:pPr>
          </w:p>
        </w:tc>
        <w:tc>
          <w:tcPr>
            <w:tcW w:w="744" w:type="dxa"/>
            <w:tcBorders>
              <w:top w:val="nil"/>
              <w:left w:val="single" w:sz="8" w:space="0" w:color="auto"/>
              <w:bottom w:val="nil"/>
              <w:right w:val="single" w:sz="8" w:space="0" w:color="auto"/>
            </w:tcBorders>
            <w:shd w:val="clear" w:color="auto" w:fill="auto"/>
            <w:noWrap/>
            <w:vAlign w:val="bottom"/>
            <w:hideMark/>
          </w:tcPr>
          <w:p w14:paraId="5E92BF7D" w14:textId="77777777" w:rsidR="00D33F7C" w:rsidRPr="00AF27AC" w:rsidRDefault="00D33F7C" w:rsidP="00E213CE">
            <w:pP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 </w:t>
            </w:r>
          </w:p>
        </w:tc>
        <w:tc>
          <w:tcPr>
            <w:tcW w:w="744" w:type="dxa"/>
            <w:tcBorders>
              <w:top w:val="nil"/>
              <w:left w:val="nil"/>
              <w:bottom w:val="nil"/>
              <w:right w:val="nil"/>
            </w:tcBorders>
            <w:shd w:val="clear" w:color="auto" w:fill="auto"/>
            <w:noWrap/>
            <w:vAlign w:val="bottom"/>
            <w:hideMark/>
          </w:tcPr>
          <w:p w14:paraId="3EC90237" w14:textId="77777777" w:rsidR="00D33F7C" w:rsidRPr="00AF27AC" w:rsidRDefault="00D33F7C" w:rsidP="00E213CE">
            <w:pPr>
              <w:rPr>
                <w:rFonts w:ascii="Garamond" w:eastAsia="Times New Roman" w:hAnsi="Garamond" w:cs="Calibri"/>
                <w:b/>
                <w:bCs/>
                <w:color w:val="000000"/>
                <w:sz w:val="20"/>
                <w:szCs w:val="20"/>
                <w:lang w:val="en-IN" w:eastAsia="en-IN" w:bidi="hi-IN"/>
              </w:rPr>
            </w:pPr>
          </w:p>
        </w:tc>
        <w:tc>
          <w:tcPr>
            <w:tcW w:w="744" w:type="dxa"/>
            <w:tcBorders>
              <w:top w:val="nil"/>
              <w:left w:val="single" w:sz="8" w:space="0" w:color="auto"/>
              <w:bottom w:val="nil"/>
              <w:right w:val="single" w:sz="8" w:space="0" w:color="auto"/>
            </w:tcBorders>
            <w:shd w:val="clear" w:color="auto" w:fill="auto"/>
            <w:noWrap/>
            <w:vAlign w:val="bottom"/>
            <w:hideMark/>
          </w:tcPr>
          <w:p w14:paraId="4066CFB9" w14:textId="77777777" w:rsidR="00D33F7C" w:rsidRPr="00AF27AC" w:rsidRDefault="00D33F7C" w:rsidP="00E213CE">
            <w:pP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 </w:t>
            </w:r>
          </w:p>
        </w:tc>
        <w:tc>
          <w:tcPr>
            <w:tcW w:w="744" w:type="dxa"/>
            <w:tcBorders>
              <w:top w:val="nil"/>
              <w:left w:val="nil"/>
              <w:bottom w:val="nil"/>
              <w:right w:val="nil"/>
            </w:tcBorders>
            <w:shd w:val="clear" w:color="auto" w:fill="auto"/>
            <w:noWrap/>
            <w:vAlign w:val="bottom"/>
            <w:hideMark/>
          </w:tcPr>
          <w:p w14:paraId="433BBA95" w14:textId="77777777" w:rsidR="00D33F7C" w:rsidRPr="00AF27AC" w:rsidRDefault="00D33F7C" w:rsidP="00E213CE">
            <w:pPr>
              <w:rPr>
                <w:rFonts w:ascii="Garamond" w:eastAsia="Times New Roman" w:hAnsi="Garamond" w:cs="Calibri"/>
                <w:b/>
                <w:bCs/>
                <w:color w:val="000000"/>
                <w:sz w:val="20"/>
                <w:szCs w:val="20"/>
                <w:lang w:val="en-IN" w:eastAsia="en-IN" w:bidi="hi-IN"/>
              </w:rPr>
            </w:pPr>
          </w:p>
        </w:tc>
        <w:tc>
          <w:tcPr>
            <w:tcW w:w="744" w:type="dxa"/>
            <w:tcBorders>
              <w:top w:val="nil"/>
              <w:left w:val="single" w:sz="8" w:space="0" w:color="auto"/>
              <w:bottom w:val="nil"/>
              <w:right w:val="single" w:sz="8" w:space="0" w:color="auto"/>
            </w:tcBorders>
            <w:shd w:val="clear" w:color="auto" w:fill="auto"/>
            <w:noWrap/>
            <w:vAlign w:val="bottom"/>
            <w:hideMark/>
          </w:tcPr>
          <w:p w14:paraId="6571BFD1" w14:textId="77777777" w:rsidR="00D33F7C" w:rsidRPr="00AF27AC" w:rsidRDefault="00D33F7C" w:rsidP="00E213CE">
            <w:pP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 </w:t>
            </w:r>
          </w:p>
        </w:tc>
        <w:tc>
          <w:tcPr>
            <w:tcW w:w="744" w:type="dxa"/>
            <w:tcBorders>
              <w:top w:val="nil"/>
              <w:left w:val="nil"/>
              <w:bottom w:val="nil"/>
              <w:right w:val="single" w:sz="8" w:space="0" w:color="auto"/>
            </w:tcBorders>
            <w:shd w:val="clear" w:color="auto" w:fill="auto"/>
            <w:noWrap/>
            <w:vAlign w:val="bottom"/>
            <w:hideMark/>
          </w:tcPr>
          <w:p w14:paraId="57D89F06" w14:textId="77777777" w:rsidR="00D33F7C" w:rsidRPr="00AF27AC" w:rsidRDefault="00D33F7C" w:rsidP="00E213CE">
            <w:pP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 </w:t>
            </w:r>
          </w:p>
        </w:tc>
        <w:tc>
          <w:tcPr>
            <w:tcW w:w="744" w:type="dxa"/>
            <w:tcBorders>
              <w:top w:val="nil"/>
              <w:left w:val="nil"/>
              <w:bottom w:val="nil"/>
              <w:right w:val="single" w:sz="8" w:space="0" w:color="auto"/>
            </w:tcBorders>
            <w:shd w:val="clear" w:color="auto" w:fill="auto"/>
            <w:noWrap/>
            <w:vAlign w:val="bottom"/>
            <w:hideMark/>
          </w:tcPr>
          <w:p w14:paraId="2C598AD0" w14:textId="77777777" w:rsidR="00D33F7C" w:rsidRPr="00AF27AC" w:rsidRDefault="00D33F7C" w:rsidP="00E213CE">
            <w:pP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 </w:t>
            </w:r>
          </w:p>
        </w:tc>
        <w:tc>
          <w:tcPr>
            <w:tcW w:w="744" w:type="dxa"/>
            <w:tcBorders>
              <w:top w:val="nil"/>
              <w:left w:val="nil"/>
              <w:bottom w:val="nil"/>
              <w:right w:val="single" w:sz="8" w:space="0" w:color="auto"/>
            </w:tcBorders>
            <w:shd w:val="clear" w:color="auto" w:fill="auto"/>
            <w:noWrap/>
            <w:vAlign w:val="bottom"/>
            <w:hideMark/>
          </w:tcPr>
          <w:p w14:paraId="022F1B0B" w14:textId="77777777" w:rsidR="00D33F7C" w:rsidRPr="00AF27AC" w:rsidRDefault="00D33F7C" w:rsidP="00E213CE">
            <w:pP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 </w:t>
            </w:r>
          </w:p>
        </w:tc>
        <w:tc>
          <w:tcPr>
            <w:tcW w:w="744" w:type="dxa"/>
            <w:tcBorders>
              <w:top w:val="nil"/>
              <w:left w:val="nil"/>
              <w:bottom w:val="nil"/>
              <w:right w:val="single" w:sz="8" w:space="0" w:color="auto"/>
            </w:tcBorders>
            <w:shd w:val="clear" w:color="auto" w:fill="auto"/>
            <w:noWrap/>
            <w:vAlign w:val="bottom"/>
            <w:hideMark/>
          </w:tcPr>
          <w:p w14:paraId="642D216D" w14:textId="77777777" w:rsidR="00D33F7C" w:rsidRPr="00AF27AC" w:rsidRDefault="00D33F7C" w:rsidP="00E213CE">
            <w:pP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 </w:t>
            </w:r>
          </w:p>
        </w:tc>
      </w:tr>
      <w:tr w:rsidR="00D33F7C" w:rsidRPr="00AF27AC" w14:paraId="141642D0" w14:textId="77777777" w:rsidTr="00E213CE">
        <w:trPr>
          <w:trHeight w:val="272"/>
        </w:trPr>
        <w:tc>
          <w:tcPr>
            <w:tcW w:w="1551" w:type="dxa"/>
            <w:tcBorders>
              <w:top w:val="nil"/>
              <w:left w:val="single" w:sz="8" w:space="0" w:color="auto"/>
              <w:bottom w:val="nil"/>
              <w:right w:val="nil"/>
            </w:tcBorders>
            <w:shd w:val="clear" w:color="auto" w:fill="auto"/>
            <w:noWrap/>
            <w:vAlign w:val="center"/>
            <w:hideMark/>
          </w:tcPr>
          <w:p w14:paraId="6596DE28" w14:textId="77777777" w:rsidR="00D33F7C" w:rsidRPr="00AF27AC" w:rsidRDefault="00D33F7C" w:rsidP="00E213CE">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For. Official</w:t>
            </w:r>
          </w:p>
        </w:tc>
        <w:tc>
          <w:tcPr>
            <w:tcW w:w="744" w:type="dxa"/>
            <w:tcBorders>
              <w:top w:val="nil"/>
              <w:left w:val="single" w:sz="8" w:space="0" w:color="auto"/>
              <w:bottom w:val="nil"/>
              <w:right w:val="nil"/>
            </w:tcBorders>
            <w:shd w:val="clear" w:color="auto" w:fill="auto"/>
            <w:noWrap/>
            <w:vAlign w:val="center"/>
            <w:hideMark/>
          </w:tcPr>
          <w:p w14:paraId="67D59333"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4147.1</w:t>
            </w:r>
          </w:p>
        </w:tc>
        <w:tc>
          <w:tcPr>
            <w:tcW w:w="744" w:type="dxa"/>
            <w:tcBorders>
              <w:top w:val="nil"/>
              <w:left w:val="single" w:sz="8" w:space="0" w:color="auto"/>
              <w:bottom w:val="nil"/>
              <w:right w:val="single" w:sz="8" w:space="0" w:color="auto"/>
            </w:tcBorders>
            <w:shd w:val="clear" w:color="auto" w:fill="auto"/>
            <w:noWrap/>
            <w:vAlign w:val="bottom"/>
            <w:hideMark/>
          </w:tcPr>
          <w:p w14:paraId="077CF03C"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4191.2</w:t>
            </w:r>
          </w:p>
        </w:tc>
        <w:tc>
          <w:tcPr>
            <w:tcW w:w="744" w:type="dxa"/>
            <w:tcBorders>
              <w:top w:val="nil"/>
              <w:left w:val="nil"/>
              <w:bottom w:val="nil"/>
              <w:right w:val="nil"/>
            </w:tcBorders>
            <w:shd w:val="clear" w:color="auto" w:fill="auto"/>
            <w:noWrap/>
            <w:vAlign w:val="bottom"/>
            <w:hideMark/>
          </w:tcPr>
          <w:p w14:paraId="5F18E611"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4199.3</w:t>
            </w:r>
          </w:p>
        </w:tc>
        <w:tc>
          <w:tcPr>
            <w:tcW w:w="744" w:type="dxa"/>
            <w:tcBorders>
              <w:top w:val="nil"/>
              <w:left w:val="single" w:sz="8" w:space="0" w:color="auto"/>
              <w:bottom w:val="nil"/>
              <w:right w:val="single" w:sz="8" w:space="0" w:color="auto"/>
            </w:tcBorders>
            <w:shd w:val="clear" w:color="auto" w:fill="auto"/>
            <w:noWrap/>
            <w:vAlign w:val="bottom"/>
            <w:hideMark/>
          </w:tcPr>
          <w:p w14:paraId="593F03D3"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4198.9</w:t>
            </w:r>
          </w:p>
        </w:tc>
        <w:tc>
          <w:tcPr>
            <w:tcW w:w="744" w:type="dxa"/>
            <w:tcBorders>
              <w:top w:val="nil"/>
              <w:left w:val="nil"/>
              <w:bottom w:val="nil"/>
              <w:right w:val="nil"/>
            </w:tcBorders>
            <w:shd w:val="clear" w:color="auto" w:fill="auto"/>
            <w:noWrap/>
            <w:vAlign w:val="bottom"/>
            <w:hideMark/>
          </w:tcPr>
          <w:p w14:paraId="618293D6"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4166.8</w:t>
            </w:r>
          </w:p>
        </w:tc>
        <w:tc>
          <w:tcPr>
            <w:tcW w:w="744" w:type="dxa"/>
            <w:tcBorders>
              <w:top w:val="nil"/>
              <w:left w:val="single" w:sz="8" w:space="0" w:color="auto"/>
              <w:bottom w:val="nil"/>
              <w:right w:val="single" w:sz="8" w:space="0" w:color="auto"/>
            </w:tcBorders>
            <w:shd w:val="clear" w:color="auto" w:fill="auto"/>
            <w:noWrap/>
            <w:vAlign w:val="bottom"/>
            <w:hideMark/>
          </w:tcPr>
          <w:p w14:paraId="696E5EF1"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4176.2</w:t>
            </w:r>
          </w:p>
        </w:tc>
        <w:tc>
          <w:tcPr>
            <w:tcW w:w="744" w:type="dxa"/>
            <w:tcBorders>
              <w:top w:val="nil"/>
              <w:left w:val="nil"/>
              <w:bottom w:val="nil"/>
              <w:right w:val="nil"/>
            </w:tcBorders>
            <w:shd w:val="clear" w:color="auto" w:fill="auto"/>
            <w:noWrap/>
            <w:vAlign w:val="bottom"/>
            <w:hideMark/>
          </w:tcPr>
          <w:p w14:paraId="4A3D3A76"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4186.5</w:t>
            </w:r>
          </w:p>
        </w:tc>
        <w:tc>
          <w:tcPr>
            <w:tcW w:w="744" w:type="dxa"/>
            <w:tcBorders>
              <w:top w:val="nil"/>
              <w:left w:val="single" w:sz="8" w:space="0" w:color="auto"/>
              <w:bottom w:val="nil"/>
              <w:right w:val="single" w:sz="8" w:space="0" w:color="auto"/>
            </w:tcBorders>
            <w:shd w:val="clear" w:color="auto" w:fill="auto"/>
            <w:noWrap/>
            <w:vAlign w:val="bottom"/>
            <w:hideMark/>
          </w:tcPr>
          <w:p w14:paraId="29F8A4D3"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4224.6</w:t>
            </w:r>
          </w:p>
        </w:tc>
        <w:tc>
          <w:tcPr>
            <w:tcW w:w="744" w:type="dxa"/>
            <w:tcBorders>
              <w:top w:val="nil"/>
              <w:left w:val="nil"/>
              <w:bottom w:val="nil"/>
              <w:right w:val="single" w:sz="8" w:space="0" w:color="auto"/>
            </w:tcBorders>
            <w:shd w:val="clear" w:color="auto" w:fill="auto"/>
            <w:noWrap/>
            <w:vAlign w:val="bottom"/>
            <w:hideMark/>
          </w:tcPr>
          <w:p w14:paraId="42D7F1F8"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4235.4</w:t>
            </w:r>
          </w:p>
        </w:tc>
        <w:tc>
          <w:tcPr>
            <w:tcW w:w="744" w:type="dxa"/>
            <w:tcBorders>
              <w:top w:val="nil"/>
              <w:left w:val="nil"/>
              <w:bottom w:val="nil"/>
              <w:right w:val="single" w:sz="8" w:space="0" w:color="auto"/>
            </w:tcBorders>
            <w:shd w:val="clear" w:color="auto" w:fill="auto"/>
            <w:noWrap/>
            <w:vAlign w:val="bottom"/>
            <w:hideMark/>
          </w:tcPr>
          <w:p w14:paraId="716A7D39"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4202.2</w:t>
            </w:r>
          </w:p>
        </w:tc>
        <w:tc>
          <w:tcPr>
            <w:tcW w:w="744" w:type="dxa"/>
            <w:tcBorders>
              <w:top w:val="nil"/>
              <w:left w:val="nil"/>
              <w:bottom w:val="nil"/>
              <w:right w:val="single" w:sz="8" w:space="0" w:color="auto"/>
            </w:tcBorders>
            <w:shd w:val="clear" w:color="auto" w:fill="auto"/>
            <w:noWrap/>
            <w:vAlign w:val="bottom"/>
            <w:hideMark/>
          </w:tcPr>
          <w:p w14:paraId="1D52F483"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4201.6</w:t>
            </w:r>
          </w:p>
        </w:tc>
        <w:tc>
          <w:tcPr>
            <w:tcW w:w="744" w:type="dxa"/>
            <w:tcBorders>
              <w:top w:val="nil"/>
              <w:left w:val="nil"/>
              <w:bottom w:val="nil"/>
              <w:right w:val="single" w:sz="8" w:space="0" w:color="auto"/>
            </w:tcBorders>
            <w:shd w:val="clear" w:color="auto" w:fill="auto"/>
            <w:noWrap/>
            <w:vAlign w:val="bottom"/>
            <w:hideMark/>
          </w:tcPr>
          <w:p w14:paraId="127B025C"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4226.1</w:t>
            </w:r>
          </w:p>
        </w:tc>
      </w:tr>
      <w:tr w:rsidR="00D33F7C" w:rsidRPr="00AF27AC" w14:paraId="76F9F6F2" w14:textId="77777777" w:rsidTr="00E213CE">
        <w:trPr>
          <w:trHeight w:val="272"/>
        </w:trPr>
        <w:tc>
          <w:tcPr>
            <w:tcW w:w="1551" w:type="dxa"/>
            <w:tcBorders>
              <w:top w:val="nil"/>
              <w:left w:val="single" w:sz="8" w:space="0" w:color="auto"/>
              <w:bottom w:val="nil"/>
              <w:right w:val="nil"/>
            </w:tcBorders>
            <w:shd w:val="clear" w:color="auto" w:fill="auto"/>
            <w:noWrap/>
            <w:vAlign w:val="center"/>
            <w:hideMark/>
          </w:tcPr>
          <w:p w14:paraId="350DF2AA" w14:textId="77777777" w:rsidR="00D33F7C" w:rsidRPr="00AF27AC" w:rsidRDefault="00D33F7C" w:rsidP="00E213CE">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Treasury Bills</w:t>
            </w:r>
          </w:p>
        </w:tc>
        <w:tc>
          <w:tcPr>
            <w:tcW w:w="744" w:type="dxa"/>
            <w:tcBorders>
              <w:top w:val="nil"/>
              <w:left w:val="single" w:sz="8" w:space="0" w:color="auto"/>
              <w:bottom w:val="nil"/>
              <w:right w:val="nil"/>
            </w:tcBorders>
            <w:shd w:val="clear" w:color="auto" w:fill="auto"/>
            <w:noWrap/>
            <w:vAlign w:val="center"/>
            <w:hideMark/>
          </w:tcPr>
          <w:p w14:paraId="73233A13"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382.3</w:t>
            </w:r>
          </w:p>
        </w:tc>
        <w:tc>
          <w:tcPr>
            <w:tcW w:w="744" w:type="dxa"/>
            <w:tcBorders>
              <w:top w:val="nil"/>
              <w:left w:val="single" w:sz="8" w:space="0" w:color="auto"/>
              <w:bottom w:val="nil"/>
              <w:right w:val="single" w:sz="8" w:space="0" w:color="auto"/>
            </w:tcBorders>
            <w:shd w:val="clear" w:color="auto" w:fill="auto"/>
            <w:noWrap/>
            <w:vAlign w:val="bottom"/>
            <w:hideMark/>
          </w:tcPr>
          <w:p w14:paraId="2977CE55"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393.6</w:t>
            </w:r>
          </w:p>
        </w:tc>
        <w:tc>
          <w:tcPr>
            <w:tcW w:w="744" w:type="dxa"/>
            <w:tcBorders>
              <w:top w:val="nil"/>
              <w:left w:val="nil"/>
              <w:bottom w:val="nil"/>
              <w:right w:val="nil"/>
            </w:tcBorders>
            <w:shd w:val="clear" w:color="auto" w:fill="auto"/>
            <w:noWrap/>
            <w:vAlign w:val="bottom"/>
            <w:hideMark/>
          </w:tcPr>
          <w:p w14:paraId="74336E37"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385</w:t>
            </w:r>
          </w:p>
        </w:tc>
        <w:tc>
          <w:tcPr>
            <w:tcW w:w="744" w:type="dxa"/>
            <w:tcBorders>
              <w:top w:val="nil"/>
              <w:left w:val="single" w:sz="8" w:space="0" w:color="auto"/>
              <w:bottom w:val="nil"/>
              <w:right w:val="single" w:sz="8" w:space="0" w:color="auto"/>
            </w:tcBorders>
            <w:shd w:val="clear" w:color="auto" w:fill="auto"/>
            <w:noWrap/>
            <w:vAlign w:val="bottom"/>
            <w:hideMark/>
          </w:tcPr>
          <w:p w14:paraId="74181DED"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371.5</w:t>
            </w:r>
          </w:p>
        </w:tc>
        <w:tc>
          <w:tcPr>
            <w:tcW w:w="744" w:type="dxa"/>
            <w:tcBorders>
              <w:top w:val="nil"/>
              <w:left w:val="nil"/>
              <w:bottom w:val="nil"/>
              <w:right w:val="nil"/>
            </w:tcBorders>
            <w:shd w:val="clear" w:color="auto" w:fill="auto"/>
            <w:noWrap/>
            <w:vAlign w:val="bottom"/>
            <w:hideMark/>
          </w:tcPr>
          <w:p w14:paraId="5C41074E"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375.4</w:t>
            </w:r>
          </w:p>
        </w:tc>
        <w:tc>
          <w:tcPr>
            <w:tcW w:w="744" w:type="dxa"/>
            <w:tcBorders>
              <w:top w:val="nil"/>
              <w:left w:val="single" w:sz="8" w:space="0" w:color="auto"/>
              <w:bottom w:val="nil"/>
              <w:right w:val="single" w:sz="8" w:space="0" w:color="auto"/>
            </w:tcBorders>
            <w:shd w:val="clear" w:color="auto" w:fill="auto"/>
            <w:noWrap/>
            <w:vAlign w:val="bottom"/>
            <w:hideMark/>
          </w:tcPr>
          <w:p w14:paraId="45C21F11"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370.8</w:t>
            </w:r>
          </w:p>
        </w:tc>
        <w:tc>
          <w:tcPr>
            <w:tcW w:w="744" w:type="dxa"/>
            <w:tcBorders>
              <w:top w:val="nil"/>
              <w:left w:val="nil"/>
              <w:bottom w:val="nil"/>
              <w:right w:val="nil"/>
            </w:tcBorders>
            <w:shd w:val="clear" w:color="auto" w:fill="auto"/>
            <w:noWrap/>
            <w:vAlign w:val="bottom"/>
            <w:hideMark/>
          </w:tcPr>
          <w:p w14:paraId="432E9FF3"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361</w:t>
            </w:r>
          </w:p>
        </w:tc>
        <w:tc>
          <w:tcPr>
            <w:tcW w:w="744" w:type="dxa"/>
            <w:tcBorders>
              <w:top w:val="nil"/>
              <w:left w:val="single" w:sz="8" w:space="0" w:color="auto"/>
              <w:bottom w:val="nil"/>
              <w:right w:val="single" w:sz="8" w:space="0" w:color="auto"/>
            </w:tcBorders>
            <w:shd w:val="clear" w:color="auto" w:fill="auto"/>
            <w:noWrap/>
            <w:vAlign w:val="bottom"/>
            <w:hideMark/>
          </w:tcPr>
          <w:p w14:paraId="6EBAFFC5"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378.1</w:t>
            </w:r>
          </w:p>
        </w:tc>
        <w:tc>
          <w:tcPr>
            <w:tcW w:w="744" w:type="dxa"/>
            <w:tcBorders>
              <w:top w:val="nil"/>
              <w:left w:val="nil"/>
              <w:bottom w:val="nil"/>
              <w:right w:val="single" w:sz="8" w:space="0" w:color="auto"/>
            </w:tcBorders>
            <w:shd w:val="clear" w:color="auto" w:fill="auto"/>
            <w:noWrap/>
            <w:vAlign w:val="bottom"/>
            <w:hideMark/>
          </w:tcPr>
          <w:p w14:paraId="16F3283F"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406.2</w:t>
            </w:r>
          </w:p>
        </w:tc>
        <w:tc>
          <w:tcPr>
            <w:tcW w:w="744" w:type="dxa"/>
            <w:tcBorders>
              <w:top w:val="nil"/>
              <w:left w:val="nil"/>
              <w:bottom w:val="nil"/>
              <w:right w:val="single" w:sz="8" w:space="0" w:color="auto"/>
            </w:tcBorders>
            <w:shd w:val="clear" w:color="auto" w:fill="auto"/>
            <w:noWrap/>
            <w:vAlign w:val="bottom"/>
            <w:hideMark/>
          </w:tcPr>
          <w:p w14:paraId="095BC026"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360.6</w:t>
            </w:r>
          </w:p>
        </w:tc>
        <w:tc>
          <w:tcPr>
            <w:tcW w:w="744" w:type="dxa"/>
            <w:tcBorders>
              <w:top w:val="nil"/>
              <w:left w:val="nil"/>
              <w:bottom w:val="nil"/>
              <w:right w:val="single" w:sz="8" w:space="0" w:color="auto"/>
            </w:tcBorders>
            <w:shd w:val="clear" w:color="auto" w:fill="auto"/>
            <w:noWrap/>
            <w:vAlign w:val="bottom"/>
            <w:hideMark/>
          </w:tcPr>
          <w:p w14:paraId="1FE71B51"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320.2</w:t>
            </w:r>
          </w:p>
        </w:tc>
        <w:tc>
          <w:tcPr>
            <w:tcW w:w="744" w:type="dxa"/>
            <w:tcBorders>
              <w:top w:val="nil"/>
              <w:left w:val="nil"/>
              <w:bottom w:val="nil"/>
              <w:right w:val="single" w:sz="8" w:space="0" w:color="auto"/>
            </w:tcBorders>
            <w:shd w:val="clear" w:color="auto" w:fill="auto"/>
            <w:noWrap/>
            <w:vAlign w:val="bottom"/>
            <w:hideMark/>
          </w:tcPr>
          <w:p w14:paraId="000FBE08"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296.1</w:t>
            </w:r>
          </w:p>
        </w:tc>
      </w:tr>
      <w:tr w:rsidR="00D33F7C" w:rsidRPr="00AF27AC" w14:paraId="141010A0" w14:textId="77777777" w:rsidTr="00E213CE">
        <w:trPr>
          <w:trHeight w:val="285"/>
        </w:trPr>
        <w:tc>
          <w:tcPr>
            <w:tcW w:w="1551" w:type="dxa"/>
            <w:tcBorders>
              <w:top w:val="nil"/>
              <w:left w:val="single" w:sz="8" w:space="0" w:color="auto"/>
              <w:bottom w:val="single" w:sz="8" w:space="0" w:color="auto"/>
              <w:right w:val="nil"/>
            </w:tcBorders>
            <w:shd w:val="clear" w:color="auto" w:fill="auto"/>
            <w:noWrap/>
            <w:vAlign w:val="center"/>
            <w:hideMark/>
          </w:tcPr>
          <w:p w14:paraId="6E838B0A" w14:textId="77777777" w:rsidR="00D33F7C" w:rsidRPr="00AF27AC" w:rsidRDefault="00D33F7C" w:rsidP="00E213CE">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T-Bonds &amp; Notes</w:t>
            </w:r>
          </w:p>
        </w:tc>
        <w:tc>
          <w:tcPr>
            <w:tcW w:w="744" w:type="dxa"/>
            <w:tcBorders>
              <w:top w:val="nil"/>
              <w:left w:val="single" w:sz="8" w:space="0" w:color="auto"/>
              <w:bottom w:val="single" w:sz="8" w:space="0" w:color="auto"/>
              <w:right w:val="nil"/>
            </w:tcBorders>
            <w:shd w:val="clear" w:color="auto" w:fill="auto"/>
            <w:noWrap/>
            <w:vAlign w:val="center"/>
            <w:hideMark/>
          </w:tcPr>
          <w:p w14:paraId="4779E01D"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3764.8</w:t>
            </w:r>
          </w:p>
        </w:tc>
        <w:tc>
          <w:tcPr>
            <w:tcW w:w="744" w:type="dxa"/>
            <w:tcBorders>
              <w:top w:val="nil"/>
              <w:left w:val="single" w:sz="8" w:space="0" w:color="auto"/>
              <w:bottom w:val="single" w:sz="8" w:space="0" w:color="auto"/>
              <w:right w:val="single" w:sz="8" w:space="0" w:color="auto"/>
            </w:tcBorders>
            <w:shd w:val="clear" w:color="auto" w:fill="auto"/>
            <w:noWrap/>
            <w:vAlign w:val="bottom"/>
            <w:hideMark/>
          </w:tcPr>
          <w:p w14:paraId="29979E84"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3797.6</w:t>
            </w:r>
          </w:p>
        </w:tc>
        <w:tc>
          <w:tcPr>
            <w:tcW w:w="744" w:type="dxa"/>
            <w:tcBorders>
              <w:top w:val="nil"/>
              <w:left w:val="nil"/>
              <w:bottom w:val="single" w:sz="8" w:space="0" w:color="auto"/>
              <w:right w:val="nil"/>
            </w:tcBorders>
            <w:shd w:val="clear" w:color="auto" w:fill="auto"/>
            <w:noWrap/>
            <w:vAlign w:val="bottom"/>
            <w:hideMark/>
          </w:tcPr>
          <w:p w14:paraId="38A8E999"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3814.3</w:t>
            </w:r>
          </w:p>
        </w:tc>
        <w:tc>
          <w:tcPr>
            <w:tcW w:w="744" w:type="dxa"/>
            <w:tcBorders>
              <w:top w:val="nil"/>
              <w:left w:val="single" w:sz="8" w:space="0" w:color="auto"/>
              <w:bottom w:val="single" w:sz="8" w:space="0" w:color="auto"/>
              <w:right w:val="single" w:sz="8" w:space="0" w:color="auto"/>
            </w:tcBorders>
            <w:shd w:val="clear" w:color="auto" w:fill="auto"/>
            <w:noWrap/>
            <w:vAlign w:val="bottom"/>
            <w:hideMark/>
          </w:tcPr>
          <w:p w14:paraId="43165C89"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3827.4</w:t>
            </w:r>
          </w:p>
        </w:tc>
        <w:tc>
          <w:tcPr>
            <w:tcW w:w="744" w:type="dxa"/>
            <w:tcBorders>
              <w:top w:val="nil"/>
              <w:left w:val="nil"/>
              <w:bottom w:val="single" w:sz="8" w:space="0" w:color="auto"/>
              <w:right w:val="nil"/>
            </w:tcBorders>
            <w:shd w:val="clear" w:color="auto" w:fill="auto"/>
            <w:noWrap/>
            <w:vAlign w:val="bottom"/>
            <w:hideMark/>
          </w:tcPr>
          <w:p w14:paraId="4BE8D853"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3791.3</w:t>
            </w:r>
          </w:p>
        </w:tc>
        <w:tc>
          <w:tcPr>
            <w:tcW w:w="744" w:type="dxa"/>
            <w:tcBorders>
              <w:top w:val="nil"/>
              <w:left w:val="single" w:sz="8" w:space="0" w:color="auto"/>
              <w:bottom w:val="single" w:sz="8" w:space="0" w:color="auto"/>
              <w:right w:val="single" w:sz="8" w:space="0" w:color="auto"/>
            </w:tcBorders>
            <w:shd w:val="clear" w:color="auto" w:fill="auto"/>
            <w:noWrap/>
            <w:vAlign w:val="bottom"/>
            <w:hideMark/>
          </w:tcPr>
          <w:p w14:paraId="3EBFB8DA"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3805.4</w:t>
            </w:r>
          </w:p>
        </w:tc>
        <w:tc>
          <w:tcPr>
            <w:tcW w:w="744" w:type="dxa"/>
            <w:tcBorders>
              <w:top w:val="nil"/>
              <w:left w:val="nil"/>
              <w:bottom w:val="single" w:sz="8" w:space="0" w:color="auto"/>
              <w:right w:val="nil"/>
            </w:tcBorders>
            <w:shd w:val="clear" w:color="auto" w:fill="auto"/>
            <w:noWrap/>
            <w:vAlign w:val="bottom"/>
            <w:hideMark/>
          </w:tcPr>
          <w:p w14:paraId="5C234EB9"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3825.6</w:t>
            </w:r>
          </w:p>
        </w:tc>
        <w:tc>
          <w:tcPr>
            <w:tcW w:w="744" w:type="dxa"/>
            <w:tcBorders>
              <w:top w:val="nil"/>
              <w:left w:val="single" w:sz="8" w:space="0" w:color="auto"/>
              <w:bottom w:val="single" w:sz="8" w:space="0" w:color="auto"/>
              <w:right w:val="single" w:sz="8" w:space="0" w:color="auto"/>
            </w:tcBorders>
            <w:shd w:val="clear" w:color="auto" w:fill="auto"/>
            <w:noWrap/>
            <w:vAlign w:val="bottom"/>
            <w:hideMark/>
          </w:tcPr>
          <w:p w14:paraId="518FECA4"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3846.6</w:t>
            </w:r>
          </w:p>
        </w:tc>
        <w:tc>
          <w:tcPr>
            <w:tcW w:w="744" w:type="dxa"/>
            <w:tcBorders>
              <w:top w:val="nil"/>
              <w:left w:val="nil"/>
              <w:bottom w:val="single" w:sz="8" w:space="0" w:color="auto"/>
              <w:right w:val="single" w:sz="8" w:space="0" w:color="auto"/>
            </w:tcBorders>
            <w:shd w:val="clear" w:color="auto" w:fill="auto"/>
            <w:noWrap/>
            <w:vAlign w:val="bottom"/>
            <w:hideMark/>
          </w:tcPr>
          <w:p w14:paraId="19763CD4"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3829.2</w:t>
            </w:r>
          </w:p>
        </w:tc>
        <w:tc>
          <w:tcPr>
            <w:tcW w:w="744" w:type="dxa"/>
            <w:tcBorders>
              <w:top w:val="nil"/>
              <w:left w:val="nil"/>
              <w:bottom w:val="single" w:sz="8" w:space="0" w:color="auto"/>
              <w:right w:val="single" w:sz="8" w:space="0" w:color="auto"/>
            </w:tcBorders>
            <w:shd w:val="clear" w:color="auto" w:fill="auto"/>
            <w:noWrap/>
            <w:vAlign w:val="bottom"/>
            <w:hideMark/>
          </w:tcPr>
          <w:p w14:paraId="68083E0C"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3841.6</w:t>
            </w:r>
          </w:p>
        </w:tc>
        <w:tc>
          <w:tcPr>
            <w:tcW w:w="744" w:type="dxa"/>
            <w:tcBorders>
              <w:top w:val="nil"/>
              <w:left w:val="nil"/>
              <w:bottom w:val="single" w:sz="8" w:space="0" w:color="auto"/>
              <w:right w:val="single" w:sz="8" w:space="0" w:color="auto"/>
            </w:tcBorders>
            <w:shd w:val="clear" w:color="auto" w:fill="auto"/>
            <w:noWrap/>
            <w:vAlign w:val="bottom"/>
            <w:hideMark/>
          </w:tcPr>
          <w:p w14:paraId="1F413292"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3881.4</w:t>
            </w:r>
          </w:p>
        </w:tc>
        <w:tc>
          <w:tcPr>
            <w:tcW w:w="744" w:type="dxa"/>
            <w:tcBorders>
              <w:top w:val="nil"/>
              <w:left w:val="nil"/>
              <w:bottom w:val="single" w:sz="8" w:space="0" w:color="auto"/>
              <w:right w:val="single" w:sz="8" w:space="0" w:color="auto"/>
            </w:tcBorders>
            <w:shd w:val="clear" w:color="auto" w:fill="auto"/>
            <w:noWrap/>
            <w:vAlign w:val="bottom"/>
            <w:hideMark/>
          </w:tcPr>
          <w:p w14:paraId="233DC735" w14:textId="77777777" w:rsidR="00D33F7C" w:rsidRPr="00AF27AC" w:rsidRDefault="00D33F7C" w:rsidP="00E213CE">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3930</w:t>
            </w:r>
          </w:p>
        </w:tc>
      </w:tr>
      <w:tr w:rsidR="00D33F7C" w:rsidRPr="00AF27AC" w14:paraId="0E93C01C" w14:textId="77777777" w:rsidTr="00E213CE">
        <w:trPr>
          <w:trHeight w:val="217"/>
        </w:trPr>
        <w:tc>
          <w:tcPr>
            <w:tcW w:w="1551" w:type="dxa"/>
            <w:tcBorders>
              <w:top w:val="nil"/>
              <w:left w:val="nil"/>
              <w:bottom w:val="nil"/>
              <w:right w:val="nil"/>
            </w:tcBorders>
            <w:shd w:val="clear" w:color="auto" w:fill="auto"/>
            <w:noWrap/>
            <w:vAlign w:val="bottom"/>
            <w:hideMark/>
          </w:tcPr>
          <w:p w14:paraId="475A91D5" w14:textId="77777777" w:rsidR="00D33F7C" w:rsidRPr="00AF27AC" w:rsidRDefault="00D33F7C" w:rsidP="00E213CE">
            <w:pPr>
              <w:jc w:val="right"/>
              <w:rPr>
                <w:rFonts w:ascii="Garamond" w:eastAsia="Times New Roman" w:hAnsi="Garamond" w:cs="Calibri"/>
                <w:color w:val="000000"/>
                <w:sz w:val="20"/>
                <w:szCs w:val="20"/>
                <w:lang w:val="en-IN" w:eastAsia="en-IN" w:bidi="hi-IN"/>
              </w:rPr>
            </w:pPr>
          </w:p>
        </w:tc>
        <w:tc>
          <w:tcPr>
            <w:tcW w:w="744" w:type="dxa"/>
            <w:tcBorders>
              <w:top w:val="nil"/>
              <w:left w:val="nil"/>
              <w:bottom w:val="nil"/>
              <w:right w:val="nil"/>
            </w:tcBorders>
            <w:shd w:val="clear" w:color="auto" w:fill="auto"/>
            <w:noWrap/>
            <w:vAlign w:val="bottom"/>
            <w:hideMark/>
          </w:tcPr>
          <w:p w14:paraId="78996BB2" w14:textId="77777777" w:rsidR="00D33F7C" w:rsidRPr="00AF27AC" w:rsidRDefault="00D33F7C" w:rsidP="00E213CE">
            <w:pPr>
              <w:rPr>
                <w:rFonts w:ascii="Times New Roman" w:eastAsia="Times New Roman" w:hAnsi="Times New Roman"/>
                <w:sz w:val="20"/>
                <w:szCs w:val="20"/>
                <w:lang w:val="en-IN" w:eastAsia="en-IN" w:bidi="hi-IN"/>
              </w:rPr>
            </w:pPr>
          </w:p>
        </w:tc>
        <w:tc>
          <w:tcPr>
            <w:tcW w:w="744" w:type="dxa"/>
            <w:tcBorders>
              <w:top w:val="nil"/>
              <w:left w:val="nil"/>
              <w:bottom w:val="nil"/>
              <w:right w:val="nil"/>
            </w:tcBorders>
            <w:shd w:val="clear" w:color="auto" w:fill="auto"/>
            <w:noWrap/>
            <w:vAlign w:val="bottom"/>
            <w:hideMark/>
          </w:tcPr>
          <w:p w14:paraId="30C58B45" w14:textId="77777777" w:rsidR="00D33F7C" w:rsidRPr="00AF27AC" w:rsidRDefault="00D33F7C" w:rsidP="00E213CE">
            <w:pPr>
              <w:rPr>
                <w:rFonts w:ascii="Times New Roman" w:eastAsia="Times New Roman" w:hAnsi="Times New Roman"/>
                <w:sz w:val="20"/>
                <w:szCs w:val="20"/>
                <w:lang w:val="en-IN" w:eastAsia="en-IN" w:bidi="hi-IN"/>
              </w:rPr>
            </w:pPr>
          </w:p>
        </w:tc>
        <w:tc>
          <w:tcPr>
            <w:tcW w:w="744" w:type="dxa"/>
            <w:tcBorders>
              <w:top w:val="nil"/>
              <w:left w:val="nil"/>
              <w:bottom w:val="nil"/>
              <w:right w:val="nil"/>
            </w:tcBorders>
            <w:shd w:val="clear" w:color="auto" w:fill="auto"/>
            <w:noWrap/>
            <w:vAlign w:val="bottom"/>
            <w:hideMark/>
          </w:tcPr>
          <w:p w14:paraId="257C966F" w14:textId="77777777" w:rsidR="00D33F7C" w:rsidRPr="00AF27AC" w:rsidRDefault="00D33F7C" w:rsidP="00E213CE">
            <w:pPr>
              <w:rPr>
                <w:rFonts w:ascii="Times New Roman" w:eastAsia="Times New Roman" w:hAnsi="Times New Roman"/>
                <w:sz w:val="20"/>
                <w:szCs w:val="20"/>
                <w:lang w:val="en-IN" w:eastAsia="en-IN" w:bidi="hi-IN"/>
              </w:rPr>
            </w:pPr>
          </w:p>
        </w:tc>
        <w:tc>
          <w:tcPr>
            <w:tcW w:w="744" w:type="dxa"/>
            <w:tcBorders>
              <w:top w:val="nil"/>
              <w:left w:val="nil"/>
              <w:bottom w:val="nil"/>
              <w:right w:val="nil"/>
            </w:tcBorders>
            <w:shd w:val="clear" w:color="auto" w:fill="auto"/>
            <w:noWrap/>
            <w:vAlign w:val="bottom"/>
            <w:hideMark/>
          </w:tcPr>
          <w:p w14:paraId="37A3D4ED" w14:textId="77777777" w:rsidR="00D33F7C" w:rsidRPr="00AF27AC" w:rsidRDefault="00D33F7C" w:rsidP="00E213CE">
            <w:pPr>
              <w:rPr>
                <w:rFonts w:ascii="Times New Roman" w:eastAsia="Times New Roman" w:hAnsi="Times New Roman"/>
                <w:sz w:val="20"/>
                <w:szCs w:val="20"/>
                <w:lang w:val="en-IN" w:eastAsia="en-IN" w:bidi="hi-IN"/>
              </w:rPr>
            </w:pPr>
          </w:p>
        </w:tc>
        <w:tc>
          <w:tcPr>
            <w:tcW w:w="744" w:type="dxa"/>
            <w:tcBorders>
              <w:top w:val="nil"/>
              <w:left w:val="nil"/>
              <w:bottom w:val="nil"/>
              <w:right w:val="nil"/>
            </w:tcBorders>
            <w:shd w:val="clear" w:color="auto" w:fill="auto"/>
            <w:noWrap/>
            <w:vAlign w:val="bottom"/>
            <w:hideMark/>
          </w:tcPr>
          <w:p w14:paraId="232C4F35" w14:textId="77777777" w:rsidR="00D33F7C" w:rsidRPr="00AF27AC" w:rsidRDefault="00D33F7C" w:rsidP="00E213CE">
            <w:pPr>
              <w:rPr>
                <w:rFonts w:ascii="Times New Roman" w:eastAsia="Times New Roman" w:hAnsi="Times New Roman"/>
                <w:sz w:val="20"/>
                <w:szCs w:val="20"/>
                <w:lang w:val="en-IN" w:eastAsia="en-IN" w:bidi="hi-IN"/>
              </w:rPr>
            </w:pPr>
          </w:p>
        </w:tc>
        <w:tc>
          <w:tcPr>
            <w:tcW w:w="744" w:type="dxa"/>
            <w:tcBorders>
              <w:top w:val="nil"/>
              <w:left w:val="nil"/>
              <w:bottom w:val="nil"/>
              <w:right w:val="nil"/>
            </w:tcBorders>
            <w:shd w:val="clear" w:color="auto" w:fill="auto"/>
            <w:noWrap/>
            <w:vAlign w:val="bottom"/>
            <w:hideMark/>
          </w:tcPr>
          <w:p w14:paraId="75E76630" w14:textId="77777777" w:rsidR="00D33F7C" w:rsidRPr="00AF27AC" w:rsidRDefault="00D33F7C" w:rsidP="00E213CE">
            <w:pPr>
              <w:rPr>
                <w:rFonts w:ascii="Times New Roman" w:eastAsia="Times New Roman" w:hAnsi="Times New Roman"/>
                <w:sz w:val="20"/>
                <w:szCs w:val="20"/>
                <w:lang w:val="en-IN" w:eastAsia="en-IN" w:bidi="hi-IN"/>
              </w:rPr>
            </w:pPr>
          </w:p>
        </w:tc>
        <w:tc>
          <w:tcPr>
            <w:tcW w:w="744" w:type="dxa"/>
            <w:tcBorders>
              <w:top w:val="nil"/>
              <w:left w:val="nil"/>
              <w:bottom w:val="nil"/>
              <w:right w:val="nil"/>
            </w:tcBorders>
            <w:shd w:val="clear" w:color="auto" w:fill="auto"/>
            <w:noWrap/>
            <w:vAlign w:val="bottom"/>
            <w:hideMark/>
          </w:tcPr>
          <w:p w14:paraId="494839A5" w14:textId="77777777" w:rsidR="00D33F7C" w:rsidRPr="00AF27AC" w:rsidRDefault="00D33F7C" w:rsidP="00E213CE">
            <w:pPr>
              <w:rPr>
                <w:rFonts w:ascii="Times New Roman" w:eastAsia="Times New Roman" w:hAnsi="Times New Roman"/>
                <w:sz w:val="20"/>
                <w:szCs w:val="20"/>
                <w:lang w:val="en-IN" w:eastAsia="en-IN" w:bidi="hi-IN"/>
              </w:rPr>
            </w:pPr>
          </w:p>
        </w:tc>
        <w:tc>
          <w:tcPr>
            <w:tcW w:w="744" w:type="dxa"/>
            <w:tcBorders>
              <w:top w:val="nil"/>
              <w:left w:val="nil"/>
              <w:bottom w:val="nil"/>
              <w:right w:val="nil"/>
            </w:tcBorders>
            <w:shd w:val="clear" w:color="auto" w:fill="auto"/>
            <w:noWrap/>
            <w:vAlign w:val="bottom"/>
            <w:hideMark/>
          </w:tcPr>
          <w:p w14:paraId="72D852AB" w14:textId="77777777" w:rsidR="00D33F7C" w:rsidRPr="00AF27AC" w:rsidRDefault="00D33F7C" w:rsidP="00E213CE">
            <w:pPr>
              <w:rPr>
                <w:rFonts w:ascii="Times New Roman" w:eastAsia="Times New Roman" w:hAnsi="Times New Roman"/>
                <w:sz w:val="20"/>
                <w:szCs w:val="20"/>
                <w:lang w:val="en-IN" w:eastAsia="en-IN" w:bidi="hi-IN"/>
              </w:rPr>
            </w:pPr>
          </w:p>
        </w:tc>
        <w:tc>
          <w:tcPr>
            <w:tcW w:w="744" w:type="dxa"/>
            <w:tcBorders>
              <w:top w:val="nil"/>
              <w:left w:val="nil"/>
              <w:bottom w:val="nil"/>
              <w:right w:val="nil"/>
            </w:tcBorders>
            <w:shd w:val="clear" w:color="auto" w:fill="auto"/>
            <w:noWrap/>
            <w:vAlign w:val="bottom"/>
            <w:hideMark/>
          </w:tcPr>
          <w:p w14:paraId="6FE86141" w14:textId="77777777" w:rsidR="00D33F7C" w:rsidRPr="00AF27AC" w:rsidRDefault="00D33F7C" w:rsidP="00E213CE">
            <w:pPr>
              <w:rPr>
                <w:rFonts w:ascii="Times New Roman" w:eastAsia="Times New Roman" w:hAnsi="Times New Roman"/>
                <w:sz w:val="20"/>
                <w:szCs w:val="20"/>
                <w:lang w:val="en-IN" w:eastAsia="en-IN" w:bidi="hi-IN"/>
              </w:rPr>
            </w:pPr>
          </w:p>
        </w:tc>
        <w:tc>
          <w:tcPr>
            <w:tcW w:w="744" w:type="dxa"/>
            <w:tcBorders>
              <w:top w:val="nil"/>
              <w:left w:val="nil"/>
              <w:bottom w:val="nil"/>
              <w:right w:val="nil"/>
            </w:tcBorders>
            <w:shd w:val="clear" w:color="auto" w:fill="auto"/>
            <w:noWrap/>
            <w:vAlign w:val="bottom"/>
            <w:hideMark/>
          </w:tcPr>
          <w:p w14:paraId="40E7F39F" w14:textId="77777777" w:rsidR="00D33F7C" w:rsidRPr="00AF27AC" w:rsidRDefault="00D33F7C" w:rsidP="00E213CE">
            <w:pPr>
              <w:rPr>
                <w:rFonts w:ascii="Times New Roman" w:eastAsia="Times New Roman" w:hAnsi="Times New Roman"/>
                <w:sz w:val="20"/>
                <w:szCs w:val="20"/>
                <w:lang w:val="en-IN" w:eastAsia="en-IN" w:bidi="hi-IN"/>
              </w:rPr>
            </w:pPr>
          </w:p>
        </w:tc>
        <w:tc>
          <w:tcPr>
            <w:tcW w:w="744" w:type="dxa"/>
            <w:tcBorders>
              <w:top w:val="nil"/>
              <w:left w:val="nil"/>
              <w:bottom w:val="nil"/>
              <w:right w:val="nil"/>
            </w:tcBorders>
            <w:shd w:val="clear" w:color="auto" w:fill="auto"/>
            <w:noWrap/>
            <w:vAlign w:val="bottom"/>
            <w:hideMark/>
          </w:tcPr>
          <w:p w14:paraId="1D7A0217" w14:textId="77777777" w:rsidR="00D33F7C" w:rsidRPr="00AF27AC" w:rsidRDefault="00D33F7C" w:rsidP="00E213CE">
            <w:pPr>
              <w:rPr>
                <w:rFonts w:ascii="Times New Roman" w:eastAsia="Times New Roman" w:hAnsi="Times New Roman"/>
                <w:sz w:val="20"/>
                <w:szCs w:val="20"/>
                <w:lang w:val="en-IN" w:eastAsia="en-IN" w:bidi="hi-IN"/>
              </w:rPr>
            </w:pPr>
          </w:p>
        </w:tc>
        <w:tc>
          <w:tcPr>
            <w:tcW w:w="744" w:type="dxa"/>
            <w:tcBorders>
              <w:top w:val="nil"/>
              <w:left w:val="nil"/>
              <w:bottom w:val="nil"/>
              <w:right w:val="nil"/>
            </w:tcBorders>
            <w:shd w:val="clear" w:color="auto" w:fill="auto"/>
            <w:noWrap/>
            <w:vAlign w:val="bottom"/>
            <w:hideMark/>
          </w:tcPr>
          <w:p w14:paraId="6CAEF256" w14:textId="77777777" w:rsidR="00D33F7C" w:rsidRPr="00AF27AC" w:rsidRDefault="00D33F7C" w:rsidP="00E213CE">
            <w:pPr>
              <w:rPr>
                <w:rFonts w:ascii="Times New Roman" w:eastAsia="Times New Roman" w:hAnsi="Times New Roman"/>
                <w:sz w:val="20"/>
                <w:szCs w:val="20"/>
                <w:lang w:val="en-IN" w:eastAsia="en-IN" w:bidi="hi-IN"/>
              </w:rPr>
            </w:pPr>
          </w:p>
        </w:tc>
      </w:tr>
    </w:tbl>
    <w:p w14:paraId="553DB72E" w14:textId="77777777" w:rsidR="00D33F7C" w:rsidRPr="001D2656" w:rsidRDefault="00D33F7C" w:rsidP="00D33F7C">
      <w:pPr>
        <w:spacing w:line="23" w:lineRule="atLeast"/>
        <w:rPr>
          <w:rFonts w:ascii="Garamond" w:hAnsi="Garamond"/>
          <w:bCs/>
          <w:sz w:val="18"/>
          <w:szCs w:val="18"/>
        </w:rPr>
      </w:pPr>
      <w:r w:rsidRPr="001D2656">
        <w:rPr>
          <w:rFonts w:ascii="Garamond" w:hAnsi="Garamond"/>
          <w:bCs/>
          <w:sz w:val="18"/>
          <w:szCs w:val="18"/>
        </w:rPr>
        <w:t xml:space="preserve"> Note: </w:t>
      </w:r>
    </w:p>
    <w:p w14:paraId="3BA944B7" w14:textId="77777777" w:rsidR="00D33F7C" w:rsidRPr="001D2656" w:rsidRDefault="00D33F7C" w:rsidP="00D33F7C">
      <w:pPr>
        <w:numPr>
          <w:ilvl w:val="0"/>
          <w:numId w:val="6"/>
        </w:numPr>
        <w:spacing w:line="23" w:lineRule="atLeast"/>
        <w:ind w:left="360"/>
        <w:contextualSpacing/>
        <w:jc w:val="both"/>
        <w:rPr>
          <w:rFonts w:ascii="Garamond" w:hAnsi="Garamond"/>
          <w:bCs/>
          <w:sz w:val="18"/>
          <w:szCs w:val="18"/>
          <w:lang w:val="en-US"/>
        </w:rPr>
      </w:pPr>
      <w:r w:rsidRPr="001D2656">
        <w:rPr>
          <w:rFonts w:ascii="Garamond" w:hAnsi="Garamond"/>
          <w:bCs/>
          <w:sz w:val="18"/>
          <w:szCs w:val="18"/>
          <w:lang w:val="en-US"/>
        </w:rPr>
        <w:t xml:space="preserve">Data available as on </w:t>
      </w:r>
      <w:r>
        <w:rPr>
          <w:rFonts w:ascii="Garamond" w:hAnsi="Garamond"/>
          <w:bCs/>
          <w:sz w:val="18"/>
          <w:szCs w:val="18"/>
          <w:lang w:val="en-US"/>
        </w:rPr>
        <w:t>10 August</w:t>
      </w:r>
      <w:r w:rsidRPr="001D2656">
        <w:rPr>
          <w:rFonts w:ascii="Garamond" w:hAnsi="Garamond"/>
          <w:bCs/>
          <w:sz w:val="18"/>
          <w:szCs w:val="18"/>
          <w:lang w:val="en-US"/>
        </w:rPr>
        <w:t xml:space="preserve"> 2021</w:t>
      </w:r>
    </w:p>
    <w:p w14:paraId="67BDF49F" w14:textId="77777777" w:rsidR="00D33F7C" w:rsidRPr="001D2656" w:rsidRDefault="00D33F7C" w:rsidP="00D33F7C">
      <w:pPr>
        <w:numPr>
          <w:ilvl w:val="0"/>
          <w:numId w:val="6"/>
        </w:numPr>
        <w:spacing w:line="23" w:lineRule="atLeast"/>
        <w:ind w:left="360"/>
        <w:contextualSpacing/>
        <w:jc w:val="both"/>
        <w:rPr>
          <w:rFonts w:ascii="Garamond" w:hAnsi="Garamond"/>
          <w:bCs/>
          <w:sz w:val="18"/>
          <w:szCs w:val="18"/>
          <w:lang w:val="en-US"/>
        </w:rPr>
      </w:pPr>
      <w:r w:rsidRPr="001D2656">
        <w:rPr>
          <w:rFonts w:ascii="Garamond" w:hAnsi="Garamond"/>
          <w:bCs/>
          <w:sz w:val="18"/>
          <w:szCs w:val="18"/>
          <w:lang w:val="en-US"/>
        </w:rPr>
        <w:t>The data in this table are collected primarily from U.S.-based custodians and broker-dealers. Since U.S. securities held in overseas custody accounts may not be attributed to the actual owners, the data may not provide a precise accounting of individual country ownership of Treasury securities (see TIC FAQ #7 at: http://www.treasury.gov/resource-center/data-chart-center/tic/Pages/ticfaq1.aspx)</w:t>
      </w:r>
    </w:p>
    <w:p w14:paraId="7D5E7749" w14:textId="77777777" w:rsidR="00D33F7C" w:rsidRPr="001D2656" w:rsidRDefault="00D33F7C" w:rsidP="00D33F7C">
      <w:pPr>
        <w:numPr>
          <w:ilvl w:val="0"/>
          <w:numId w:val="6"/>
        </w:numPr>
        <w:spacing w:line="23" w:lineRule="atLeast"/>
        <w:ind w:left="360"/>
        <w:contextualSpacing/>
        <w:jc w:val="both"/>
        <w:rPr>
          <w:rFonts w:ascii="Garamond" w:hAnsi="Garamond"/>
          <w:bCs/>
          <w:sz w:val="18"/>
          <w:szCs w:val="18"/>
          <w:lang w:val="en-US"/>
        </w:rPr>
      </w:pPr>
      <w:r w:rsidRPr="001D2656">
        <w:rPr>
          <w:rFonts w:ascii="Garamond" w:hAnsi="Garamond"/>
          <w:bCs/>
          <w:sz w:val="18"/>
          <w:szCs w:val="18"/>
          <w:lang w:val="en-US"/>
        </w:rPr>
        <w:t xml:space="preserve">Estimated foreign holdings of U.S. Treasury marketable and non-marketable bills, bonds, and notes reported under the Treasury  International Capital (TIC) reporting system are based on monthly data on holdings of Treasury bonds and notes  as reported on TIC </w:t>
      </w:r>
      <w:r w:rsidRPr="001D2656">
        <w:rPr>
          <w:rFonts w:ascii="Garamond" w:hAnsi="Garamond"/>
          <w:bCs/>
          <w:sz w:val="18"/>
          <w:szCs w:val="18"/>
          <w:lang w:val="en-US"/>
        </w:rPr>
        <w:lastRenderedPageBreak/>
        <w:t>Form SLT, Aggregate Holdings of Long-Term Securities by U.S. and Foreign Residents  and on TIC Form BL2, Report of Customers' U.S. Dollar Liabilities to Foreign Residents.</w:t>
      </w:r>
    </w:p>
    <w:p w14:paraId="2C133191" w14:textId="77777777" w:rsidR="00D33F7C" w:rsidRDefault="00D33F7C" w:rsidP="00D33F7C">
      <w:pPr>
        <w:spacing w:line="23" w:lineRule="atLeast"/>
        <w:rPr>
          <w:rFonts w:ascii="Garamond" w:hAnsi="Garamond"/>
          <w:bCs/>
          <w:sz w:val="18"/>
          <w:szCs w:val="18"/>
        </w:rPr>
      </w:pPr>
      <w:r w:rsidRPr="001D2656">
        <w:rPr>
          <w:rFonts w:ascii="Garamond" w:hAnsi="Garamond"/>
          <w:bCs/>
          <w:sz w:val="18"/>
          <w:szCs w:val="18"/>
        </w:rPr>
        <w:t>Source: Department of the Treasury/Federal Reserve Board</w:t>
      </w:r>
    </w:p>
    <w:p w14:paraId="77615FDD" w14:textId="77777777" w:rsidR="00D33F7C" w:rsidRPr="001D2656" w:rsidRDefault="00D33F7C" w:rsidP="00D33F7C">
      <w:pPr>
        <w:spacing w:line="23" w:lineRule="atLeast"/>
        <w:rPr>
          <w:rFonts w:ascii="Times New Roman" w:hAnsi="Times New Roman"/>
          <w:bCs/>
          <w:sz w:val="18"/>
          <w:szCs w:val="18"/>
        </w:rPr>
      </w:pPr>
    </w:p>
    <w:p w14:paraId="41E429A4" w14:textId="77777777" w:rsidR="007C2E4F" w:rsidRDefault="007C2E4F" w:rsidP="000E125F">
      <w:pPr>
        <w:jc w:val="center"/>
        <w:rPr>
          <w:rFonts w:ascii="Palatino Linotype" w:hAnsi="Palatino Linotype" w:cs="Calibri"/>
          <w:b/>
          <w:sz w:val="28"/>
          <w:szCs w:val="28"/>
        </w:rPr>
      </w:pPr>
    </w:p>
    <w:p w14:paraId="691E4C32" w14:textId="77777777" w:rsidR="007C2E4F" w:rsidRDefault="007C2E4F" w:rsidP="000E125F">
      <w:pPr>
        <w:jc w:val="center"/>
        <w:rPr>
          <w:rFonts w:ascii="Palatino Linotype" w:hAnsi="Palatino Linotype" w:cs="Calibri"/>
          <w:b/>
          <w:sz w:val="28"/>
          <w:szCs w:val="28"/>
        </w:rPr>
      </w:pPr>
    </w:p>
    <w:p w14:paraId="4A5E0F47" w14:textId="77777777" w:rsidR="007C2E4F" w:rsidRDefault="007C2E4F" w:rsidP="000E125F">
      <w:pPr>
        <w:jc w:val="center"/>
        <w:rPr>
          <w:rFonts w:ascii="Palatino Linotype" w:hAnsi="Palatino Linotype" w:cs="Calibri"/>
          <w:b/>
          <w:sz w:val="28"/>
          <w:szCs w:val="28"/>
        </w:rPr>
      </w:pPr>
    </w:p>
    <w:p w14:paraId="157CECF7" w14:textId="77777777" w:rsidR="007C2E4F" w:rsidRDefault="007C2E4F" w:rsidP="000E125F">
      <w:pPr>
        <w:jc w:val="center"/>
        <w:rPr>
          <w:rFonts w:ascii="Palatino Linotype" w:hAnsi="Palatino Linotype" w:cs="Calibri"/>
          <w:b/>
          <w:sz w:val="28"/>
          <w:szCs w:val="28"/>
        </w:rPr>
      </w:pPr>
    </w:p>
    <w:p w14:paraId="749B6EDC" w14:textId="77777777" w:rsidR="007C2E4F" w:rsidRDefault="007C2E4F" w:rsidP="000E125F">
      <w:pPr>
        <w:jc w:val="center"/>
        <w:rPr>
          <w:rFonts w:ascii="Palatino Linotype" w:hAnsi="Palatino Linotype" w:cs="Calibri"/>
          <w:b/>
          <w:sz w:val="28"/>
          <w:szCs w:val="28"/>
        </w:rPr>
      </w:pPr>
    </w:p>
    <w:p w14:paraId="09F8D16E" w14:textId="77777777" w:rsidR="007C2E4F" w:rsidRDefault="007C2E4F" w:rsidP="000E125F">
      <w:pPr>
        <w:jc w:val="center"/>
        <w:rPr>
          <w:rFonts w:ascii="Palatino Linotype" w:hAnsi="Palatino Linotype" w:cs="Calibri"/>
          <w:b/>
          <w:sz w:val="28"/>
          <w:szCs w:val="28"/>
        </w:rPr>
      </w:pPr>
    </w:p>
    <w:p w14:paraId="6DB50179" w14:textId="77777777" w:rsidR="007C2E4F" w:rsidRDefault="007C2E4F" w:rsidP="000E125F">
      <w:pPr>
        <w:jc w:val="center"/>
        <w:rPr>
          <w:rFonts w:ascii="Palatino Linotype" w:hAnsi="Palatino Linotype" w:cs="Calibri"/>
          <w:b/>
          <w:sz w:val="28"/>
          <w:szCs w:val="28"/>
        </w:rPr>
      </w:pPr>
    </w:p>
    <w:p w14:paraId="54066A67" w14:textId="77777777" w:rsidR="007C2E4F" w:rsidRDefault="007C2E4F" w:rsidP="000E125F">
      <w:pPr>
        <w:jc w:val="center"/>
        <w:rPr>
          <w:rFonts w:ascii="Palatino Linotype" w:hAnsi="Palatino Linotype" w:cs="Calibri"/>
          <w:b/>
          <w:sz w:val="28"/>
          <w:szCs w:val="28"/>
        </w:rPr>
      </w:pPr>
    </w:p>
    <w:p w14:paraId="152CDD8B" w14:textId="77777777" w:rsidR="007C2E4F" w:rsidRDefault="007C2E4F" w:rsidP="000E125F">
      <w:pPr>
        <w:jc w:val="center"/>
        <w:rPr>
          <w:rFonts w:ascii="Palatino Linotype" w:hAnsi="Palatino Linotype" w:cs="Calibri"/>
          <w:b/>
          <w:sz w:val="28"/>
          <w:szCs w:val="28"/>
        </w:rPr>
      </w:pPr>
    </w:p>
    <w:p w14:paraId="753BD517" w14:textId="77777777" w:rsidR="007C2E4F" w:rsidRDefault="007C2E4F" w:rsidP="000E125F">
      <w:pPr>
        <w:jc w:val="center"/>
        <w:rPr>
          <w:rFonts w:ascii="Palatino Linotype" w:hAnsi="Palatino Linotype" w:cs="Calibri"/>
          <w:b/>
          <w:sz w:val="28"/>
          <w:szCs w:val="28"/>
        </w:rPr>
      </w:pPr>
    </w:p>
    <w:p w14:paraId="136ACB05" w14:textId="77777777" w:rsidR="007C2E4F" w:rsidRDefault="007C2E4F" w:rsidP="000E125F">
      <w:pPr>
        <w:jc w:val="center"/>
        <w:rPr>
          <w:rFonts w:ascii="Palatino Linotype" w:hAnsi="Palatino Linotype" w:cs="Calibri"/>
          <w:b/>
          <w:sz w:val="28"/>
          <w:szCs w:val="28"/>
        </w:rPr>
      </w:pPr>
    </w:p>
    <w:p w14:paraId="02FB3571" w14:textId="77777777" w:rsidR="007C2E4F" w:rsidRDefault="007C2E4F" w:rsidP="000E125F">
      <w:pPr>
        <w:jc w:val="center"/>
        <w:rPr>
          <w:rFonts w:ascii="Palatino Linotype" w:hAnsi="Palatino Linotype" w:cs="Calibri"/>
          <w:b/>
          <w:sz w:val="28"/>
          <w:szCs w:val="28"/>
        </w:rPr>
      </w:pPr>
    </w:p>
    <w:p w14:paraId="7A3DF37C" w14:textId="77777777" w:rsidR="007C2E4F" w:rsidRDefault="007C2E4F" w:rsidP="000E125F">
      <w:pPr>
        <w:jc w:val="center"/>
        <w:rPr>
          <w:rFonts w:ascii="Palatino Linotype" w:hAnsi="Palatino Linotype" w:cs="Calibri"/>
          <w:b/>
          <w:sz w:val="28"/>
          <w:szCs w:val="28"/>
        </w:rPr>
      </w:pPr>
    </w:p>
    <w:p w14:paraId="35B2C82C" w14:textId="77777777" w:rsidR="007C2E4F" w:rsidRDefault="007C2E4F" w:rsidP="000E125F">
      <w:pPr>
        <w:jc w:val="center"/>
        <w:rPr>
          <w:rFonts w:ascii="Palatino Linotype" w:hAnsi="Palatino Linotype" w:cs="Calibri"/>
          <w:b/>
          <w:sz w:val="28"/>
          <w:szCs w:val="28"/>
        </w:rPr>
      </w:pPr>
    </w:p>
    <w:p w14:paraId="26B60E96" w14:textId="77777777" w:rsidR="007C2E4F" w:rsidRDefault="007C2E4F" w:rsidP="000E125F">
      <w:pPr>
        <w:jc w:val="center"/>
        <w:rPr>
          <w:rFonts w:ascii="Palatino Linotype" w:hAnsi="Palatino Linotype" w:cs="Calibri"/>
          <w:b/>
          <w:sz w:val="28"/>
          <w:szCs w:val="28"/>
        </w:rPr>
      </w:pPr>
    </w:p>
    <w:p w14:paraId="315A58B9" w14:textId="77777777" w:rsidR="007C2E4F" w:rsidRDefault="007C2E4F" w:rsidP="000E125F">
      <w:pPr>
        <w:jc w:val="center"/>
        <w:rPr>
          <w:rFonts w:ascii="Palatino Linotype" w:hAnsi="Palatino Linotype" w:cs="Calibri"/>
          <w:b/>
          <w:sz w:val="28"/>
          <w:szCs w:val="28"/>
        </w:rPr>
      </w:pPr>
    </w:p>
    <w:p w14:paraId="720A8EF1" w14:textId="77777777" w:rsidR="007C2E4F" w:rsidRDefault="007C2E4F" w:rsidP="000E125F">
      <w:pPr>
        <w:jc w:val="center"/>
        <w:rPr>
          <w:rFonts w:ascii="Palatino Linotype" w:hAnsi="Palatino Linotype" w:cs="Calibri"/>
          <w:b/>
          <w:sz w:val="28"/>
          <w:szCs w:val="28"/>
        </w:rPr>
      </w:pPr>
    </w:p>
    <w:p w14:paraId="1A1A964F" w14:textId="77777777" w:rsidR="007C2E4F" w:rsidRDefault="007C2E4F" w:rsidP="000E125F">
      <w:pPr>
        <w:jc w:val="center"/>
        <w:rPr>
          <w:rFonts w:ascii="Palatino Linotype" w:hAnsi="Palatino Linotype" w:cs="Calibri"/>
          <w:b/>
          <w:sz w:val="28"/>
          <w:szCs w:val="28"/>
        </w:rPr>
      </w:pPr>
    </w:p>
    <w:p w14:paraId="090517C4" w14:textId="77777777" w:rsidR="007C2E4F" w:rsidRDefault="007C2E4F" w:rsidP="000E125F">
      <w:pPr>
        <w:jc w:val="center"/>
        <w:rPr>
          <w:rFonts w:ascii="Palatino Linotype" w:hAnsi="Palatino Linotype" w:cs="Calibri"/>
          <w:b/>
          <w:sz w:val="28"/>
          <w:szCs w:val="28"/>
        </w:rPr>
      </w:pPr>
    </w:p>
    <w:p w14:paraId="236D5D1F" w14:textId="77777777" w:rsidR="007C2E4F" w:rsidRDefault="007C2E4F" w:rsidP="000E125F">
      <w:pPr>
        <w:jc w:val="center"/>
        <w:rPr>
          <w:rFonts w:ascii="Palatino Linotype" w:hAnsi="Palatino Linotype" w:cs="Calibri"/>
          <w:b/>
          <w:sz w:val="28"/>
          <w:szCs w:val="28"/>
        </w:rPr>
      </w:pPr>
    </w:p>
    <w:p w14:paraId="359A3A77" w14:textId="77777777" w:rsidR="007C2E4F" w:rsidRDefault="007C2E4F" w:rsidP="000E125F">
      <w:pPr>
        <w:jc w:val="center"/>
        <w:rPr>
          <w:rFonts w:ascii="Palatino Linotype" w:hAnsi="Palatino Linotype" w:cs="Calibri"/>
          <w:b/>
          <w:sz w:val="28"/>
          <w:szCs w:val="28"/>
        </w:rPr>
      </w:pPr>
    </w:p>
    <w:p w14:paraId="78C1B6A7" w14:textId="77777777" w:rsidR="007C2E4F" w:rsidRDefault="007C2E4F" w:rsidP="000E125F">
      <w:pPr>
        <w:jc w:val="center"/>
        <w:rPr>
          <w:rFonts w:ascii="Palatino Linotype" w:hAnsi="Palatino Linotype" w:cs="Calibri"/>
          <w:b/>
          <w:sz w:val="28"/>
          <w:szCs w:val="28"/>
        </w:rPr>
      </w:pPr>
    </w:p>
    <w:p w14:paraId="3A891330" w14:textId="77777777" w:rsidR="007C2E4F" w:rsidRDefault="007C2E4F" w:rsidP="000E125F">
      <w:pPr>
        <w:jc w:val="center"/>
        <w:rPr>
          <w:rFonts w:ascii="Palatino Linotype" w:hAnsi="Palatino Linotype" w:cs="Calibri"/>
          <w:b/>
          <w:sz w:val="28"/>
          <w:szCs w:val="28"/>
        </w:rPr>
      </w:pPr>
    </w:p>
    <w:p w14:paraId="37B1EF48" w14:textId="77777777" w:rsidR="007C2E4F" w:rsidRDefault="007C2E4F" w:rsidP="000E125F">
      <w:pPr>
        <w:jc w:val="center"/>
        <w:rPr>
          <w:rFonts w:ascii="Palatino Linotype" w:hAnsi="Palatino Linotype" w:cs="Calibri"/>
          <w:b/>
          <w:sz w:val="28"/>
          <w:szCs w:val="28"/>
        </w:rPr>
      </w:pPr>
    </w:p>
    <w:p w14:paraId="403564A3" w14:textId="77777777" w:rsidR="007C2E4F" w:rsidRDefault="007C2E4F" w:rsidP="000E125F">
      <w:pPr>
        <w:jc w:val="center"/>
        <w:rPr>
          <w:rFonts w:ascii="Palatino Linotype" w:hAnsi="Palatino Linotype" w:cs="Calibri"/>
          <w:b/>
          <w:sz w:val="28"/>
          <w:szCs w:val="28"/>
        </w:rPr>
      </w:pPr>
    </w:p>
    <w:p w14:paraId="5B62A5FE" w14:textId="77777777" w:rsidR="007C2E4F" w:rsidRDefault="007C2E4F" w:rsidP="000E125F">
      <w:pPr>
        <w:jc w:val="center"/>
        <w:rPr>
          <w:rFonts w:ascii="Palatino Linotype" w:hAnsi="Palatino Linotype" w:cs="Calibri"/>
          <w:b/>
          <w:sz w:val="28"/>
          <w:szCs w:val="28"/>
        </w:rPr>
      </w:pPr>
    </w:p>
    <w:p w14:paraId="7286E6E0" w14:textId="77777777" w:rsidR="007C2E4F" w:rsidRDefault="007C2E4F" w:rsidP="000E125F">
      <w:pPr>
        <w:jc w:val="center"/>
        <w:rPr>
          <w:rFonts w:ascii="Palatino Linotype" w:hAnsi="Palatino Linotype" w:cs="Calibri"/>
          <w:b/>
          <w:sz w:val="28"/>
          <w:szCs w:val="28"/>
        </w:rPr>
      </w:pPr>
    </w:p>
    <w:p w14:paraId="3C5404E7" w14:textId="77777777" w:rsidR="007C2E4F" w:rsidRDefault="007C2E4F" w:rsidP="000E125F">
      <w:pPr>
        <w:jc w:val="center"/>
        <w:rPr>
          <w:rFonts w:ascii="Palatino Linotype" w:hAnsi="Palatino Linotype" w:cs="Calibri"/>
          <w:b/>
          <w:sz w:val="28"/>
          <w:szCs w:val="28"/>
        </w:rPr>
      </w:pPr>
    </w:p>
    <w:p w14:paraId="7E4CF08D" w14:textId="77777777" w:rsidR="007C2E4F" w:rsidRDefault="007C2E4F" w:rsidP="000E125F">
      <w:pPr>
        <w:jc w:val="center"/>
        <w:rPr>
          <w:rFonts w:ascii="Palatino Linotype" w:hAnsi="Palatino Linotype" w:cs="Calibri"/>
          <w:b/>
          <w:sz w:val="28"/>
          <w:szCs w:val="28"/>
        </w:rPr>
      </w:pPr>
    </w:p>
    <w:p w14:paraId="68B53ADF" w14:textId="77777777" w:rsidR="007C2E4F" w:rsidRDefault="007C2E4F" w:rsidP="000E125F">
      <w:pPr>
        <w:jc w:val="center"/>
        <w:rPr>
          <w:rFonts w:ascii="Palatino Linotype" w:hAnsi="Palatino Linotype" w:cs="Calibri"/>
          <w:b/>
          <w:sz w:val="28"/>
          <w:szCs w:val="28"/>
        </w:rPr>
      </w:pPr>
    </w:p>
    <w:p w14:paraId="0BA05B5A" w14:textId="77777777" w:rsidR="007C2E4F" w:rsidRDefault="007C2E4F" w:rsidP="000E125F">
      <w:pPr>
        <w:jc w:val="center"/>
        <w:rPr>
          <w:rFonts w:ascii="Palatino Linotype" w:hAnsi="Palatino Linotype" w:cs="Calibri"/>
          <w:b/>
          <w:sz w:val="28"/>
          <w:szCs w:val="28"/>
        </w:rPr>
      </w:pPr>
    </w:p>
    <w:p w14:paraId="21DD331C" w14:textId="77777777" w:rsidR="007C2E4F" w:rsidRDefault="007C2E4F" w:rsidP="000E125F">
      <w:pPr>
        <w:jc w:val="center"/>
        <w:rPr>
          <w:rFonts w:ascii="Palatino Linotype" w:hAnsi="Palatino Linotype" w:cs="Calibri"/>
          <w:b/>
          <w:sz w:val="28"/>
          <w:szCs w:val="28"/>
        </w:rPr>
      </w:pPr>
    </w:p>
    <w:p w14:paraId="3DFE817A" w14:textId="77777777" w:rsidR="007C2E4F" w:rsidRDefault="007C2E4F" w:rsidP="000E125F">
      <w:pPr>
        <w:jc w:val="center"/>
        <w:rPr>
          <w:rFonts w:ascii="Palatino Linotype" w:hAnsi="Palatino Linotype" w:cs="Calibri"/>
          <w:b/>
          <w:sz w:val="28"/>
          <w:szCs w:val="28"/>
        </w:rPr>
      </w:pPr>
    </w:p>
    <w:p w14:paraId="67BA0A06" w14:textId="77777777" w:rsidR="007C2E4F" w:rsidRDefault="007C2E4F" w:rsidP="000E125F">
      <w:pPr>
        <w:jc w:val="center"/>
        <w:rPr>
          <w:rFonts w:ascii="Palatino Linotype" w:hAnsi="Palatino Linotype" w:cs="Calibri"/>
          <w:b/>
          <w:sz w:val="28"/>
          <w:szCs w:val="28"/>
        </w:rPr>
      </w:pPr>
    </w:p>
    <w:p w14:paraId="671F66D0" w14:textId="77777777" w:rsidR="007C2E4F" w:rsidRDefault="007C2E4F" w:rsidP="000E125F">
      <w:pPr>
        <w:jc w:val="center"/>
        <w:rPr>
          <w:rFonts w:ascii="Palatino Linotype" w:hAnsi="Palatino Linotype" w:cs="Calibri"/>
          <w:b/>
          <w:sz w:val="28"/>
          <w:szCs w:val="28"/>
        </w:rPr>
      </w:pPr>
    </w:p>
    <w:p w14:paraId="6B50B49E" w14:textId="77777777" w:rsidR="007C2E4F" w:rsidRDefault="007C2E4F" w:rsidP="000E125F">
      <w:pPr>
        <w:jc w:val="center"/>
        <w:rPr>
          <w:rFonts w:ascii="Palatino Linotype" w:hAnsi="Palatino Linotype" w:cs="Calibri"/>
          <w:b/>
          <w:sz w:val="28"/>
          <w:szCs w:val="28"/>
        </w:rPr>
      </w:pPr>
    </w:p>
    <w:p w14:paraId="6DA79978" w14:textId="77777777" w:rsidR="000F236F" w:rsidRDefault="000F236F" w:rsidP="000E125F">
      <w:pPr>
        <w:jc w:val="center"/>
        <w:rPr>
          <w:rFonts w:ascii="Palatino Linotype" w:hAnsi="Palatino Linotype" w:cs="Calibri"/>
          <w:b/>
          <w:sz w:val="28"/>
          <w:szCs w:val="28"/>
        </w:rPr>
      </w:pPr>
      <w:r w:rsidRPr="004752BB">
        <w:rPr>
          <w:rFonts w:ascii="Palatino Linotype" w:hAnsi="Palatino Linotype" w:cs="Calibri"/>
          <w:b/>
          <w:sz w:val="28"/>
          <w:szCs w:val="28"/>
        </w:rPr>
        <w:t>HIGHLIGHTS OF DEVELOPMENTS IN</w:t>
      </w:r>
    </w:p>
    <w:p w14:paraId="51B777EB" w14:textId="77777777" w:rsidR="000F236F" w:rsidRPr="004752BB" w:rsidRDefault="000F236F" w:rsidP="000E125F">
      <w:pPr>
        <w:jc w:val="center"/>
        <w:rPr>
          <w:rFonts w:ascii="Palatino Linotype" w:hAnsi="Palatino Linotype" w:cs="Calibri"/>
          <w:b/>
          <w:sz w:val="28"/>
          <w:szCs w:val="28"/>
        </w:rPr>
      </w:pPr>
      <w:r w:rsidRPr="004752BB">
        <w:rPr>
          <w:rFonts w:ascii="Palatino Linotype" w:hAnsi="Palatino Linotype" w:cs="Calibri"/>
          <w:b/>
          <w:sz w:val="28"/>
          <w:szCs w:val="28"/>
        </w:rPr>
        <w:t>INTERNATIONAL SECURITIES MARKET</w:t>
      </w:r>
    </w:p>
    <w:p w14:paraId="06805ECC" w14:textId="77777777" w:rsidR="000F236F" w:rsidRDefault="000F236F" w:rsidP="000F236F">
      <w:pPr>
        <w:tabs>
          <w:tab w:val="left" w:pos="8160"/>
        </w:tabs>
        <w:jc w:val="both"/>
        <w:rPr>
          <w:rFonts w:ascii="Palatino Linotype" w:hAnsi="Palatino Linotype"/>
          <w:b/>
          <w:sz w:val="22"/>
          <w:szCs w:val="22"/>
        </w:rPr>
      </w:pPr>
    </w:p>
    <w:p w14:paraId="05C16538" w14:textId="77777777" w:rsidR="000F236F" w:rsidRDefault="000F236F" w:rsidP="000F236F">
      <w:pPr>
        <w:pStyle w:val="NormalWeb"/>
        <w:shd w:val="clear" w:color="auto" w:fill="FFFFFF"/>
        <w:spacing w:before="0" w:beforeAutospacing="0" w:after="0" w:afterAutospacing="0"/>
        <w:textAlignment w:val="baseline"/>
        <w:rPr>
          <w:rFonts w:ascii="Palatino Linotype" w:hAnsi="Palatino Linotype" w:cs="Arial"/>
          <w:b/>
          <w:bCs/>
          <w:sz w:val="22"/>
          <w:szCs w:val="22"/>
          <w:bdr w:val="none" w:sz="0" w:space="0" w:color="auto" w:frame="1"/>
        </w:rPr>
      </w:pPr>
    </w:p>
    <w:p w14:paraId="6754D628" w14:textId="77777777" w:rsidR="00EA32C3" w:rsidRPr="00EA32C3" w:rsidRDefault="00013BA3" w:rsidP="00EA32C3">
      <w:pPr>
        <w:shd w:val="clear" w:color="auto" w:fill="FFFFFF"/>
        <w:spacing w:line="276" w:lineRule="auto"/>
        <w:jc w:val="both"/>
        <w:textAlignment w:val="baseline"/>
        <w:rPr>
          <w:rFonts w:ascii="Palatino Linotype" w:hAnsi="Palatino Linotype"/>
          <w:b/>
          <w:bCs/>
          <w:lang w:val="en-US" w:bidi="hi-IN"/>
        </w:rPr>
      </w:pPr>
      <w:r w:rsidRPr="0067031B">
        <w:rPr>
          <w:rFonts w:ascii="Palatino Linotype" w:hAnsi="Palatino Linotype"/>
          <w:b/>
          <w:bCs/>
          <w:lang w:val="en-US" w:bidi="hi-IN"/>
        </w:rPr>
        <w:t xml:space="preserve">1) </w:t>
      </w:r>
      <w:r w:rsidR="00EA32C3" w:rsidRPr="00EA32C3">
        <w:rPr>
          <w:rFonts w:ascii="Palatino Linotype" w:hAnsi="Palatino Linotype"/>
          <w:b/>
          <w:bCs/>
          <w:lang w:val="en-US" w:bidi="hi-IN"/>
        </w:rPr>
        <w:t>Monitoring Group Reports on Progress to Implement Recommendations to Strengthen</w:t>
      </w:r>
    </w:p>
    <w:p w14:paraId="3CA89AF1" w14:textId="77777777" w:rsidR="00013BA3" w:rsidRPr="0067031B" w:rsidRDefault="00EA32C3" w:rsidP="00EA32C3">
      <w:pPr>
        <w:shd w:val="clear" w:color="auto" w:fill="FFFFFF"/>
        <w:spacing w:line="276" w:lineRule="auto"/>
        <w:jc w:val="both"/>
        <w:textAlignment w:val="baseline"/>
        <w:rPr>
          <w:rFonts w:ascii="Palatino Linotype" w:hAnsi="Palatino Linotype"/>
          <w:b/>
          <w:bCs/>
          <w:lang w:val="en-US" w:bidi="hi-IN"/>
        </w:rPr>
      </w:pPr>
      <w:r w:rsidRPr="00EA32C3">
        <w:rPr>
          <w:rFonts w:ascii="Palatino Linotype" w:hAnsi="Palatino Linotype"/>
          <w:b/>
          <w:bCs/>
          <w:lang w:val="en-US" w:bidi="hi-IN"/>
        </w:rPr>
        <w:t>the International Audit and Ethics Standard-Setting System</w:t>
      </w:r>
      <w:r w:rsidR="00D564A7" w:rsidRPr="00D564A7">
        <w:rPr>
          <w:rFonts w:ascii="Palatino Linotype" w:hAnsi="Palatino Linotype"/>
          <w:b/>
          <w:bCs/>
          <w:lang w:val="en-US" w:bidi="hi-IN"/>
        </w:rPr>
        <w:cr/>
      </w:r>
    </w:p>
    <w:p w14:paraId="2B4CE44C" w14:textId="77777777" w:rsidR="00EA32C3" w:rsidRDefault="00EA32C3" w:rsidP="00EA32C3">
      <w:pPr>
        <w:jc w:val="both"/>
        <w:rPr>
          <w:rFonts w:ascii="Palatino Linotype" w:hAnsi="Palatino Linotype"/>
          <w:lang w:val="en-US" w:bidi="hi-IN"/>
        </w:rPr>
      </w:pPr>
      <w:r w:rsidRPr="00EA32C3">
        <w:rPr>
          <w:rFonts w:ascii="Palatino Linotype" w:hAnsi="Palatino Linotype"/>
          <w:lang w:val="en-US" w:bidi="hi-IN"/>
        </w:rPr>
        <w:t xml:space="preserve">The Monitoring Group </w:t>
      </w:r>
      <w:r>
        <w:rPr>
          <w:rFonts w:ascii="Palatino Linotype" w:hAnsi="Palatino Linotype"/>
          <w:lang w:val="en-US" w:bidi="hi-IN"/>
        </w:rPr>
        <w:t>(</w:t>
      </w:r>
      <w:r w:rsidRPr="00EA32C3">
        <w:rPr>
          <w:rFonts w:ascii="Palatino Linotype" w:hAnsi="Palatino Linotype"/>
          <w:lang w:val="en-US" w:bidi="hi-IN"/>
        </w:rPr>
        <w:t>MG</w:t>
      </w:r>
      <w:r>
        <w:rPr>
          <w:rFonts w:ascii="Palatino Linotype" w:hAnsi="Palatino Linotype"/>
          <w:lang w:val="en-US" w:bidi="hi-IN"/>
        </w:rPr>
        <w:t>)</w:t>
      </w:r>
      <w:r w:rsidRPr="00EA32C3">
        <w:rPr>
          <w:rFonts w:ascii="Palatino Linotype" w:hAnsi="Palatino Linotype"/>
          <w:lang w:val="en-US" w:bidi="hi-IN"/>
        </w:rPr>
        <w:t xml:space="preserve"> is responsible for the overall governance of the international audit and ethics</w:t>
      </w:r>
      <w:r>
        <w:rPr>
          <w:rFonts w:ascii="Palatino Linotype" w:hAnsi="Palatino Linotype"/>
          <w:lang w:val="en-US" w:bidi="hi-IN"/>
        </w:rPr>
        <w:t xml:space="preserve"> </w:t>
      </w:r>
      <w:r w:rsidRPr="00EA32C3">
        <w:rPr>
          <w:rFonts w:ascii="Palatino Linotype" w:hAnsi="Palatino Linotype"/>
          <w:lang w:val="en-US" w:bidi="hi-IN"/>
        </w:rPr>
        <w:t>standard-setting system including conducting periodic effectiveness reviews. In July 2020 the</w:t>
      </w:r>
      <w:r>
        <w:rPr>
          <w:rFonts w:ascii="Palatino Linotype" w:hAnsi="Palatino Linotype"/>
          <w:lang w:val="en-US" w:bidi="hi-IN"/>
        </w:rPr>
        <w:t xml:space="preserve"> </w:t>
      </w:r>
      <w:r w:rsidRPr="00EA32C3">
        <w:rPr>
          <w:rFonts w:ascii="Palatino Linotype" w:hAnsi="Palatino Linotype"/>
          <w:lang w:val="en-US" w:bidi="hi-IN"/>
        </w:rPr>
        <w:t>Monitoring Group (MG) issued its recommendations Strengthening the International Audit</w:t>
      </w:r>
      <w:r>
        <w:rPr>
          <w:rFonts w:ascii="Palatino Linotype" w:hAnsi="Palatino Linotype"/>
          <w:lang w:val="en-US" w:bidi="hi-IN"/>
        </w:rPr>
        <w:t xml:space="preserve"> </w:t>
      </w:r>
      <w:r w:rsidRPr="00EA32C3">
        <w:rPr>
          <w:rFonts w:ascii="Palatino Linotype" w:hAnsi="Palatino Linotype"/>
          <w:lang w:val="en-US" w:bidi="hi-IN"/>
        </w:rPr>
        <w:t>and Ethics Standard-Setting System (MG Recommendations or MG Reforms).</w:t>
      </w:r>
    </w:p>
    <w:p w14:paraId="3FDEFBCB" w14:textId="77777777" w:rsidR="00EA32C3" w:rsidRPr="00EA32C3" w:rsidRDefault="00EA32C3" w:rsidP="00EA32C3">
      <w:pPr>
        <w:jc w:val="both"/>
        <w:rPr>
          <w:rFonts w:ascii="Palatino Linotype" w:hAnsi="Palatino Linotype"/>
          <w:lang w:val="en-US" w:bidi="hi-IN"/>
        </w:rPr>
      </w:pPr>
    </w:p>
    <w:p w14:paraId="686E7FD2" w14:textId="77777777" w:rsidR="00EA32C3" w:rsidRPr="00EA32C3" w:rsidRDefault="00EA32C3" w:rsidP="00EA32C3">
      <w:pPr>
        <w:jc w:val="both"/>
        <w:rPr>
          <w:rFonts w:ascii="Palatino Linotype" w:hAnsi="Palatino Linotype"/>
          <w:lang w:val="en-US" w:bidi="hi-IN"/>
        </w:rPr>
      </w:pPr>
      <w:r w:rsidRPr="00EA32C3">
        <w:rPr>
          <w:rFonts w:ascii="Palatino Linotype" w:hAnsi="Palatino Linotype"/>
          <w:lang w:val="en-US" w:bidi="hi-IN"/>
        </w:rPr>
        <w:t>The MG Recommendations, when fully implemented, will provide significant improvements</w:t>
      </w:r>
    </w:p>
    <w:p w14:paraId="722A9CC3" w14:textId="77777777" w:rsidR="001109EA" w:rsidRDefault="00EA32C3" w:rsidP="00EA32C3">
      <w:pPr>
        <w:jc w:val="both"/>
        <w:rPr>
          <w:rFonts w:ascii="Palatino Linotype" w:hAnsi="Palatino Linotype"/>
          <w:lang w:val="en-US" w:bidi="hi-IN"/>
        </w:rPr>
      </w:pPr>
      <w:r w:rsidRPr="00EA32C3">
        <w:rPr>
          <w:rFonts w:ascii="Palatino Linotype" w:hAnsi="Palatino Linotype"/>
          <w:lang w:val="en-US" w:bidi="hi-IN"/>
        </w:rPr>
        <w:t>to the international audit-related standard setting system, resulting in enhanced standard setting</w:t>
      </w:r>
      <w:r>
        <w:rPr>
          <w:rFonts w:ascii="Palatino Linotype" w:hAnsi="Palatino Linotype"/>
          <w:lang w:val="en-US" w:bidi="hi-IN"/>
        </w:rPr>
        <w:t xml:space="preserve"> </w:t>
      </w:r>
      <w:r w:rsidRPr="00EA32C3">
        <w:rPr>
          <w:rFonts w:ascii="Palatino Linotype" w:hAnsi="Palatino Linotype"/>
          <w:lang w:val="en-US" w:bidi="hi-IN"/>
        </w:rPr>
        <w:t>that will be more responsive to the public interest, which should lead to improved audit quality</w:t>
      </w:r>
      <w:r>
        <w:rPr>
          <w:rFonts w:ascii="Palatino Linotype" w:hAnsi="Palatino Linotype"/>
          <w:lang w:val="en-US" w:bidi="hi-IN"/>
        </w:rPr>
        <w:t xml:space="preserve"> </w:t>
      </w:r>
      <w:r w:rsidRPr="00EA32C3">
        <w:rPr>
          <w:rFonts w:ascii="Palatino Linotype" w:hAnsi="Palatino Linotype"/>
          <w:lang w:val="en-US" w:bidi="hi-IN"/>
        </w:rPr>
        <w:t>for the benefit of users of financial statements. The MG Reforms specified that a transition</w:t>
      </w:r>
      <w:r>
        <w:rPr>
          <w:rFonts w:ascii="Palatino Linotype" w:hAnsi="Palatino Linotype"/>
          <w:lang w:val="en-US" w:bidi="hi-IN"/>
        </w:rPr>
        <w:t xml:space="preserve"> </w:t>
      </w:r>
      <w:r w:rsidRPr="00EA32C3">
        <w:rPr>
          <w:rFonts w:ascii="Palatino Linotype" w:hAnsi="Palatino Linotype"/>
          <w:lang w:val="en-US" w:bidi="hi-IN"/>
        </w:rPr>
        <w:t>plan would be established within nine months from the publication date and implementation</w:t>
      </w:r>
      <w:r>
        <w:rPr>
          <w:rFonts w:ascii="Palatino Linotype" w:hAnsi="Palatino Linotype"/>
          <w:lang w:val="en-US" w:bidi="hi-IN"/>
        </w:rPr>
        <w:t xml:space="preserve"> </w:t>
      </w:r>
      <w:r w:rsidRPr="00EA32C3">
        <w:rPr>
          <w:rFonts w:ascii="Palatino Linotype" w:hAnsi="Palatino Linotype"/>
          <w:lang w:val="en-US" w:bidi="hi-IN"/>
        </w:rPr>
        <w:t>within three years thereafter</w:t>
      </w:r>
      <w:r>
        <w:rPr>
          <w:rFonts w:ascii="Palatino Linotype" w:hAnsi="Palatino Linotype"/>
          <w:lang w:val="en-US" w:bidi="hi-IN"/>
        </w:rPr>
        <w:t>.</w:t>
      </w:r>
    </w:p>
    <w:p w14:paraId="67CCE03F" w14:textId="77777777" w:rsidR="00EA32C3" w:rsidRDefault="00EA32C3" w:rsidP="00EA32C3">
      <w:pPr>
        <w:jc w:val="both"/>
        <w:rPr>
          <w:rFonts w:ascii="Palatino Linotype" w:hAnsi="Palatino Linotype" w:cs="Calibri"/>
          <w:b/>
        </w:rPr>
      </w:pPr>
    </w:p>
    <w:p w14:paraId="39C3B105" w14:textId="77777777" w:rsidR="00013BA3" w:rsidRPr="0067031B" w:rsidRDefault="00013BA3" w:rsidP="00013BA3">
      <w:pPr>
        <w:jc w:val="both"/>
        <w:rPr>
          <w:rFonts w:ascii="Palatino Linotype" w:hAnsi="Palatino Linotype" w:cs="Calibri"/>
          <w:b/>
        </w:rPr>
      </w:pPr>
      <w:r w:rsidRPr="0067031B">
        <w:rPr>
          <w:rFonts w:ascii="Palatino Linotype" w:hAnsi="Palatino Linotype" w:cs="Calibri"/>
          <w:b/>
        </w:rPr>
        <w:t xml:space="preserve">Source:  </w:t>
      </w:r>
      <w:r w:rsidR="00EA32C3" w:rsidRPr="00EA32C3">
        <w:rPr>
          <w:rFonts w:ascii="Palatino Linotype" w:hAnsi="Palatino Linotype"/>
          <w:b/>
        </w:rPr>
        <w:t>https://www.iosco.org/news/pdf/IOSCONEWS606.pdf</w:t>
      </w:r>
    </w:p>
    <w:p w14:paraId="236AE861" w14:textId="77777777" w:rsidR="00013BA3" w:rsidRPr="0067031B" w:rsidRDefault="00013BA3" w:rsidP="00013BA3">
      <w:pPr>
        <w:jc w:val="both"/>
        <w:rPr>
          <w:rFonts w:ascii="Palatino Linotype" w:hAnsi="Palatino Linotype"/>
          <w:i/>
          <w:iCs/>
          <w:lang w:val="en-US" w:bidi="hi-IN"/>
        </w:rPr>
      </w:pPr>
    </w:p>
    <w:p w14:paraId="5761A9BA" w14:textId="77777777" w:rsidR="00EA32C3" w:rsidRPr="00EA32C3" w:rsidRDefault="00013BA3" w:rsidP="00EA32C3">
      <w:pPr>
        <w:jc w:val="both"/>
        <w:rPr>
          <w:rFonts w:ascii="Palatino Linotype" w:eastAsia="Calibri" w:hAnsi="Palatino Linotype"/>
          <w:b/>
          <w:bCs/>
          <w:lang w:val="en-US" w:bidi="hi-IN"/>
        </w:rPr>
      </w:pPr>
      <w:r w:rsidRPr="0067031B">
        <w:rPr>
          <w:rFonts w:ascii="Palatino Linotype" w:hAnsi="Palatino Linotype"/>
          <w:b/>
          <w:bCs/>
        </w:rPr>
        <w:t>2</w:t>
      </w:r>
      <w:r w:rsidRPr="0067031B">
        <w:rPr>
          <w:rFonts w:ascii="Palatino Linotype" w:hAnsi="Palatino Linotype"/>
          <w:b/>
          <w:bCs/>
          <w:lang w:val="en-US" w:bidi="hi-IN"/>
        </w:rPr>
        <w:t xml:space="preserve">)  </w:t>
      </w:r>
      <w:r w:rsidR="00EA32C3" w:rsidRPr="00EA32C3">
        <w:rPr>
          <w:rFonts w:ascii="Palatino Linotype" w:eastAsia="Calibri" w:hAnsi="Palatino Linotype"/>
          <w:b/>
          <w:bCs/>
          <w:lang w:val="en-US" w:bidi="hi-IN"/>
        </w:rPr>
        <w:t>IOSCO elaborates on its vision and expectations for the IFRS Foundation’s work</w:t>
      </w:r>
    </w:p>
    <w:p w14:paraId="58B93244" w14:textId="77777777" w:rsidR="00EA32C3" w:rsidRPr="00EA32C3" w:rsidRDefault="00EA32C3" w:rsidP="00EA32C3">
      <w:pPr>
        <w:jc w:val="both"/>
        <w:rPr>
          <w:rFonts w:ascii="Palatino Linotype" w:eastAsia="Calibri" w:hAnsi="Palatino Linotype"/>
          <w:b/>
          <w:bCs/>
          <w:lang w:val="en-US" w:bidi="hi-IN"/>
        </w:rPr>
      </w:pPr>
      <w:r w:rsidRPr="00EA32C3">
        <w:rPr>
          <w:rFonts w:ascii="Palatino Linotype" w:eastAsia="Calibri" w:hAnsi="Palatino Linotype"/>
          <w:b/>
          <w:bCs/>
          <w:lang w:val="en-US" w:bidi="hi-IN"/>
        </w:rPr>
        <w:t>towards a global baseline of investor-focussed sustainability standards to improve the</w:t>
      </w:r>
    </w:p>
    <w:p w14:paraId="53CA318B" w14:textId="77777777" w:rsidR="00013BA3" w:rsidRPr="0067031B" w:rsidRDefault="00EA32C3" w:rsidP="00EA32C3">
      <w:pPr>
        <w:jc w:val="both"/>
        <w:rPr>
          <w:rFonts w:ascii="Palatino Linotype" w:hAnsi="Palatino Linotype"/>
          <w:b/>
          <w:bCs/>
          <w:lang w:val="en-US" w:bidi="hi-IN"/>
        </w:rPr>
      </w:pPr>
      <w:r w:rsidRPr="00EA32C3">
        <w:rPr>
          <w:rFonts w:ascii="Palatino Linotype" w:eastAsia="Calibri" w:hAnsi="Palatino Linotype"/>
          <w:b/>
          <w:bCs/>
          <w:lang w:val="en-US" w:bidi="hi-IN"/>
        </w:rPr>
        <w:t>global consistency, comparability and reliability of sustainability reporting</w:t>
      </w:r>
    </w:p>
    <w:p w14:paraId="0EDB8F58" w14:textId="77777777" w:rsidR="00013BA3" w:rsidRPr="0067031B" w:rsidRDefault="00013BA3" w:rsidP="00013BA3">
      <w:pPr>
        <w:jc w:val="both"/>
        <w:rPr>
          <w:rFonts w:ascii="Palatino Linotype" w:eastAsia="Calibri" w:hAnsi="Palatino Linotype"/>
          <w:lang w:val="en-US" w:bidi="hi-IN"/>
        </w:rPr>
      </w:pPr>
    </w:p>
    <w:p w14:paraId="1816E163" w14:textId="77777777" w:rsidR="001109EA" w:rsidRPr="00EA32C3" w:rsidRDefault="00EA32C3" w:rsidP="00EA32C3">
      <w:pPr>
        <w:jc w:val="both"/>
        <w:rPr>
          <w:rFonts w:ascii="Palatino Linotype" w:eastAsia="Calibri" w:hAnsi="Palatino Linotype"/>
          <w:lang w:val="en-US" w:bidi="hi-IN"/>
        </w:rPr>
      </w:pPr>
      <w:r w:rsidRPr="00EA32C3">
        <w:rPr>
          <w:rFonts w:ascii="Palatino Linotype" w:eastAsia="Calibri" w:hAnsi="Palatino Linotype"/>
          <w:lang w:val="en-US" w:bidi="hi-IN"/>
        </w:rPr>
        <w:t>The Board of the International Organization of Securities Commissions (IOSCO) has published a report on issuers’ sustainability-related disclosures. The report, developed by</w:t>
      </w:r>
      <w:r>
        <w:rPr>
          <w:rFonts w:ascii="Palatino Linotype" w:eastAsia="Calibri" w:hAnsi="Palatino Linotype"/>
          <w:lang w:val="en-US" w:bidi="hi-IN"/>
        </w:rPr>
        <w:t xml:space="preserve"> </w:t>
      </w:r>
      <w:r w:rsidRPr="00EA32C3">
        <w:rPr>
          <w:rFonts w:ascii="Palatino Linotype" w:eastAsia="Calibri" w:hAnsi="Palatino Linotype"/>
          <w:lang w:val="en-US" w:bidi="hi-IN"/>
        </w:rPr>
        <w:t>IOSCO’s Sustainable Finance Taskforce (STF), reiterates the urgent need to improve the</w:t>
      </w:r>
      <w:r>
        <w:rPr>
          <w:rFonts w:ascii="Palatino Linotype" w:eastAsia="Calibri" w:hAnsi="Palatino Linotype"/>
          <w:lang w:val="en-US" w:bidi="hi-IN"/>
        </w:rPr>
        <w:t xml:space="preserve"> </w:t>
      </w:r>
      <w:r w:rsidRPr="00EA32C3">
        <w:rPr>
          <w:rFonts w:ascii="Palatino Linotype" w:eastAsia="Calibri" w:hAnsi="Palatino Linotype"/>
          <w:lang w:val="en-US" w:bidi="hi-IN"/>
        </w:rPr>
        <w:t>consistency, comparability and reliability of sustainability reporting for investors. Over the</w:t>
      </w:r>
      <w:r>
        <w:rPr>
          <w:rFonts w:ascii="Palatino Linotype" w:eastAsia="Calibri" w:hAnsi="Palatino Linotype"/>
          <w:lang w:val="en-US" w:bidi="hi-IN"/>
        </w:rPr>
        <w:t xml:space="preserve"> </w:t>
      </w:r>
      <w:r w:rsidRPr="00EA32C3">
        <w:rPr>
          <w:rFonts w:ascii="Palatino Linotype" w:eastAsia="Calibri" w:hAnsi="Palatino Linotype"/>
          <w:lang w:val="en-US" w:bidi="hi-IN"/>
        </w:rPr>
        <w:t>year since the STF was established, global momentum has been building in both public and</w:t>
      </w:r>
      <w:r>
        <w:rPr>
          <w:rFonts w:ascii="Palatino Linotype" w:eastAsia="Calibri" w:hAnsi="Palatino Linotype"/>
          <w:lang w:val="en-US" w:bidi="hi-IN"/>
        </w:rPr>
        <w:t xml:space="preserve"> </w:t>
      </w:r>
      <w:r w:rsidRPr="00EA32C3">
        <w:rPr>
          <w:rFonts w:ascii="Palatino Linotype" w:eastAsia="Calibri" w:hAnsi="Palatino Linotype"/>
          <w:lang w:val="en-US" w:bidi="hi-IN"/>
        </w:rPr>
        <w:t>private sector initiatives on sustainability-related disclosures. IOSCO´s work aims to support</w:t>
      </w:r>
      <w:r>
        <w:rPr>
          <w:rFonts w:ascii="Palatino Linotype" w:eastAsia="Calibri" w:hAnsi="Palatino Linotype"/>
          <w:lang w:val="en-US" w:bidi="hi-IN"/>
        </w:rPr>
        <w:t xml:space="preserve"> </w:t>
      </w:r>
      <w:r w:rsidRPr="00EA32C3">
        <w:rPr>
          <w:rFonts w:ascii="Palatino Linotype" w:eastAsia="Calibri" w:hAnsi="Palatino Linotype"/>
          <w:lang w:val="en-US" w:bidi="hi-IN"/>
        </w:rPr>
        <w:t>investors’ evolving informational needs and the ability of markets to price sustainability-related</w:t>
      </w:r>
      <w:r>
        <w:rPr>
          <w:rFonts w:ascii="Palatino Linotype" w:eastAsia="Calibri" w:hAnsi="Palatino Linotype"/>
          <w:lang w:val="en-US" w:bidi="hi-IN"/>
        </w:rPr>
        <w:t xml:space="preserve"> </w:t>
      </w:r>
      <w:r w:rsidRPr="00EA32C3">
        <w:rPr>
          <w:rFonts w:ascii="Palatino Linotype" w:eastAsia="Calibri" w:hAnsi="Palatino Linotype"/>
          <w:lang w:val="en-US" w:bidi="hi-IN"/>
        </w:rPr>
        <w:t>risks and opportunities and support capital allocation.</w:t>
      </w:r>
    </w:p>
    <w:p w14:paraId="40D15234" w14:textId="77777777" w:rsidR="00EA32C3" w:rsidRDefault="00EA32C3" w:rsidP="001109EA">
      <w:pPr>
        <w:jc w:val="both"/>
        <w:rPr>
          <w:rFonts w:ascii="Palatino Linotype" w:hAnsi="Palatino Linotype" w:cs="Calibri"/>
          <w:b/>
        </w:rPr>
      </w:pPr>
    </w:p>
    <w:p w14:paraId="394B7A6B" w14:textId="77777777" w:rsidR="001109EA" w:rsidRPr="00EA32C3" w:rsidRDefault="0066206E" w:rsidP="001109EA">
      <w:pPr>
        <w:jc w:val="both"/>
        <w:rPr>
          <w:rFonts w:ascii="Palatino Linotype" w:hAnsi="Palatino Linotype" w:cs="Calibri"/>
          <w:b/>
        </w:rPr>
      </w:pPr>
      <w:r>
        <w:rPr>
          <w:rFonts w:ascii="Palatino Linotype" w:hAnsi="Palatino Linotype" w:cs="Calibri"/>
          <w:b/>
        </w:rPr>
        <w:t xml:space="preserve">Source: </w:t>
      </w:r>
      <w:r w:rsidRPr="001109EA">
        <w:rPr>
          <w:rFonts w:ascii="Palatino Linotype" w:hAnsi="Palatino Linotype" w:cs="Calibri"/>
          <w:b/>
        </w:rPr>
        <w:t xml:space="preserve"> </w:t>
      </w:r>
      <w:hyperlink r:id="rId46" w:history="1">
        <w:r w:rsidR="00EA32C3" w:rsidRPr="00EA32C3">
          <w:rPr>
            <w:rFonts w:ascii="Palatino Linotype" w:hAnsi="Palatino Linotype" w:cs="Calibri"/>
            <w:b/>
          </w:rPr>
          <w:t>https://www.iosco.org/news/pdf/IOSCONEWS608.pdf</w:t>
        </w:r>
      </w:hyperlink>
    </w:p>
    <w:p w14:paraId="1FA4396F" w14:textId="77777777" w:rsidR="00EA32C3" w:rsidRPr="0067031B" w:rsidRDefault="00EA32C3" w:rsidP="001109EA">
      <w:pPr>
        <w:jc w:val="both"/>
        <w:rPr>
          <w:rFonts w:ascii="Palatino Linotype" w:eastAsia="Calibri" w:hAnsi="Palatino Linotype"/>
          <w:lang w:val="en-US" w:bidi="hi-IN"/>
        </w:rPr>
      </w:pPr>
    </w:p>
    <w:p w14:paraId="7A3C13A3" w14:textId="77777777" w:rsidR="001109EA" w:rsidRDefault="001109EA" w:rsidP="00013BA3">
      <w:pPr>
        <w:jc w:val="both"/>
        <w:rPr>
          <w:rFonts w:ascii="Palatino Linotype" w:hAnsi="Palatino Linotype"/>
          <w:b/>
          <w:bCs/>
          <w:lang w:val="en-US" w:bidi="hi-IN"/>
        </w:rPr>
      </w:pPr>
    </w:p>
    <w:p w14:paraId="6DCA5CE2" w14:textId="77777777" w:rsidR="00EA32C3" w:rsidRDefault="00EA32C3" w:rsidP="00013BA3">
      <w:pPr>
        <w:jc w:val="both"/>
        <w:rPr>
          <w:rFonts w:ascii="Palatino Linotype" w:hAnsi="Palatino Linotype"/>
          <w:b/>
          <w:bCs/>
          <w:lang w:val="en-US" w:bidi="hi-IN"/>
        </w:rPr>
      </w:pPr>
    </w:p>
    <w:p w14:paraId="075A2FEF" w14:textId="77777777" w:rsidR="00EA32C3" w:rsidRDefault="00EA32C3" w:rsidP="00013BA3">
      <w:pPr>
        <w:jc w:val="both"/>
        <w:rPr>
          <w:rFonts w:ascii="Palatino Linotype" w:hAnsi="Palatino Linotype"/>
          <w:b/>
          <w:bCs/>
          <w:lang w:val="en-US" w:bidi="hi-IN"/>
        </w:rPr>
      </w:pPr>
    </w:p>
    <w:p w14:paraId="29ED919B" w14:textId="77777777" w:rsidR="00EA32C3" w:rsidRDefault="00EA32C3" w:rsidP="00013BA3">
      <w:pPr>
        <w:jc w:val="both"/>
        <w:rPr>
          <w:rFonts w:ascii="Palatino Linotype" w:hAnsi="Palatino Linotype"/>
          <w:b/>
          <w:bCs/>
          <w:lang w:val="en-US" w:bidi="hi-IN"/>
        </w:rPr>
      </w:pPr>
    </w:p>
    <w:p w14:paraId="19F7C07A" w14:textId="77777777" w:rsidR="00EA32C3" w:rsidRDefault="00EA32C3" w:rsidP="00013BA3">
      <w:pPr>
        <w:jc w:val="both"/>
        <w:rPr>
          <w:rFonts w:ascii="Palatino Linotype" w:hAnsi="Palatino Linotype"/>
          <w:b/>
          <w:bCs/>
          <w:lang w:val="en-US" w:bidi="hi-IN"/>
        </w:rPr>
      </w:pPr>
    </w:p>
    <w:p w14:paraId="509FC1A4" w14:textId="77777777" w:rsidR="00272724" w:rsidRPr="004752BB" w:rsidRDefault="00272724" w:rsidP="00272724">
      <w:pPr>
        <w:jc w:val="center"/>
        <w:rPr>
          <w:rFonts w:ascii="Palatino Linotype" w:hAnsi="Palatino Linotype" w:cs="Calibri"/>
          <w:b/>
          <w:sz w:val="28"/>
          <w:szCs w:val="28"/>
        </w:rPr>
      </w:pPr>
      <w:r w:rsidRPr="004752BB">
        <w:rPr>
          <w:rFonts w:ascii="Palatino Linotype" w:hAnsi="Palatino Linotype" w:cs="Calibri"/>
          <w:b/>
          <w:sz w:val="28"/>
          <w:szCs w:val="28"/>
        </w:rPr>
        <w:t>POLICY DEVELOPMENTS AT SEBI</w:t>
      </w:r>
    </w:p>
    <w:p w14:paraId="1BD488B2" w14:textId="77777777" w:rsidR="00272724" w:rsidRDefault="00272724" w:rsidP="00272724">
      <w:pPr>
        <w:shd w:val="clear" w:color="auto" w:fill="FFFFFF"/>
        <w:spacing w:line="276" w:lineRule="auto"/>
        <w:jc w:val="both"/>
        <w:rPr>
          <w:rFonts w:ascii="Palatino Linotype" w:hAnsi="Palatino Linotype"/>
          <w:color w:val="000000"/>
        </w:rPr>
      </w:pPr>
    </w:p>
    <w:p w14:paraId="438CDF84" w14:textId="77777777" w:rsidR="00F025AD" w:rsidRDefault="00F025AD" w:rsidP="00F025AD">
      <w:pPr>
        <w:contextualSpacing/>
        <w:jc w:val="both"/>
        <w:rPr>
          <w:rFonts w:ascii="Palatino Linotype" w:eastAsia="Calibri" w:hAnsi="Palatino Linotype"/>
          <w:b/>
          <w:bCs/>
        </w:rPr>
      </w:pPr>
      <w:r>
        <w:rPr>
          <w:rFonts w:ascii="Palatino Linotype" w:eastAsia="Calibri" w:hAnsi="Palatino Linotype"/>
          <w:b/>
          <w:bCs/>
        </w:rPr>
        <w:t xml:space="preserve">1. </w:t>
      </w:r>
      <w:r w:rsidRPr="00E95B43">
        <w:rPr>
          <w:rFonts w:ascii="Palatino Linotype" w:eastAsia="Calibri" w:hAnsi="Palatino Linotype"/>
          <w:b/>
          <w:bCs/>
        </w:rPr>
        <w:t xml:space="preserve">'Off-market’ </w:t>
      </w:r>
      <w:r>
        <w:rPr>
          <w:rFonts w:ascii="Palatino Linotype" w:eastAsia="Calibri" w:hAnsi="Palatino Linotype"/>
          <w:b/>
          <w:bCs/>
        </w:rPr>
        <w:t>T</w:t>
      </w:r>
      <w:r w:rsidRPr="00E95B43">
        <w:rPr>
          <w:rFonts w:ascii="Palatino Linotype" w:eastAsia="Calibri" w:hAnsi="Palatino Linotype"/>
          <w:b/>
          <w:bCs/>
        </w:rPr>
        <w:t xml:space="preserve">ransfer of </w:t>
      </w:r>
      <w:r>
        <w:rPr>
          <w:rFonts w:ascii="Palatino Linotype" w:eastAsia="Calibri" w:hAnsi="Palatino Linotype"/>
          <w:b/>
          <w:bCs/>
        </w:rPr>
        <w:t>S</w:t>
      </w:r>
      <w:r w:rsidRPr="00E95B43">
        <w:rPr>
          <w:rFonts w:ascii="Palatino Linotype" w:eastAsia="Calibri" w:hAnsi="Palatino Linotype"/>
          <w:b/>
          <w:bCs/>
        </w:rPr>
        <w:t>ecurities by F</w:t>
      </w:r>
      <w:r>
        <w:rPr>
          <w:rFonts w:ascii="Palatino Linotype" w:eastAsia="Calibri" w:hAnsi="Palatino Linotype"/>
          <w:b/>
          <w:bCs/>
        </w:rPr>
        <w:t xml:space="preserve">oreign </w:t>
      </w:r>
      <w:r w:rsidRPr="00E95B43">
        <w:rPr>
          <w:rFonts w:ascii="Palatino Linotype" w:eastAsia="Calibri" w:hAnsi="Palatino Linotype"/>
          <w:b/>
          <w:bCs/>
        </w:rPr>
        <w:t>P</w:t>
      </w:r>
      <w:r>
        <w:rPr>
          <w:rFonts w:ascii="Palatino Linotype" w:eastAsia="Calibri" w:hAnsi="Palatino Linotype"/>
          <w:b/>
          <w:bCs/>
        </w:rPr>
        <w:t xml:space="preserve">ortfolio </w:t>
      </w:r>
      <w:r w:rsidRPr="00E95B43">
        <w:rPr>
          <w:rFonts w:ascii="Palatino Linotype" w:eastAsia="Calibri" w:hAnsi="Palatino Linotype"/>
          <w:b/>
          <w:bCs/>
        </w:rPr>
        <w:t>I</w:t>
      </w:r>
      <w:r>
        <w:rPr>
          <w:rFonts w:ascii="Palatino Linotype" w:eastAsia="Calibri" w:hAnsi="Palatino Linotype"/>
          <w:b/>
          <w:bCs/>
        </w:rPr>
        <w:t>nvestors</w:t>
      </w:r>
    </w:p>
    <w:p w14:paraId="0E67B667" w14:textId="77777777" w:rsidR="00F025AD" w:rsidRDefault="00F025AD" w:rsidP="00F025AD">
      <w:pPr>
        <w:jc w:val="both"/>
        <w:rPr>
          <w:rFonts w:ascii="Palatino Linotype" w:eastAsia="Calibri" w:hAnsi="Palatino Linotype"/>
          <w:b/>
        </w:rPr>
      </w:pPr>
    </w:p>
    <w:p w14:paraId="3BCD5307" w14:textId="77777777" w:rsidR="00F025AD" w:rsidRPr="00FA3C2B" w:rsidRDefault="00F025AD" w:rsidP="00F025AD">
      <w:pPr>
        <w:jc w:val="both"/>
        <w:rPr>
          <w:rFonts w:ascii="Palatino Linotype" w:hAnsi="Palatino Linotype" w:cs="Arial"/>
          <w:sz w:val="22"/>
          <w:szCs w:val="22"/>
          <w:lang w:val="en-IN" w:eastAsia="en-IN" w:bidi="hi-IN"/>
        </w:rPr>
      </w:pPr>
      <w:r w:rsidRPr="00FA3C2B">
        <w:rPr>
          <w:rFonts w:ascii="Palatino Linotype" w:hAnsi="Palatino Linotype" w:cs="Arial"/>
          <w:sz w:val="22"/>
          <w:szCs w:val="22"/>
        </w:rPr>
        <w:t>The Finance Act, 2021 provides</w:t>
      </w:r>
      <w:r w:rsidRPr="00FA3C2B">
        <w:rPr>
          <w:rFonts w:ascii="Palatino Linotype" w:hAnsi="Palatino Linotype" w:cs="Arial"/>
          <w:sz w:val="22"/>
          <w:szCs w:val="22"/>
          <w:lang w:val="en-IN" w:eastAsia="en-IN" w:bidi="hi-IN"/>
        </w:rPr>
        <w:t xml:space="preserve"> </w:t>
      </w:r>
      <w:r w:rsidRPr="00FA3C2B">
        <w:rPr>
          <w:rFonts w:ascii="Palatino Linotype" w:hAnsi="Palatino Linotype" w:cs="Arial"/>
          <w:sz w:val="22"/>
          <w:szCs w:val="22"/>
        </w:rPr>
        <w:t>tax incentives for relocating</w:t>
      </w:r>
      <w:r w:rsidRPr="00FA3C2B">
        <w:rPr>
          <w:rFonts w:ascii="Palatino Linotype" w:hAnsi="Palatino Linotype" w:cs="Arial"/>
          <w:sz w:val="22"/>
          <w:szCs w:val="22"/>
          <w:lang w:val="en-IN" w:eastAsia="en-IN" w:bidi="hi-IN"/>
        </w:rPr>
        <w:t xml:space="preserve"> </w:t>
      </w:r>
      <w:r w:rsidRPr="00FA3C2B">
        <w:rPr>
          <w:rFonts w:ascii="Palatino Linotype" w:hAnsi="Palatino Linotype" w:cs="Arial"/>
          <w:sz w:val="22"/>
          <w:szCs w:val="22"/>
        </w:rPr>
        <w:t>foreign funds to International Financial Services Centre (IFSC) in order to make the IFSC</w:t>
      </w:r>
      <w:r w:rsidRPr="00FA3C2B">
        <w:rPr>
          <w:rFonts w:ascii="Palatino Linotype" w:hAnsi="Palatino Linotype" w:cs="Arial"/>
          <w:sz w:val="22"/>
          <w:szCs w:val="22"/>
          <w:lang w:val="en-IN" w:eastAsia="en-IN" w:bidi="hi-IN"/>
        </w:rPr>
        <w:t xml:space="preserve"> </w:t>
      </w:r>
      <w:r w:rsidRPr="00FA3C2B">
        <w:rPr>
          <w:rFonts w:ascii="Palatino Linotype" w:hAnsi="Palatino Linotype" w:cs="Arial"/>
          <w:sz w:val="22"/>
          <w:szCs w:val="22"/>
        </w:rPr>
        <w:t>in GIFT City a global financial hub</w:t>
      </w:r>
      <w:r>
        <w:rPr>
          <w:rFonts w:ascii="Palatino Linotype" w:hAnsi="Palatino Linotype" w:cs="Arial"/>
          <w:sz w:val="22"/>
          <w:szCs w:val="22"/>
          <w:lang w:val="en-IN" w:eastAsia="en-IN" w:bidi="hi-IN"/>
        </w:rPr>
        <w:t xml:space="preserve">. </w:t>
      </w:r>
      <w:r w:rsidRPr="00FA3C2B">
        <w:rPr>
          <w:rFonts w:ascii="Palatino Linotype" w:hAnsi="Palatino Linotype" w:cs="Arial"/>
          <w:sz w:val="22"/>
          <w:szCs w:val="22"/>
        </w:rPr>
        <w:t>In view of the above objective and to further facilitate such ‘relocation’, it has been decided that a FPI (original fund or its wholly owned special purpose vehicle) may approach its DDP</w:t>
      </w:r>
      <w:r>
        <w:rPr>
          <w:rFonts w:ascii="Palatino Linotype" w:hAnsi="Palatino Linotype" w:cs="Arial"/>
          <w:sz w:val="22"/>
          <w:szCs w:val="22"/>
          <w:lang w:val="en-IN" w:eastAsia="en-IN" w:bidi="hi-IN"/>
        </w:rPr>
        <w:t xml:space="preserve"> </w:t>
      </w:r>
      <w:r w:rsidRPr="00FA3C2B">
        <w:rPr>
          <w:rFonts w:ascii="Palatino Linotype" w:hAnsi="Palatino Linotype" w:cs="Arial"/>
          <w:sz w:val="22"/>
          <w:szCs w:val="22"/>
        </w:rPr>
        <w:t xml:space="preserve">for approval of a one - time ‘off-market’ transfer of its securities to the ‘resultant fund’ </w:t>
      </w:r>
      <w:r w:rsidRPr="00FA3C2B">
        <w:rPr>
          <w:rFonts w:ascii="Palatino Linotype" w:eastAsia="Calibri" w:hAnsi="Palatino Linotype"/>
          <w:bCs/>
          <w:sz w:val="22"/>
          <w:szCs w:val="22"/>
        </w:rPr>
        <w:t>The terms‘ original fund’, ‘relocation’ and ‘resultant fund’ will have the same meaning as assigned to them under the Finance Act, 2021.</w:t>
      </w:r>
    </w:p>
    <w:p w14:paraId="4EF70391" w14:textId="77777777" w:rsidR="00F025AD" w:rsidRDefault="00F025AD" w:rsidP="00F025AD">
      <w:pPr>
        <w:jc w:val="both"/>
        <w:rPr>
          <w:rFonts w:ascii="Palatino Linotype" w:eastAsia="Calibri" w:hAnsi="Palatino Linotype"/>
          <w:bCs/>
          <w:i/>
          <w:iCs/>
        </w:rPr>
      </w:pPr>
    </w:p>
    <w:p w14:paraId="7550AB36" w14:textId="77777777" w:rsidR="00F025AD" w:rsidRDefault="00F025AD" w:rsidP="00F025AD">
      <w:pPr>
        <w:jc w:val="both"/>
        <w:rPr>
          <w:rFonts w:ascii="Palatino Linotype" w:eastAsia="Calibri" w:hAnsi="Palatino Linotype"/>
          <w:bCs/>
          <w:i/>
          <w:iCs/>
        </w:rPr>
      </w:pPr>
      <w:r w:rsidRPr="001D431F">
        <w:rPr>
          <w:rFonts w:ascii="Palatino Linotype" w:eastAsia="Calibri" w:hAnsi="Palatino Linotype"/>
          <w:bCs/>
          <w:i/>
          <w:iCs/>
        </w:rPr>
        <w:t>Source</w:t>
      </w:r>
      <w:r>
        <w:rPr>
          <w:rFonts w:ascii="Palatino Linotype" w:eastAsia="Calibri" w:hAnsi="Palatino Linotype"/>
          <w:bCs/>
          <w:i/>
          <w:iCs/>
        </w:rPr>
        <w:t>:</w:t>
      </w:r>
      <w:r w:rsidRPr="001D431F">
        <w:rPr>
          <w:rFonts w:ascii="Palatino Linotype" w:eastAsia="Calibri" w:hAnsi="Palatino Linotype"/>
          <w:bCs/>
          <w:i/>
          <w:iCs/>
        </w:rPr>
        <w:t xml:space="preserve"> </w:t>
      </w:r>
      <w:r w:rsidRPr="00E95B43">
        <w:rPr>
          <w:rFonts w:ascii="Palatino Linotype" w:eastAsia="Calibri" w:hAnsi="Palatino Linotype"/>
          <w:bCs/>
          <w:i/>
          <w:iCs/>
        </w:rPr>
        <w:t xml:space="preserve">SEBI/HO/FPI&amp;C/P/CIR/2021/0569 </w:t>
      </w:r>
      <w:r w:rsidRPr="001805AA">
        <w:rPr>
          <w:rFonts w:ascii="Palatino Linotype" w:eastAsia="Calibri" w:hAnsi="Palatino Linotype"/>
          <w:bCs/>
          <w:i/>
          <w:iCs/>
        </w:rPr>
        <w:t>D</w:t>
      </w:r>
      <w:r w:rsidRPr="001D431F">
        <w:rPr>
          <w:rFonts w:ascii="Palatino Linotype" w:eastAsia="Calibri" w:hAnsi="Palatino Linotype"/>
          <w:bCs/>
          <w:i/>
          <w:iCs/>
        </w:rPr>
        <w:t xml:space="preserve">ated </w:t>
      </w:r>
      <w:r>
        <w:rPr>
          <w:rFonts w:ascii="Palatino Linotype" w:eastAsia="Calibri" w:hAnsi="Palatino Linotype"/>
          <w:bCs/>
          <w:i/>
          <w:iCs/>
        </w:rPr>
        <w:t>June 01</w:t>
      </w:r>
      <w:r w:rsidRPr="001D431F">
        <w:rPr>
          <w:rFonts w:ascii="Palatino Linotype" w:eastAsia="Calibri" w:hAnsi="Palatino Linotype"/>
          <w:bCs/>
          <w:i/>
          <w:iCs/>
        </w:rPr>
        <w:t>, 2021</w:t>
      </w:r>
    </w:p>
    <w:p w14:paraId="32C53925" w14:textId="77777777" w:rsidR="00F025AD" w:rsidRDefault="00F025AD" w:rsidP="00F025AD">
      <w:pPr>
        <w:jc w:val="center"/>
        <w:rPr>
          <w:rFonts w:ascii="Palatino Linotype" w:hAnsi="Palatino Linotype"/>
          <w:b/>
          <w:sz w:val="28"/>
          <w:szCs w:val="36"/>
          <w:u w:val="single"/>
        </w:rPr>
      </w:pPr>
    </w:p>
    <w:p w14:paraId="532E041A" w14:textId="77777777" w:rsidR="00F025AD" w:rsidRDefault="00F025AD" w:rsidP="00F025AD">
      <w:pPr>
        <w:contextualSpacing/>
        <w:jc w:val="both"/>
        <w:rPr>
          <w:rFonts w:ascii="Palatino Linotype" w:eastAsia="Calibri" w:hAnsi="Palatino Linotype"/>
          <w:b/>
          <w:bCs/>
        </w:rPr>
      </w:pPr>
      <w:r>
        <w:rPr>
          <w:rFonts w:ascii="Palatino Linotype" w:eastAsia="Calibri" w:hAnsi="Palatino Linotype"/>
          <w:b/>
          <w:bCs/>
        </w:rPr>
        <w:t xml:space="preserve">2. </w:t>
      </w:r>
      <w:r w:rsidRPr="00E95B43">
        <w:rPr>
          <w:rFonts w:ascii="Palatino Linotype" w:eastAsia="Calibri" w:hAnsi="Palatino Linotype"/>
          <w:b/>
          <w:bCs/>
        </w:rPr>
        <w:t xml:space="preserve">Streamlining the </w:t>
      </w:r>
      <w:r>
        <w:rPr>
          <w:rFonts w:ascii="Palatino Linotype" w:eastAsia="Calibri" w:hAnsi="Palatino Linotype"/>
          <w:b/>
          <w:bCs/>
        </w:rPr>
        <w:t>P</w:t>
      </w:r>
      <w:r w:rsidRPr="00E95B43">
        <w:rPr>
          <w:rFonts w:ascii="Palatino Linotype" w:eastAsia="Calibri" w:hAnsi="Palatino Linotype"/>
          <w:b/>
          <w:bCs/>
        </w:rPr>
        <w:t>roces</w:t>
      </w:r>
      <w:r>
        <w:rPr>
          <w:rFonts w:ascii="Palatino Linotype" w:eastAsia="Calibri" w:hAnsi="Palatino Linotype"/>
          <w:b/>
          <w:bCs/>
        </w:rPr>
        <w:t>s of IPOs with UPI in ASBA and R</w:t>
      </w:r>
      <w:r w:rsidRPr="00E95B43">
        <w:rPr>
          <w:rFonts w:ascii="Palatino Linotype" w:eastAsia="Calibri" w:hAnsi="Palatino Linotype"/>
          <w:b/>
          <w:bCs/>
        </w:rPr>
        <w:t xml:space="preserve">edressal of </w:t>
      </w:r>
      <w:r>
        <w:rPr>
          <w:rFonts w:ascii="Palatino Linotype" w:eastAsia="Calibri" w:hAnsi="Palatino Linotype"/>
          <w:b/>
          <w:bCs/>
        </w:rPr>
        <w:t>I</w:t>
      </w:r>
      <w:r w:rsidRPr="00E95B43">
        <w:rPr>
          <w:rFonts w:ascii="Palatino Linotype" w:eastAsia="Calibri" w:hAnsi="Palatino Linotype"/>
          <w:b/>
          <w:bCs/>
        </w:rPr>
        <w:t>nvestors grievances</w:t>
      </w:r>
    </w:p>
    <w:p w14:paraId="2760341C" w14:textId="77777777" w:rsidR="00F025AD" w:rsidRPr="00E95B43" w:rsidRDefault="00F025AD" w:rsidP="00F025AD">
      <w:pPr>
        <w:contextualSpacing/>
        <w:jc w:val="both"/>
        <w:rPr>
          <w:rFonts w:ascii="Palatino Linotype" w:eastAsia="Calibri" w:hAnsi="Palatino Linotype"/>
          <w:b/>
          <w:bCs/>
        </w:rPr>
      </w:pPr>
    </w:p>
    <w:p w14:paraId="30BBE7C5" w14:textId="77777777" w:rsidR="00F025AD" w:rsidRDefault="00F025AD" w:rsidP="00F025AD">
      <w:pPr>
        <w:jc w:val="both"/>
        <w:rPr>
          <w:rFonts w:ascii="Palatino Linotype" w:eastAsia="Calibri" w:hAnsi="Palatino Linotype"/>
          <w:bCs/>
        </w:rPr>
      </w:pPr>
      <w:r>
        <w:rPr>
          <w:rFonts w:ascii="Palatino Linotype" w:eastAsia="Calibri" w:hAnsi="Palatino Linotype"/>
          <w:bCs/>
        </w:rPr>
        <w:t xml:space="preserve">Timelines were </w:t>
      </w:r>
      <w:r w:rsidRPr="00CB4C1E">
        <w:rPr>
          <w:rFonts w:ascii="Palatino Linotype" w:eastAsia="Calibri" w:hAnsi="Palatino Linotype"/>
          <w:bCs/>
        </w:rPr>
        <w:t xml:space="preserve">extended for </w:t>
      </w:r>
      <w:r>
        <w:rPr>
          <w:rFonts w:ascii="Palatino Linotype" w:eastAsia="Calibri" w:hAnsi="Palatino Linotype"/>
          <w:bCs/>
        </w:rPr>
        <w:t xml:space="preserve">implementation of guidelines pertaining to SMS alerts under the Unified Payment Interface (UPI) system for shares applied and allotted during an IPO.  The deadline for putting in place automated web portal for IPOs through UPI system has also been extended.  </w:t>
      </w:r>
    </w:p>
    <w:p w14:paraId="33B742FD" w14:textId="77777777" w:rsidR="00F025AD" w:rsidRDefault="00F025AD" w:rsidP="00F025AD">
      <w:pPr>
        <w:jc w:val="both"/>
        <w:rPr>
          <w:rFonts w:ascii="Palatino Linotype" w:eastAsia="Calibri" w:hAnsi="Palatino Linotype"/>
          <w:bCs/>
        </w:rPr>
      </w:pPr>
    </w:p>
    <w:p w14:paraId="1891B642" w14:textId="77777777" w:rsidR="00F025AD" w:rsidRDefault="00F025AD" w:rsidP="00F025AD">
      <w:pPr>
        <w:jc w:val="both"/>
        <w:rPr>
          <w:rFonts w:ascii="Palatino Linotype" w:eastAsia="Calibri" w:hAnsi="Palatino Linotype"/>
          <w:bCs/>
        </w:rPr>
      </w:pPr>
      <w:r>
        <w:rPr>
          <w:rFonts w:ascii="Palatino Linotype" w:eastAsia="Calibri" w:hAnsi="Palatino Linotype"/>
          <w:bCs/>
        </w:rPr>
        <w:t xml:space="preserve">The framework for automated web portal would come into force from October 1, 2021 and SMS alerts from January 01, 2022. </w:t>
      </w:r>
    </w:p>
    <w:p w14:paraId="2909CD5B" w14:textId="77777777" w:rsidR="00F025AD" w:rsidRDefault="00F025AD" w:rsidP="00F025AD">
      <w:pPr>
        <w:jc w:val="both"/>
        <w:rPr>
          <w:rFonts w:ascii="Palatino Linotype" w:eastAsia="Calibri" w:hAnsi="Palatino Linotype"/>
          <w:bCs/>
        </w:rPr>
      </w:pPr>
    </w:p>
    <w:p w14:paraId="7817EB8E" w14:textId="77777777" w:rsidR="00F025AD" w:rsidRDefault="00F025AD" w:rsidP="00F025AD">
      <w:pPr>
        <w:jc w:val="both"/>
        <w:rPr>
          <w:rFonts w:ascii="Palatino Linotype" w:eastAsia="Calibri" w:hAnsi="Palatino Linotype"/>
          <w:bCs/>
        </w:rPr>
      </w:pPr>
      <w:r>
        <w:rPr>
          <w:rFonts w:ascii="Palatino Linotype" w:eastAsia="Calibri" w:hAnsi="Palatino Linotype"/>
          <w:bCs/>
        </w:rPr>
        <w:t>The extension has been given after stakeholders sought more time due to the COVID pandemic.</w:t>
      </w:r>
    </w:p>
    <w:p w14:paraId="48B49C13" w14:textId="77777777" w:rsidR="00F025AD" w:rsidRDefault="00F025AD" w:rsidP="00F025AD">
      <w:pPr>
        <w:jc w:val="both"/>
        <w:rPr>
          <w:rFonts w:ascii="Palatino Linotype" w:eastAsia="Calibri" w:hAnsi="Palatino Linotype"/>
          <w:bCs/>
          <w:i/>
          <w:iCs/>
        </w:rPr>
      </w:pPr>
    </w:p>
    <w:p w14:paraId="53D4578C" w14:textId="77777777" w:rsidR="00F025AD" w:rsidRDefault="00F025AD" w:rsidP="00F025AD">
      <w:pPr>
        <w:jc w:val="both"/>
        <w:rPr>
          <w:rFonts w:ascii="Palatino Linotype" w:eastAsia="Calibri" w:hAnsi="Palatino Linotype"/>
          <w:bCs/>
          <w:i/>
          <w:iCs/>
        </w:rPr>
      </w:pPr>
      <w:r w:rsidRPr="001D431F">
        <w:rPr>
          <w:rFonts w:ascii="Palatino Linotype" w:eastAsia="Calibri" w:hAnsi="Palatino Linotype"/>
          <w:bCs/>
          <w:i/>
          <w:iCs/>
        </w:rPr>
        <w:t>Source</w:t>
      </w:r>
      <w:r>
        <w:rPr>
          <w:rFonts w:ascii="Palatino Linotype" w:eastAsia="Calibri" w:hAnsi="Palatino Linotype"/>
          <w:bCs/>
          <w:i/>
          <w:iCs/>
        </w:rPr>
        <w:t>:</w:t>
      </w:r>
      <w:r w:rsidRPr="001D431F">
        <w:rPr>
          <w:rFonts w:ascii="Palatino Linotype" w:eastAsia="Calibri" w:hAnsi="Palatino Linotype"/>
          <w:bCs/>
          <w:i/>
          <w:iCs/>
        </w:rPr>
        <w:t xml:space="preserve"> </w:t>
      </w:r>
      <w:r w:rsidRPr="00E95B43">
        <w:rPr>
          <w:rFonts w:ascii="Palatino Linotype" w:eastAsia="Calibri" w:hAnsi="Palatino Linotype"/>
          <w:bCs/>
          <w:i/>
          <w:iCs/>
        </w:rPr>
        <w:t>SEBI/HO/CFD/DIL2/P/CIR/2021/570</w:t>
      </w:r>
      <w:r w:rsidRPr="000C75B5">
        <w:rPr>
          <w:rFonts w:ascii="Palatino Linotype" w:eastAsia="Calibri" w:hAnsi="Palatino Linotype"/>
          <w:bCs/>
          <w:i/>
          <w:iCs/>
        </w:rPr>
        <w:t xml:space="preserve"> </w:t>
      </w:r>
      <w:r w:rsidRPr="001805AA">
        <w:rPr>
          <w:rFonts w:ascii="Palatino Linotype" w:eastAsia="Calibri" w:hAnsi="Palatino Linotype"/>
          <w:bCs/>
          <w:i/>
          <w:iCs/>
        </w:rPr>
        <w:t>D</w:t>
      </w:r>
      <w:r w:rsidRPr="001D431F">
        <w:rPr>
          <w:rFonts w:ascii="Palatino Linotype" w:eastAsia="Calibri" w:hAnsi="Palatino Linotype"/>
          <w:bCs/>
          <w:i/>
          <w:iCs/>
        </w:rPr>
        <w:t xml:space="preserve">ated </w:t>
      </w:r>
      <w:r>
        <w:rPr>
          <w:rFonts w:ascii="Palatino Linotype" w:eastAsia="Calibri" w:hAnsi="Palatino Linotype"/>
          <w:bCs/>
          <w:i/>
          <w:iCs/>
        </w:rPr>
        <w:t>June 02</w:t>
      </w:r>
      <w:r w:rsidRPr="001D431F">
        <w:rPr>
          <w:rFonts w:ascii="Palatino Linotype" w:eastAsia="Calibri" w:hAnsi="Palatino Linotype"/>
          <w:bCs/>
          <w:i/>
          <w:iCs/>
        </w:rPr>
        <w:t>, 2021</w:t>
      </w:r>
    </w:p>
    <w:p w14:paraId="142F7D1D" w14:textId="77777777" w:rsidR="00F025AD" w:rsidRDefault="00F025AD" w:rsidP="00F025AD">
      <w:pPr>
        <w:jc w:val="center"/>
        <w:rPr>
          <w:rFonts w:ascii="Palatino Linotype" w:hAnsi="Palatino Linotype"/>
          <w:b/>
          <w:sz w:val="28"/>
          <w:szCs w:val="36"/>
          <w:u w:val="single"/>
        </w:rPr>
      </w:pPr>
    </w:p>
    <w:p w14:paraId="7CDF808C" w14:textId="77777777" w:rsidR="00F025AD" w:rsidRDefault="00F025AD" w:rsidP="00F025AD">
      <w:pPr>
        <w:contextualSpacing/>
        <w:jc w:val="both"/>
        <w:rPr>
          <w:rFonts w:ascii="Palatino Linotype" w:eastAsia="Calibri" w:hAnsi="Palatino Linotype"/>
          <w:b/>
          <w:bCs/>
        </w:rPr>
      </w:pPr>
      <w:r>
        <w:rPr>
          <w:rFonts w:ascii="Palatino Linotype" w:eastAsia="Calibri" w:hAnsi="Palatino Linotype"/>
          <w:b/>
          <w:bCs/>
        </w:rPr>
        <w:t xml:space="preserve">3. </w:t>
      </w:r>
      <w:r w:rsidRPr="00E95B43">
        <w:rPr>
          <w:rFonts w:ascii="Palatino Linotype" w:eastAsia="Calibri" w:hAnsi="Palatino Linotype"/>
          <w:b/>
          <w:bCs/>
        </w:rPr>
        <w:t>Circular on Enhancement of Overseas Investment Limits</w:t>
      </w:r>
    </w:p>
    <w:p w14:paraId="255371D9" w14:textId="77777777" w:rsidR="00F025AD" w:rsidRDefault="00F025AD" w:rsidP="00F025AD">
      <w:pPr>
        <w:jc w:val="both"/>
        <w:rPr>
          <w:rFonts w:ascii="Palatino Linotype" w:eastAsia="Calibri" w:hAnsi="Palatino Linotype"/>
          <w:b/>
        </w:rPr>
      </w:pPr>
    </w:p>
    <w:p w14:paraId="0D435665" w14:textId="1BA94BFA" w:rsidR="00F025AD" w:rsidRDefault="00F025AD" w:rsidP="00F025AD">
      <w:pPr>
        <w:jc w:val="both"/>
        <w:rPr>
          <w:rFonts w:ascii="Palatino Linotype" w:eastAsia="Calibri" w:hAnsi="Palatino Linotype"/>
          <w:bCs/>
        </w:rPr>
      </w:pPr>
      <w:r>
        <w:rPr>
          <w:rFonts w:ascii="Palatino Linotype" w:eastAsia="Calibri" w:hAnsi="Palatino Linotype"/>
          <w:bCs/>
        </w:rPr>
        <w:t>Investment limit</w:t>
      </w:r>
      <w:r w:rsidR="007D4F15">
        <w:rPr>
          <w:rFonts w:ascii="Palatino Linotype" w:eastAsia="Calibri" w:hAnsi="Palatino Linotype"/>
          <w:bCs/>
        </w:rPr>
        <w:t xml:space="preserve"> has been</w:t>
      </w:r>
      <w:r>
        <w:rPr>
          <w:rFonts w:ascii="Palatino Linotype" w:eastAsia="Calibri" w:hAnsi="Palatino Linotype"/>
          <w:bCs/>
        </w:rPr>
        <w:t xml:space="preserve"> raised for overseas investments by each mutual fund house to $1 billion from $600 million, while the overall cap for the mutual fund industry </w:t>
      </w:r>
      <w:r w:rsidR="007D4F15">
        <w:rPr>
          <w:rFonts w:ascii="Palatino Linotype" w:eastAsia="Calibri" w:hAnsi="Palatino Linotype"/>
          <w:bCs/>
        </w:rPr>
        <w:t xml:space="preserve">has been maintained </w:t>
      </w:r>
      <w:r>
        <w:rPr>
          <w:rFonts w:ascii="Palatino Linotype" w:eastAsia="Calibri" w:hAnsi="Palatino Linotype"/>
          <w:bCs/>
        </w:rPr>
        <w:t xml:space="preserve">at $7 billion.  </w:t>
      </w:r>
      <w:r w:rsidR="007D4F15">
        <w:rPr>
          <w:rFonts w:ascii="Palatino Linotype" w:eastAsia="Calibri" w:hAnsi="Palatino Linotype"/>
          <w:bCs/>
        </w:rPr>
        <w:t>The</w:t>
      </w:r>
      <w:r>
        <w:rPr>
          <w:rFonts w:ascii="Palatino Linotype" w:eastAsia="Calibri" w:hAnsi="Palatino Linotype"/>
          <w:bCs/>
        </w:rPr>
        <w:t xml:space="preserve"> limit of investments in overseas exchange traded funds by each fund house </w:t>
      </w:r>
      <w:r w:rsidR="007D4F15">
        <w:rPr>
          <w:rFonts w:ascii="Palatino Linotype" w:eastAsia="Calibri" w:hAnsi="Palatino Linotype"/>
          <w:bCs/>
        </w:rPr>
        <w:t xml:space="preserve">has been hiked </w:t>
      </w:r>
      <w:r>
        <w:rPr>
          <w:rFonts w:ascii="Palatino Linotype" w:eastAsia="Calibri" w:hAnsi="Palatino Linotype"/>
          <w:bCs/>
        </w:rPr>
        <w:t>to $300 million from $ 200 million.  This would be within the cap of $1 billion for the mutual fund industry’s investment in overseas ETFs.</w:t>
      </w:r>
    </w:p>
    <w:p w14:paraId="6B561BE2" w14:textId="77777777" w:rsidR="00F025AD" w:rsidRDefault="00F025AD" w:rsidP="00F025AD">
      <w:pPr>
        <w:jc w:val="both"/>
        <w:rPr>
          <w:rFonts w:ascii="Palatino Linotype" w:eastAsia="Calibri" w:hAnsi="Palatino Linotype"/>
          <w:bCs/>
          <w:i/>
          <w:iCs/>
        </w:rPr>
      </w:pPr>
    </w:p>
    <w:p w14:paraId="617899F8" w14:textId="77777777" w:rsidR="00F025AD" w:rsidRDefault="00F025AD" w:rsidP="00F025AD">
      <w:pPr>
        <w:jc w:val="both"/>
        <w:rPr>
          <w:rFonts w:ascii="Palatino Linotype" w:eastAsia="Calibri" w:hAnsi="Palatino Linotype"/>
          <w:bCs/>
          <w:i/>
          <w:iCs/>
        </w:rPr>
      </w:pPr>
      <w:r w:rsidRPr="001D431F">
        <w:rPr>
          <w:rFonts w:ascii="Palatino Linotype" w:eastAsia="Calibri" w:hAnsi="Palatino Linotype"/>
          <w:bCs/>
          <w:i/>
          <w:iCs/>
        </w:rPr>
        <w:t>Source</w:t>
      </w:r>
      <w:r>
        <w:rPr>
          <w:rFonts w:ascii="Palatino Linotype" w:eastAsia="Calibri" w:hAnsi="Palatino Linotype"/>
          <w:bCs/>
          <w:i/>
          <w:iCs/>
        </w:rPr>
        <w:t>:</w:t>
      </w:r>
      <w:r w:rsidRPr="001D431F">
        <w:rPr>
          <w:rFonts w:ascii="Palatino Linotype" w:eastAsia="Calibri" w:hAnsi="Palatino Linotype"/>
          <w:bCs/>
          <w:i/>
          <w:iCs/>
        </w:rPr>
        <w:t xml:space="preserve"> </w:t>
      </w:r>
      <w:r w:rsidRPr="00E95B43">
        <w:rPr>
          <w:rFonts w:ascii="Palatino Linotype" w:eastAsia="Calibri" w:hAnsi="Palatino Linotype"/>
          <w:bCs/>
          <w:i/>
          <w:iCs/>
        </w:rPr>
        <w:t>SEBI/HO/IMD/IMD-II/DOF3/P/CIR/2021/571</w:t>
      </w:r>
      <w:r w:rsidRPr="000C75B5">
        <w:rPr>
          <w:rFonts w:ascii="Palatino Linotype" w:eastAsia="Calibri" w:hAnsi="Palatino Linotype"/>
          <w:bCs/>
          <w:i/>
          <w:iCs/>
        </w:rPr>
        <w:t xml:space="preserve"> </w:t>
      </w:r>
      <w:r w:rsidRPr="001805AA">
        <w:rPr>
          <w:rFonts w:ascii="Palatino Linotype" w:eastAsia="Calibri" w:hAnsi="Palatino Linotype"/>
          <w:bCs/>
          <w:i/>
          <w:iCs/>
        </w:rPr>
        <w:t>D</w:t>
      </w:r>
      <w:r w:rsidRPr="001D431F">
        <w:rPr>
          <w:rFonts w:ascii="Palatino Linotype" w:eastAsia="Calibri" w:hAnsi="Palatino Linotype"/>
          <w:bCs/>
          <w:i/>
          <w:iCs/>
        </w:rPr>
        <w:t xml:space="preserve">ated </w:t>
      </w:r>
      <w:r>
        <w:rPr>
          <w:rFonts w:ascii="Palatino Linotype" w:eastAsia="Calibri" w:hAnsi="Palatino Linotype"/>
          <w:bCs/>
          <w:i/>
          <w:iCs/>
        </w:rPr>
        <w:t>June 03</w:t>
      </w:r>
      <w:r w:rsidRPr="001D431F">
        <w:rPr>
          <w:rFonts w:ascii="Palatino Linotype" w:eastAsia="Calibri" w:hAnsi="Palatino Linotype"/>
          <w:bCs/>
          <w:i/>
          <w:iCs/>
        </w:rPr>
        <w:t>, 2021</w:t>
      </w:r>
    </w:p>
    <w:p w14:paraId="6AB7BC72" w14:textId="77777777" w:rsidR="00F025AD" w:rsidRDefault="00F025AD" w:rsidP="00F025AD">
      <w:pPr>
        <w:jc w:val="center"/>
        <w:rPr>
          <w:rFonts w:ascii="Palatino Linotype" w:hAnsi="Palatino Linotype"/>
          <w:b/>
          <w:sz w:val="28"/>
          <w:szCs w:val="36"/>
          <w:u w:val="single"/>
        </w:rPr>
      </w:pPr>
    </w:p>
    <w:p w14:paraId="25C55D33" w14:textId="77777777" w:rsidR="00F025AD" w:rsidRDefault="00F025AD" w:rsidP="00F025AD">
      <w:pPr>
        <w:contextualSpacing/>
        <w:jc w:val="both"/>
        <w:rPr>
          <w:rFonts w:ascii="Palatino Linotype" w:eastAsia="Calibri" w:hAnsi="Palatino Linotype"/>
          <w:b/>
          <w:bCs/>
        </w:rPr>
      </w:pPr>
      <w:r>
        <w:rPr>
          <w:rFonts w:ascii="Palatino Linotype" w:eastAsia="Calibri" w:hAnsi="Palatino Linotype"/>
          <w:b/>
          <w:bCs/>
        </w:rPr>
        <w:t xml:space="preserve">4. </w:t>
      </w:r>
      <w:r w:rsidRPr="00E95B43">
        <w:rPr>
          <w:rFonts w:ascii="Palatino Linotype" w:eastAsia="Calibri" w:hAnsi="Palatino Linotype"/>
          <w:b/>
          <w:bCs/>
        </w:rPr>
        <w:t>Centralized Database for Corporate Bonds/ Debentures</w:t>
      </w:r>
    </w:p>
    <w:p w14:paraId="1F9523B4" w14:textId="77777777" w:rsidR="00F025AD" w:rsidRDefault="00F025AD" w:rsidP="00F025AD">
      <w:pPr>
        <w:jc w:val="both"/>
        <w:rPr>
          <w:rFonts w:ascii="Palatino Linotype" w:eastAsia="Calibri" w:hAnsi="Palatino Linotype"/>
          <w:b/>
        </w:rPr>
      </w:pPr>
    </w:p>
    <w:p w14:paraId="37877061" w14:textId="77777777" w:rsidR="00F025AD" w:rsidRDefault="00F025AD" w:rsidP="00F025AD">
      <w:pPr>
        <w:jc w:val="both"/>
        <w:rPr>
          <w:rFonts w:ascii="Palatino Linotype" w:eastAsia="Calibri" w:hAnsi="Palatino Linotype"/>
          <w:bCs/>
        </w:rPr>
      </w:pPr>
      <w:r>
        <w:rPr>
          <w:rFonts w:ascii="Palatino Linotype" w:eastAsia="Calibri" w:hAnsi="Palatino Linotype"/>
          <w:bCs/>
        </w:rPr>
        <w:lastRenderedPageBreak/>
        <w:t xml:space="preserve">SEBI streamlined the framework for centralized database for corporate bonds to provide further ease of access of information for investors.  Under this, an updated list of data fields to be maintained in the database along with the manner of filing the same.  </w:t>
      </w:r>
    </w:p>
    <w:p w14:paraId="61EF17B9" w14:textId="77777777" w:rsidR="00F025AD" w:rsidRDefault="00F025AD" w:rsidP="00F025AD">
      <w:pPr>
        <w:jc w:val="both"/>
        <w:rPr>
          <w:rFonts w:ascii="Palatino Linotype" w:eastAsia="Calibri" w:hAnsi="Palatino Linotype"/>
          <w:bCs/>
        </w:rPr>
      </w:pPr>
    </w:p>
    <w:p w14:paraId="2C6DEFEC" w14:textId="77777777" w:rsidR="00F025AD" w:rsidRDefault="00F025AD" w:rsidP="00F025AD">
      <w:pPr>
        <w:jc w:val="both"/>
        <w:rPr>
          <w:rFonts w:ascii="Palatino Linotype" w:eastAsia="Calibri" w:hAnsi="Palatino Linotype"/>
          <w:bCs/>
        </w:rPr>
      </w:pPr>
      <w:r>
        <w:rPr>
          <w:rFonts w:ascii="Palatino Linotype" w:eastAsia="Calibri" w:hAnsi="Palatino Linotype"/>
          <w:bCs/>
        </w:rPr>
        <w:t>The new framework will be applicable for debt securities issued on or after August 01, 2021.</w:t>
      </w:r>
    </w:p>
    <w:p w14:paraId="1099F0CD" w14:textId="77777777" w:rsidR="00F025AD" w:rsidRDefault="00F025AD" w:rsidP="00F025AD">
      <w:pPr>
        <w:jc w:val="both"/>
        <w:rPr>
          <w:rFonts w:ascii="Palatino Linotype" w:eastAsia="Calibri" w:hAnsi="Palatino Linotype"/>
          <w:bCs/>
          <w:i/>
          <w:iCs/>
        </w:rPr>
      </w:pPr>
    </w:p>
    <w:p w14:paraId="7CB7A78F" w14:textId="77777777" w:rsidR="00F025AD" w:rsidRDefault="00F025AD" w:rsidP="00F025AD">
      <w:pPr>
        <w:jc w:val="both"/>
        <w:rPr>
          <w:rFonts w:ascii="Palatino Linotype" w:eastAsia="Calibri" w:hAnsi="Palatino Linotype"/>
          <w:bCs/>
          <w:i/>
          <w:iCs/>
        </w:rPr>
      </w:pPr>
      <w:r w:rsidRPr="001D431F">
        <w:rPr>
          <w:rFonts w:ascii="Palatino Linotype" w:eastAsia="Calibri" w:hAnsi="Palatino Linotype"/>
          <w:bCs/>
          <w:i/>
          <w:iCs/>
        </w:rPr>
        <w:t>Source</w:t>
      </w:r>
      <w:r>
        <w:rPr>
          <w:rFonts w:ascii="Palatino Linotype" w:eastAsia="Calibri" w:hAnsi="Palatino Linotype"/>
          <w:bCs/>
          <w:i/>
          <w:iCs/>
        </w:rPr>
        <w:t>:</w:t>
      </w:r>
      <w:r w:rsidRPr="001D431F">
        <w:rPr>
          <w:rFonts w:ascii="Palatino Linotype" w:eastAsia="Calibri" w:hAnsi="Palatino Linotype"/>
          <w:bCs/>
          <w:i/>
          <w:iCs/>
        </w:rPr>
        <w:t xml:space="preserve"> </w:t>
      </w:r>
      <w:r w:rsidRPr="00E95B43">
        <w:rPr>
          <w:rFonts w:ascii="Palatino Linotype" w:eastAsia="Calibri" w:hAnsi="Palatino Linotype"/>
          <w:bCs/>
          <w:i/>
          <w:iCs/>
        </w:rPr>
        <w:t>SEBI/HO/DDHS/DDHS1/P/CIR/2021/572</w:t>
      </w:r>
      <w:r w:rsidRPr="000C75B5">
        <w:rPr>
          <w:rFonts w:ascii="Palatino Linotype" w:eastAsia="Calibri" w:hAnsi="Palatino Linotype"/>
          <w:bCs/>
          <w:i/>
          <w:iCs/>
        </w:rPr>
        <w:t xml:space="preserve"> </w:t>
      </w:r>
      <w:r w:rsidRPr="001805AA">
        <w:rPr>
          <w:rFonts w:ascii="Palatino Linotype" w:eastAsia="Calibri" w:hAnsi="Palatino Linotype"/>
          <w:bCs/>
          <w:i/>
          <w:iCs/>
        </w:rPr>
        <w:t>D</w:t>
      </w:r>
      <w:r w:rsidRPr="001D431F">
        <w:rPr>
          <w:rFonts w:ascii="Palatino Linotype" w:eastAsia="Calibri" w:hAnsi="Palatino Linotype"/>
          <w:bCs/>
          <w:i/>
          <w:iCs/>
        </w:rPr>
        <w:t xml:space="preserve">ated </w:t>
      </w:r>
      <w:r>
        <w:rPr>
          <w:rFonts w:ascii="Palatino Linotype" w:eastAsia="Calibri" w:hAnsi="Palatino Linotype"/>
          <w:bCs/>
          <w:i/>
          <w:iCs/>
        </w:rPr>
        <w:t>June 04</w:t>
      </w:r>
      <w:r w:rsidRPr="001D431F">
        <w:rPr>
          <w:rFonts w:ascii="Palatino Linotype" w:eastAsia="Calibri" w:hAnsi="Palatino Linotype"/>
          <w:bCs/>
          <w:i/>
          <w:iCs/>
        </w:rPr>
        <w:t>, 2021</w:t>
      </w:r>
    </w:p>
    <w:p w14:paraId="2CA416E8" w14:textId="77777777" w:rsidR="00F025AD" w:rsidRDefault="00F025AD" w:rsidP="0060602C">
      <w:pPr>
        <w:contextualSpacing/>
        <w:jc w:val="both"/>
        <w:rPr>
          <w:rFonts w:ascii="Palatino Linotype" w:eastAsia="Calibri" w:hAnsi="Palatino Linotype"/>
          <w:b/>
          <w:bCs/>
        </w:rPr>
      </w:pPr>
    </w:p>
    <w:p w14:paraId="2E0F82CC" w14:textId="77777777" w:rsidR="00F025AD" w:rsidRDefault="00F025AD" w:rsidP="00F025AD">
      <w:pPr>
        <w:contextualSpacing/>
        <w:jc w:val="both"/>
        <w:rPr>
          <w:rFonts w:ascii="Palatino Linotype" w:eastAsia="Calibri" w:hAnsi="Palatino Linotype"/>
          <w:b/>
          <w:bCs/>
        </w:rPr>
      </w:pPr>
      <w:r>
        <w:rPr>
          <w:rFonts w:ascii="Palatino Linotype" w:eastAsia="Calibri" w:hAnsi="Palatino Linotype"/>
          <w:b/>
          <w:bCs/>
        </w:rPr>
        <w:t xml:space="preserve">5. </w:t>
      </w:r>
      <w:r w:rsidRPr="00D556B8">
        <w:rPr>
          <w:rFonts w:ascii="Palatino Linotype" w:eastAsia="Calibri" w:hAnsi="Palatino Linotype"/>
          <w:b/>
          <w:bCs/>
        </w:rPr>
        <w:t>P</w:t>
      </w:r>
      <w:r>
        <w:rPr>
          <w:rFonts w:ascii="Palatino Linotype" w:eastAsia="Calibri" w:hAnsi="Palatino Linotype"/>
          <w:b/>
          <w:bCs/>
        </w:rPr>
        <w:t>otential Risk Class Matrix for D</w:t>
      </w:r>
      <w:r w:rsidRPr="00D556B8">
        <w:rPr>
          <w:rFonts w:ascii="Palatino Linotype" w:eastAsia="Calibri" w:hAnsi="Palatino Linotype"/>
          <w:b/>
          <w:bCs/>
        </w:rPr>
        <w:t xml:space="preserve">ebt </w:t>
      </w:r>
      <w:r>
        <w:rPr>
          <w:rFonts w:ascii="Palatino Linotype" w:eastAsia="Calibri" w:hAnsi="Palatino Linotype"/>
          <w:b/>
          <w:bCs/>
        </w:rPr>
        <w:t>S</w:t>
      </w:r>
      <w:r w:rsidRPr="00D556B8">
        <w:rPr>
          <w:rFonts w:ascii="Palatino Linotype" w:eastAsia="Calibri" w:hAnsi="Palatino Linotype"/>
          <w:b/>
          <w:bCs/>
        </w:rPr>
        <w:t>chemes based on Interest Rate Risk and Credit Risk</w:t>
      </w:r>
    </w:p>
    <w:p w14:paraId="24198EA6" w14:textId="77777777" w:rsidR="00F025AD" w:rsidRDefault="00F025AD" w:rsidP="00F025AD">
      <w:pPr>
        <w:jc w:val="both"/>
        <w:rPr>
          <w:rFonts w:ascii="Palatino Linotype" w:eastAsia="Calibri" w:hAnsi="Palatino Linotype"/>
          <w:b/>
        </w:rPr>
      </w:pPr>
    </w:p>
    <w:p w14:paraId="0382352C" w14:textId="77777777" w:rsidR="00F025AD" w:rsidRPr="00D556B8" w:rsidRDefault="00F025AD" w:rsidP="00F025AD">
      <w:pPr>
        <w:jc w:val="both"/>
        <w:rPr>
          <w:rFonts w:ascii="Palatino Linotype" w:eastAsia="Calibri" w:hAnsi="Palatino Linotype"/>
          <w:bCs/>
        </w:rPr>
      </w:pPr>
      <w:r>
        <w:rPr>
          <w:rFonts w:ascii="Palatino Linotype" w:eastAsia="Calibri" w:hAnsi="Palatino Linotype"/>
          <w:bCs/>
        </w:rPr>
        <w:t xml:space="preserve">SEBI issued a risk classification to Mutual Funds </w:t>
      </w:r>
      <w:r w:rsidRPr="00D556B8">
        <w:rPr>
          <w:rFonts w:ascii="Palatino Linotype" w:eastAsia="Calibri" w:hAnsi="Palatino Linotype"/>
          <w:bCs/>
        </w:rPr>
        <w:t>to classify all debt-related schemes on their platform as potential risk class matrix, on the basis of their interest and credit risk.</w:t>
      </w:r>
      <w:r>
        <w:rPr>
          <w:rFonts w:ascii="Palatino Linotype" w:eastAsia="Calibri" w:hAnsi="Palatino Linotype"/>
          <w:bCs/>
        </w:rPr>
        <w:t xml:space="preserve">  </w:t>
      </w:r>
      <w:r w:rsidRPr="00D556B8">
        <w:rPr>
          <w:rFonts w:ascii="Palatino Linotype" w:eastAsia="Calibri" w:hAnsi="Palatino Linotype"/>
          <w:bCs/>
        </w:rPr>
        <w:t>To enable this, a display table has been made mandatory from December 1, 2021 for all such schemes</w:t>
      </w:r>
      <w:r>
        <w:rPr>
          <w:rFonts w:ascii="Palatino Linotype" w:eastAsia="Calibri" w:hAnsi="Palatino Linotype"/>
          <w:bCs/>
        </w:rPr>
        <w:t>.</w:t>
      </w:r>
    </w:p>
    <w:p w14:paraId="353E9BAC" w14:textId="77777777" w:rsidR="00F025AD" w:rsidRPr="00D556B8" w:rsidRDefault="00F025AD" w:rsidP="00F025AD">
      <w:pPr>
        <w:jc w:val="both"/>
        <w:rPr>
          <w:rFonts w:ascii="Palatino Linotype" w:eastAsia="Calibri" w:hAnsi="Palatino Linotype"/>
          <w:bCs/>
        </w:rPr>
      </w:pPr>
    </w:p>
    <w:p w14:paraId="3DE6E249" w14:textId="77777777" w:rsidR="00F025AD" w:rsidRDefault="00F025AD" w:rsidP="00F025AD">
      <w:pPr>
        <w:jc w:val="both"/>
        <w:rPr>
          <w:rFonts w:ascii="Palatino Linotype" w:eastAsia="Calibri" w:hAnsi="Palatino Linotype"/>
          <w:bCs/>
        </w:rPr>
      </w:pPr>
      <w:r w:rsidRPr="00D556B8">
        <w:rPr>
          <w:rFonts w:ascii="Palatino Linotype" w:eastAsia="Calibri" w:hAnsi="Palatino Linotype"/>
          <w:bCs/>
        </w:rPr>
        <w:t xml:space="preserve">To align existing schemes with the provisions of the new framework, each scheme will be inserted in one of the nine cells specified by </w:t>
      </w:r>
      <w:r>
        <w:rPr>
          <w:rFonts w:ascii="Palatino Linotype" w:eastAsia="Calibri" w:hAnsi="Palatino Linotype"/>
          <w:bCs/>
        </w:rPr>
        <w:t>SEBI</w:t>
      </w:r>
      <w:r w:rsidRPr="00D556B8">
        <w:rPr>
          <w:rFonts w:ascii="Palatino Linotype" w:eastAsia="Calibri" w:hAnsi="Palatino Linotype"/>
          <w:bCs/>
        </w:rPr>
        <w:t>, while retaining their existing scheme category as specified under ‘Categorisation and Rationalisation of Mutual Fund Schemes'.</w:t>
      </w:r>
    </w:p>
    <w:p w14:paraId="5D83EB53" w14:textId="77777777" w:rsidR="00F025AD" w:rsidRPr="00CB4C1E" w:rsidRDefault="00F025AD" w:rsidP="00F025AD">
      <w:pPr>
        <w:jc w:val="both"/>
        <w:rPr>
          <w:rFonts w:ascii="Palatino Linotype" w:eastAsia="Calibri" w:hAnsi="Palatino Linotype"/>
          <w:bCs/>
        </w:rPr>
      </w:pPr>
    </w:p>
    <w:p w14:paraId="28E7C311" w14:textId="77777777" w:rsidR="00F025AD" w:rsidRDefault="00F025AD" w:rsidP="00F025AD">
      <w:pPr>
        <w:jc w:val="both"/>
        <w:rPr>
          <w:rFonts w:ascii="Palatino Linotype" w:eastAsia="Calibri" w:hAnsi="Palatino Linotype"/>
          <w:bCs/>
          <w:i/>
          <w:iCs/>
        </w:rPr>
      </w:pPr>
      <w:r w:rsidRPr="001D431F">
        <w:rPr>
          <w:rFonts w:ascii="Palatino Linotype" w:eastAsia="Calibri" w:hAnsi="Palatino Linotype"/>
          <w:bCs/>
          <w:i/>
          <w:iCs/>
        </w:rPr>
        <w:t>Source</w:t>
      </w:r>
      <w:r>
        <w:rPr>
          <w:rFonts w:ascii="Palatino Linotype" w:eastAsia="Calibri" w:hAnsi="Palatino Linotype"/>
          <w:bCs/>
          <w:i/>
          <w:iCs/>
        </w:rPr>
        <w:t>:</w:t>
      </w:r>
      <w:r w:rsidRPr="001D431F">
        <w:rPr>
          <w:rFonts w:ascii="Palatino Linotype" w:eastAsia="Calibri" w:hAnsi="Palatino Linotype"/>
          <w:bCs/>
          <w:i/>
          <w:iCs/>
        </w:rPr>
        <w:t xml:space="preserve"> </w:t>
      </w:r>
      <w:r w:rsidRPr="00D556B8">
        <w:rPr>
          <w:rFonts w:ascii="Palatino Linotype" w:eastAsia="Calibri" w:hAnsi="Palatino Linotype"/>
          <w:bCs/>
          <w:i/>
          <w:iCs/>
        </w:rPr>
        <w:t xml:space="preserve">SEBI/HO/IMD/IMD-II DOF3/P/CIR/2021/573 </w:t>
      </w:r>
      <w:r w:rsidRPr="001805AA">
        <w:rPr>
          <w:rFonts w:ascii="Palatino Linotype" w:eastAsia="Calibri" w:hAnsi="Palatino Linotype"/>
          <w:bCs/>
          <w:i/>
          <w:iCs/>
        </w:rPr>
        <w:t>D</w:t>
      </w:r>
      <w:r w:rsidRPr="001D431F">
        <w:rPr>
          <w:rFonts w:ascii="Palatino Linotype" w:eastAsia="Calibri" w:hAnsi="Palatino Linotype"/>
          <w:bCs/>
          <w:i/>
          <w:iCs/>
        </w:rPr>
        <w:t xml:space="preserve">ated </w:t>
      </w:r>
      <w:r>
        <w:rPr>
          <w:rFonts w:ascii="Palatino Linotype" w:eastAsia="Calibri" w:hAnsi="Palatino Linotype"/>
          <w:bCs/>
          <w:i/>
          <w:iCs/>
        </w:rPr>
        <w:t>June 07</w:t>
      </w:r>
      <w:r w:rsidRPr="001D431F">
        <w:rPr>
          <w:rFonts w:ascii="Palatino Linotype" w:eastAsia="Calibri" w:hAnsi="Palatino Linotype"/>
          <w:bCs/>
          <w:i/>
          <w:iCs/>
        </w:rPr>
        <w:t>, 2021</w:t>
      </w:r>
    </w:p>
    <w:p w14:paraId="5E333CF0" w14:textId="77777777" w:rsidR="00F025AD" w:rsidRDefault="00F025AD" w:rsidP="0060602C">
      <w:pPr>
        <w:contextualSpacing/>
        <w:jc w:val="both"/>
        <w:rPr>
          <w:rFonts w:ascii="Palatino Linotype" w:eastAsia="Calibri" w:hAnsi="Palatino Linotype"/>
          <w:b/>
          <w:bCs/>
        </w:rPr>
      </w:pPr>
    </w:p>
    <w:p w14:paraId="6EB5B440" w14:textId="77777777" w:rsidR="00F025AD" w:rsidRDefault="00F025AD" w:rsidP="00F025AD">
      <w:pPr>
        <w:contextualSpacing/>
        <w:jc w:val="both"/>
        <w:rPr>
          <w:rFonts w:ascii="Palatino Linotype" w:eastAsia="Calibri" w:hAnsi="Palatino Linotype"/>
          <w:b/>
          <w:bCs/>
        </w:rPr>
      </w:pPr>
      <w:r>
        <w:rPr>
          <w:rFonts w:ascii="Palatino Linotype" w:eastAsia="Calibri" w:hAnsi="Palatino Linotype"/>
          <w:b/>
          <w:bCs/>
        </w:rPr>
        <w:t xml:space="preserve">6. </w:t>
      </w:r>
      <w:r w:rsidRPr="007E2D8F">
        <w:rPr>
          <w:rFonts w:ascii="Palatino Linotype" w:eastAsia="Calibri" w:hAnsi="Palatino Linotype"/>
          <w:b/>
          <w:bCs/>
        </w:rPr>
        <w:t>Revised Framework for Regulatory Sandbox</w:t>
      </w:r>
    </w:p>
    <w:p w14:paraId="4BD0FF20" w14:textId="77777777" w:rsidR="00F025AD" w:rsidRDefault="00F025AD" w:rsidP="00F025AD">
      <w:pPr>
        <w:jc w:val="both"/>
        <w:rPr>
          <w:rFonts w:ascii="Palatino Linotype" w:eastAsia="Calibri" w:hAnsi="Palatino Linotype"/>
          <w:b/>
        </w:rPr>
      </w:pPr>
    </w:p>
    <w:p w14:paraId="2BD83C7A" w14:textId="77777777" w:rsidR="00F025AD" w:rsidRDefault="00F025AD" w:rsidP="00F025AD">
      <w:pPr>
        <w:jc w:val="both"/>
        <w:rPr>
          <w:rFonts w:ascii="Palatino Linotype" w:eastAsia="Calibri" w:hAnsi="Palatino Linotype"/>
          <w:bCs/>
        </w:rPr>
      </w:pPr>
      <w:r>
        <w:rPr>
          <w:rFonts w:ascii="Palatino Linotype" w:eastAsia="Calibri" w:hAnsi="Palatino Linotype"/>
          <w:bCs/>
        </w:rPr>
        <w:t>SEBI</w:t>
      </w:r>
      <w:r w:rsidRPr="002D27E3">
        <w:rPr>
          <w:rFonts w:ascii="Palatino Linotype" w:eastAsia="Calibri" w:hAnsi="Palatino Linotype"/>
          <w:bCs/>
        </w:rPr>
        <w:t xml:space="preserve"> </w:t>
      </w:r>
      <w:r>
        <w:rPr>
          <w:rFonts w:ascii="Palatino Linotype" w:eastAsia="Calibri" w:hAnsi="Palatino Linotype"/>
          <w:bCs/>
        </w:rPr>
        <w:t xml:space="preserve">has issued revised </w:t>
      </w:r>
      <w:r w:rsidRPr="002D27E3">
        <w:rPr>
          <w:rFonts w:ascii="Palatino Linotype" w:eastAsia="Calibri" w:hAnsi="Palatino Linotype"/>
          <w:bCs/>
        </w:rPr>
        <w:t>eligibility criteria for the regulatory sandbox, laying down requirements to apply for the two stages of sandbox testing.</w:t>
      </w:r>
      <w:r>
        <w:rPr>
          <w:rFonts w:ascii="Palatino Linotype" w:eastAsia="Calibri" w:hAnsi="Palatino Linotype"/>
          <w:bCs/>
        </w:rPr>
        <w:t xml:space="preserve">  </w:t>
      </w:r>
      <w:r w:rsidRPr="002D27E3">
        <w:rPr>
          <w:rFonts w:ascii="Palatino Linotype" w:eastAsia="Calibri" w:hAnsi="Palatino Linotype"/>
          <w:bCs/>
        </w:rPr>
        <w:t>The revision has been done in order to enhance the reach and achieve the desir</w:t>
      </w:r>
      <w:r>
        <w:rPr>
          <w:rFonts w:ascii="Palatino Linotype" w:eastAsia="Calibri" w:hAnsi="Palatino Linotype"/>
          <w:bCs/>
        </w:rPr>
        <w:t>ed aim</w:t>
      </w:r>
      <w:r w:rsidRPr="002D27E3">
        <w:rPr>
          <w:rFonts w:ascii="Palatino Linotype" w:eastAsia="Calibri" w:hAnsi="Palatino Linotype"/>
          <w:bCs/>
        </w:rPr>
        <w:t>.</w:t>
      </w:r>
    </w:p>
    <w:p w14:paraId="2194E399" w14:textId="77777777" w:rsidR="00F025AD" w:rsidRPr="00D556B8" w:rsidRDefault="00F025AD" w:rsidP="00F025AD">
      <w:pPr>
        <w:jc w:val="both"/>
        <w:rPr>
          <w:rFonts w:ascii="Palatino Linotype" w:eastAsia="Calibri" w:hAnsi="Palatino Linotype"/>
          <w:bCs/>
        </w:rPr>
      </w:pPr>
    </w:p>
    <w:p w14:paraId="67EC1ECD" w14:textId="77777777" w:rsidR="00F025AD" w:rsidRDefault="00F025AD" w:rsidP="00F025AD">
      <w:pPr>
        <w:jc w:val="both"/>
        <w:rPr>
          <w:rFonts w:ascii="Palatino Linotype" w:eastAsia="Calibri" w:hAnsi="Palatino Linotype"/>
          <w:bCs/>
          <w:i/>
          <w:iCs/>
        </w:rPr>
      </w:pPr>
      <w:r w:rsidRPr="001D431F">
        <w:rPr>
          <w:rFonts w:ascii="Palatino Linotype" w:eastAsia="Calibri" w:hAnsi="Palatino Linotype"/>
          <w:bCs/>
          <w:i/>
          <w:iCs/>
        </w:rPr>
        <w:t>Source</w:t>
      </w:r>
      <w:r>
        <w:rPr>
          <w:rFonts w:ascii="Palatino Linotype" w:eastAsia="Calibri" w:hAnsi="Palatino Linotype"/>
          <w:bCs/>
          <w:i/>
          <w:iCs/>
        </w:rPr>
        <w:t>:</w:t>
      </w:r>
      <w:r w:rsidRPr="001D431F">
        <w:rPr>
          <w:rFonts w:ascii="Palatino Linotype" w:eastAsia="Calibri" w:hAnsi="Palatino Linotype"/>
          <w:bCs/>
          <w:i/>
          <w:iCs/>
        </w:rPr>
        <w:t xml:space="preserve"> </w:t>
      </w:r>
      <w:r w:rsidRPr="007E2D8F">
        <w:rPr>
          <w:rFonts w:ascii="Palatino Linotype" w:eastAsia="Calibri" w:hAnsi="Palatino Linotype"/>
          <w:bCs/>
          <w:i/>
          <w:iCs/>
        </w:rPr>
        <w:t>SEBI/HO/ITD/ITD/CIR/P/2021/575</w:t>
      </w:r>
      <w:r w:rsidRPr="00D556B8">
        <w:rPr>
          <w:rFonts w:ascii="Palatino Linotype" w:eastAsia="Calibri" w:hAnsi="Palatino Linotype"/>
          <w:bCs/>
          <w:i/>
          <w:iCs/>
        </w:rPr>
        <w:t xml:space="preserve"> </w:t>
      </w:r>
      <w:r w:rsidRPr="001805AA">
        <w:rPr>
          <w:rFonts w:ascii="Palatino Linotype" w:eastAsia="Calibri" w:hAnsi="Palatino Linotype"/>
          <w:bCs/>
          <w:i/>
          <w:iCs/>
        </w:rPr>
        <w:t>D</w:t>
      </w:r>
      <w:r w:rsidRPr="001D431F">
        <w:rPr>
          <w:rFonts w:ascii="Palatino Linotype" w:eastAsia="Calibri" w:hAnsi="Palatino Linotype"/>
          <w:bCs/>
          <w:i/>
          <w:iCs/>
        </w:rPr>
        <w:t xml:space="preserve">ated </w:t>
      </w:r>
      <w:r>
        <w:rPr>
          <w:rFonts w:ascii="Palatino Linotype" w:eastAsia="Calibri" w:hAnsi="Palatino Linotype"/>
          <w:bCs/>
          <w:i/>
          <w:iCs/>
        </w:rPr>
        <w:t>June 14</w:t>
      </w:r>
      <w:r w:rsidRPr="001D431F">
        <w:rPr>
          <w:rFonts w:ascii="Palatino Linotype" w:eastAsia="Calibri" w:hAnsi="Palatino Linotype"/>
          <w:bCs/>
          <w:i/>
          <w:iCs/>
        </w:rPr>
        <w:t>, 2021</w:t>
      </w:r>
    </w:p>
    <w:p w14:paraId="68667D7B" w14:textId="77777777" w:rsidR="00F025AD" w:rsidRDefault="00F025AD" w:rsidP="00F025AD">
      <w:pPr>
        <w:jc w:val="both"/>
        <w:rPr>
          <w:rFonts w:ascii="Palatino Linotype" w:eastAsia="Calibri" w:hAnsi="Palatino Linotype"/>
          <w:bCs/>
          <w:i/>
          <w:iCs/>
        </w:rPr>
      </w:pPr>
    </w:p>
    <w:p w14:paraId="3EE8BDD0" w14:textId="77777777" w:rsidR="00F025AD" w:rsidRDefault="00F025AD" w:rsidP="00F025AD">
      <w:pPr>
        <w:contextualSpacing/>
        <w:jc w:val="both"/>
        <w:rPr>
          <w:rFonts w:ascii="Palatino Linotype" w:eastAsia="Calibri" w:hAnsi="Palatino Linotype"/>
          <w:b/>
          <w:bCs/>
        </w:rPr>
      </w:pPr>
      <w:r>
        <w:rPr>
          <w:rFonts w:ascii="Palatino Linotype" w:eastAsia="Calibri" w:hAnsi="Palatino Linotype"/>
          <w:b/>
          <w:bCs/>
        </w:rPr>
        <w:t>7. Relaxation from the R</w:t>
      </w:r>
      <w:r w:rsidRPr="007E2D8F">
        <w:rPr>
          <w:rFonts w:ascii="Palatino Linotype" w:eastAsia="Calibri" w:hAnsi="Palatino Linotype"/>
          <w:b/>
          <w:bCs/>
        </w:rPr>
        <w:t xml:space="preserve">equirement of </w:t>
      </w:r>
      <w:r>
        <w:rPr>
          <w:rFonts w:ascii="Palatino Linotype" w:eastAsia="Calibri" w:hAnsi="Palatino Linotype"/>
          <w:b/>
          <w:bCs/>
        </w:rPr>
        <w:t>M</w:t>
      </w:r>
      <w:r w:rsidRPr="007E2D8F">
        <w:rPr>
          <w:rFonts w:ascii="Palatino Linotype" w:eastAsia="Calibri" w:hAnsi="Palatino Linotype"/>
          <w:b/>
          <w:bCs/>
        </w:rPr>
        <w:t xml:space="preserve">inimum </w:t>
      </w:r>
      <w:r>
        <w:rPr>
          <w:rFonts w:ascii="Palatino Linotype" w:eastAsia="Calibri" w:hAnsi="Palatino Linotype"/>
          <w:b/>
          <w:bCs/>
        </w:rPr>
        <w:t>V</w:t>
      </w:r>
      <w:r w:rsidRPr="007E2D8F">
        <w:rPr>
          <w:rFonts w:ascii="Palatino Linotype" w:eastAsia="Calibri" w:hAnsi="Palatino Linotype"/>
          <w:b/>
          <w:bCs/>
        </w:rPr>
        <w:t xml:space="preserve">esting </w:t>
      </w:r>
      <w:r>
        <w:rPr>
          <w:rFonts w:ascii="Palatino Linotype" w:eastAsia="Calibri" w:hAnsi="Palatino Linotype"/>
          <w:b/>
          <w:bCs/>
        </w:rPr>
        <w:t>P</w:t>
      </w:r>
      <w:r w:rsidRPr="007E2D8F">
        <w:rPr>
          <w:rFonts w:ascii="Palatino Linotype" w:eastAsia="Calibri" w:hAnsi="Palatino Linotype"/>
          <w:b/>
          <w:bCs/>
        </w:rPr>
        <w:t xml:space="preserve">eriod in case of </w:t>
      </w:r>
      <w:r>
        <w:rPr>
          <w:rFonts w:ascii="Palatino Linotype" w:eastAsia="Calibri" w:hAnsi="Palatino Linotype"/>
          <w:b/>
          <w:bCs/>
        </w:rPr>
        <w:t>D</w:t>
      </w:r>
      <w:r w:rsidRPr="007E2D8F">
        <w:rPr>
          <w:rFonts w:ascii="Palatino Linotype" w:eastAsia="Calibri" w:hAnsi="Palatino Linotype"/>
          <w:b/>
          <w:bCs/>
        </w:rPr>
        <w:t xml:space="preserve">eath of </w:t>
      </w:r>
      <w:r>
        <w:rPr>
          <w:rFonts w:ascii="Palatino Linotype" w:eastAsia="Calibri" w:hAnsi="Palatino Linotype"/>
          <w:b/>
          <w:bCs/>
        </w:rPr>
        <w:t>E</w:t>
      </w:r>
      <w:r w:rsidRPr="007E2D8F">
        <w:rPr>
          <w:rFonts w:ascii="Palatino Linotype" w:eastAsia="Calibri" w:hAnsi="Palatino Linotype"/>
          <w:b/>
          <w:bCs/>
        </w:rPr>
        <w:t>mployee(s) under SEBI (Share Based Employee Benefit) Regulations, 2014</w:t>
      </w:r>
    </w:p>
    <w:p w14:paraId="01C69E25" w14:textId="77777777" w:rsidR="00F025AD" w:rsidRDefault="00F025AD" w:rsidP="00F025AD">
      <w:pPr>
        <w:jc w:val="both"/>
        <w:rPr>
          <w:rFonts w:ascii="Palatino Linotype" w:eastAsia="Calibri" w:hAnsi="Palatino Linotype"/>
          <w:b/>
        </w:rPr>
      </w:pPr>
    </w:p>
    <w:p w14:paraId="3BADB327" w14:textId="77777777" w:rsidR="00F025AD" w:rsidRPr="00C90B22" w:rsidRDefault="00F025AD" w:rsidP="00F025AD">
      <w:pPr>
        <w:jc w:val="both"/>
        <w:rPr>
          <w:rFonts w:ascii="Palatino Linotype" w:eastAsia="Calibri" w:hAnsi="Palatino Linotype"/>
          <w:bCs/>
        </w:rPr>
      </w:pPr>
    </w:p>
    <w:p w14:paraId="11BEC47A" w14:textId="77777777" w:rsidR="00F025AD" w:rsidRPr="00C90B22" w:rsidRDefault="00F025AD" w:rsidP="00F025AD">
      <w:pPr>
        <w:jc w:val="both"/>
        <w:rPr>
          <w:rFonts w:ascii="Palatino Linotype" w:eastAsia="Calibri" w:hAnsi="Palatino Linotype"/>
          <w:bCs/>
        </w:rPr>
      </w:pPr>
      <w:r>
        <w:rPr>
          <w:rFonts w:ascii="Palatino Linotype" w:eastAsia="Calibri" w:hAnsi="Palatino Linotype"/>
          <w:bCs/>
        </w:rPr>
        <w:t xml:space="preserve">In view of the COVID-19 pandemic situation, SEBI </w:t>
      </w:r>
      <w:r w:rsidRPr="00C90B22">
        <w:rPr>
          <w:rFonts w:ascii="Palatino Linotype" w:eastAsia="Calibri" w:hAnsi="Palatino Linotype"/>
          <w:bCs/>
        </w:rPr>
        <w:t xml:space="preserve">has relaxed the vesting period requirement under </w:t>
      </w:r>
      <w:r>
        <w:rPr>
          <w:rFonts w:ascii="Palatino Linotype" w:eastAsia="Calibri" w:hAnsi="Palatino Linotype"/>
          <w:bCs/>
        </w:rPr>
        <w:t>SEBI (</w:t>
      </w:r>
      <w:r w:rsidRPr="00C90B22">
        <w:rPr>
          <w:rFonts w:ascii="Palatino Linotype" w:eastAsia="Calibri" w:hAnsi="Palatino Linotype"/>
          <w:bCs/>
        </w:rPr>
        <w:t>Share Based Employee Benefit</w:t>
      </w:r>
      <w:r>
        <w:rPr>
          <w:rFonts w:ascii="Palatino Linotype" w:eastAsia="Calibri" w:hAnsi="Palatino Linotype"/>
          <w:bCs/>
        </w:rPr>
        <w:t>)</w:t>
      </w:r>
      <w:r w:rsidRPr="00C90B22">
        <w:rPr>
          <w:rFonts w:ascii="Palatino Linotype" w:eastAsia="Calibri" w:hAnsi="Palatino Linotype"/>
          <w:bCs/>
        </w:rPr>
        <w:t xml:space="preserve"> Regulations, 2014</w:t>
      </w:r>
      <w:r>
        <w:rPr>
          <w:rFonts w:ascii="Palatino Linotype" w:eastAsia="Calibri" w:hAnsi="Palatino Linotype"/>
          <w:bCs/>
        </w:rPr>
        <w:t xml:space="preserve">,  </w:t>
      </w:r>
      <w:r w:rsidRPr="00C90B22">
        <w:rPr>
          <w:rFonts w:ascii="Palatino Linotype" w:eastAsia="Calibri" w:hAnsi="Palatino Linotype"/>
          <w:bCs/>
        </w:rPr>
        <w:t>(SBEB</w:t>
      </w:r>
      <w:r>
        <w:rPr>
          <w:rFonts w:ascii="Palatino Linotype" w:eastAsia="Calibri" w:hAnsi="Palatino Linotype"/>
          <w:bCs/>
        </w:rPr>
        <w:t xml:space="preserve"> Regulations</w:t>
      </w:r>
      <w:r w:rsidRPr="00C90B22">
        <w:rPr>
          <w:rFonts w:ascii="Palatino Linotype" w:eastAsia="Calibri" w:hAnsi="Palatino Linotype"/>
          <w:bCs/>
        </w:rPr>
        <w:t>), if an employee dies.</w:t>
      </w:r>
      <w:r>
        <w:rPr>
          <w:rFonts w:ascii="Palatino Linotype" w:eastAsia="Calibri" w:hAnsi="Palatino Linotype"/>
          <w:bCs/>
        </w:rPr>
        <w:t xml:space="preserve">  I</w:t>
      </w:r>
      <w:r w:rsidRPr="00C90B22">
        <w:rPr>
          <w:rFonts w:ascii="Palatino Linotype" w:eastAsia="Calibri" w:hAnsi="Palatino Linotype"/>
          <w:bCs/>
        </w:rPr>
        <w:t xml:space="preserve">n the event of death of the employee while in employment, all the options, </w:t>
      </w:r>
      <w:r>
        <w:rPr>
          <w:rFonts w:ascii="Palatino Linotype" w:eastAsia="Calibri" w:hAnsi="Palatino Linotype"/>
          <w:bCs/>
        </w:rPr>
        <w:t>s</w:t>
      </w:r>
      <w:r w:rsidRPr="00C90B22">
        <w:rPr>
          <w:rFonts w:ascii="Palatino Linotype" w:eastAsia="Calibri" w:hAnsi="Palatino Linotype"/>
          <w:bCs/>
        </w:rPr>
        <w:t xml:space="preserve">tock </w:t>
      </w:r>
      <w:r>
        <w:rPr>
          <w:rFonts w:ascii="Palatino Linotype" w:eastAsia="Calibri" w:hAnsi="Palatino Linotype"/>
          <w:bCs/>
        </w:rPr>
        <w:t>a</w:t>
      </w:r>
      <w:r w:rsidRPr="00C90B22">
        <w:rPr>
          <w:rFonts w:ascii="Palatino Linotype" w:eastAsia="Calibri" w:hAnsi="Palatino Linotype"/>
          <w:bCs/>
        </w:rPr>
        <w:t xml:space="preserve">ppreciation </w:t>
      </w:r>
      <w:r>
        <w:rPr>
          <w:rFonts w:ascii="Palatino Linotype" w:eastAsia="Calibri" w:hAnsi="Palatino Linotype"/>
          <w:bCs/>
        </w:rPr>
        <w:t>r</w:t>
      </w:r>
      <w:r w:rsidRPr="00C90B22">
        <w:rPr>
          <w:rFonts w:ascii="Palatino Linotype" w:eastAsia="Calibri" w:hAnsi="Palatino Linotype"/>
          <w:bCs/>
        </w:rPr>
        <w:t>ights,  or any other benefit granted to an employee under a scheme till such date shall vest in the legal heirs or nominees of the deceased employee.</w:t>
      </w:r>
    </w:p>
    <w:p w14:paraId="5E84369D" w14:textId="77777777" w:rsidR="00F025AD" w:rsidRPr="00C90B22" w:rsidRDefault="00F025AD" w:rsidP="00F025AD">
      <w:pPr>
        <w:jc w:val="both"/>
        <w:rPr>
          <w:rFonts w:ascii="Palatino Linotype" w:eastAsia="Calibri" w:hAnsi="Palatino Linotype"/>
          <w:bCs/>
        </w:rPr>
      </w:pPr>
    </w:p>
    <w:p w14:paraId="11300B04" w14:textId="77777777" w:rsidR="00F025AD" w:rsidRDefault="00F025AD" w:rsidP="00F025AD">
      <w:pPr>
        <w:jc w:val="both"/>
        <w:rPr>
          <w:rFonts w:ascii="Palatino Linotype" w:eastAsia="Calibri" w:hAnsi="Palatino Linotype"/>
          <w:bCs/>
        </w:rPr>
      </w:pPr>
      <w:r w:rsidRPr="00C90B22">
        <w:rPr>
          <w:rFonts w:ascii="Palatino Linotype" w:eastAsia="Calibri" w:hAnsi="Palatino Linotype"/>
          <w:bCs/>
        </w:rPr>
        <w:t xml:space="preserve">The relaxation will be available to all such employees, who </w:t>
      </w:r>
      <w:r>
        <w:rPr>
          <w:rFonts w:ascii="Palatino Linotype" w:eastAsia="Calibri" w:hAnsi="Palatino Linotype"/>
          <w:bCs/>
        </w:rPr>
        <w:t>died on or after April 1, 2020.</w:t>
      </w:r>
    </w:p>
    <w:p w14:paraId="7B235418" w14:textId="77777777" w:rsidR="00F025AD" w:rsidRPr="00D556B8" w:rsidRDefault="00F025AD" w:rsidP="00F025AD">
      <w:pPr>
        <w:jc w:val="both"/>
        <w:rPr>
          <w:rFonts w:ascii="Palatino Linotype" w:eastAsia="Calibri" w:hAnsi="Palatino Linotype"/>
          <w:bCs/>
        </w:rPr>
      </w:pPr>
    </w:p>
    <w:p w14:paraId="155E0D0A" w14:textId="77777777" w:rsidR="00F025AD" w:rsidRDefault="00F025AD" w:rsidP="00F025AD">
      <w:pPr>
        <w:jc w:val="both"/>
        <w:rPr>
          <w:rFonts w:ascii="Palatino Linotype" w:eastAsia="Calibri" w:hAnsi="Palatino Linotype"/>
          <w:bCs/>
          <w:i/>
          <w:iCs/>
        </w:rPr>
      </w:pPr>
      <w:r w:rsidRPr="001D431F">
        <w:rPr>
          <w:rFonts w:ascii="Palatino Linotype" w:eastAsia="Calibri" w:hAnsi="Palatino Linotype"/>
          <w:bCs/>
          <w:i/>
          <w:iCs/>
        </w:rPr>
        <w:t>Source</w:t>
      </w:r>
      <w:r>
        <w:rPr>
          <w:rFonts w:ascii="Palatino Linotype" w:eastAsia="Calibri" w:hAnsi="Palatino Linotype"/>
          <w:bCs/>
          <w:i/>
          <w:iCs/>
        </w:rPr>
        <w:t>:</w:t>
      </w:r>
      <w:r w:rsidRPr="001D431F">
        <w:rPr>
          <w:rFonts w:ascii="Palatino Linotype" w:eastAsia="Calibri" w:hAnsi="Palatino Linotype"/>
          <w:bCs/>
          <w:i/>
          <w:iCs/>
        </w:rPr>
        <w:t xml:space="preserve"> </w:t>
      </w:r>
      <w:r w:rsidRPr="007E2D8F">
        <w:rPr>
          <w:rFonts w:ascii="Palatino Linotype" w:eastAsia="Calibri" w:hAnsi="Palatino Linotype"/>
          <w:bCs/>
          <w:i/>
          <w:iCs/>
        </w:rPr>
        <w:t>SEBI/HO/CFD/DCR2/CIR/P/2021/576</w:t>
      </w:r>
      <w:r w:rsidRPr="00D556B8">
        <w:rPr>
          <w:rFonts w:ascii="Palatino Linotype" w:eastAsia="Calibri" w:hAnsi="Palatino Linotype"/>
          <w:bCs/>
          <w:i/>
          <w:iCs/>
        </w:rPr>
        <w:t xml:space="preserve"> </w:t>
      </w:r>
      <w:r w:rsidRPr="001805AA">
        <w:rPr>
          <w:rFonts w:ascii="Palatino Linotype" w:eastAsia="Calibri" w:hAnsi="Palatino Linotype"/>
          <w:bCs/>
          <w:i/>
          <w:iCs/>
        </w:rPr>
        <w:t>D</w:t>
      </w:r>
      <w:r w:rsidRPr="001D431F">
        <w:rPr>
          <w:rFonts w:ascii="Palatino Linotype" w:eastAsia="Calibri" w:hAnsi="Palatino Linotype"/>
          <w:bCs/>
          <w:i/>
          <w:iCs/>
        </w:rPr>
        <w:t xml:space="preserve">ated </w:t>
      </w:r>
      <w:r>
        <w:rPr>
          <w:rFonts w:ascii="Palatino Linotype" w:eastAsia="Calibri" w:hAnsi="Palatino Linotype"/>
          <w:bCs/>
          <w:i/>
          <w:iCs/>
        </w:rPr>
        <w:t>June 15</w:t>
      </w:r>
      <w:r w:rsidRPr="001D431F">
        <w:rPr>
          <w:rFonts w:ascii="Palatino Linotype" w:eastAsia="Calibri" w:hAnsi="Palatino Linotype"/>
          <w:bCs/>
          <w:i/>
          <w:iCs/>
        </w:rPr>
        <w:t>, 2021</w:t>
      </w:r>
    </w:p>
    <w:p w14:paraId="5426F6E6" w14:textId="77777777" w:rsidR="00F025AD" w:rsidRDefault="00F025AD" w:rsidP="00F025AD">
      <w:pPr>
        <w:jc w:val="both"/>
        <w:rPr>
          <w:rFonts w:ascii="Palatino Linotype" w:eastAsia="Calibri" w:hAnsi="Palatino Linotype"/>
          <w:bCs/>
          <w:i/>
          <w:iCs/>
        </w:rPr>
      </w:pPr>
    </w:p>
    <w:p w14:paraId="75DAAD38" w14:textId="77777777" w:rsidR="00F025AD" w:rsidRPr="007E2D8F" w:rsidRDefault="00F025AD" w:rsidP="00F025AD">
      <w:pPr>
        <w:contextualSpacing/>
        <w:jc w:val="both"/>
        <w:rPr>
          <w:rFonts w:ascii="Palatino Linotype" w:eastAsia="Calibri" w:hAnsi="Palatino Linotype"/>
          <w:b/>
          <w:bCs/>
        </w:rPr>
      </w:pPr>
      <w:r>
        <w:rPr>
          <w:rFonts w:ascii="Palatino Linotype" w:eastAsia="Calibri" w:hAnsi="Palatino Linotype"/>
          <w:b/>
          <w:bCs/>
        </w:rPr>
        <w:t xml:space="preserve">8. </w:t>
      </w:r>
      <w:r w:rsidRPr="007E2D8F">
        <w:rPr>
          <w:rFonts w:ascii="Palatino Linotype" w:eastAsia="Calibri" w:hAnsi="Palatino Linotype"/>
          <w:b/>
          <w:bCs/>
        </w:rPr>
        <w:t xml:space="preserve">Settlement of Running Account of Client’s Funds lying with Trading Member </w:t>
      </w:r>
    </w:p>
    <w:p w14:paraId="61342B1D" w14:textId="77777777" w:rsidR="00F025AD" w:rsidRDefault="00F025AD" w:rsidP="00F025AD">
      <w:pPr>
        <w:jc w:val="both"/>
        <w:rPr>
          <w:rFonts w:ascii="Palatino Linotype" w:eastAsia="Calibri" w:hAnsi="Palatino Linotype"/>
          <w:b/>
        </w:rPr>
      </w:pPr>
    </w:p>
    <w:p w14:paraId="2966D56C" w14:textId="77777777" w:rsidR="00F025AD" w:rsidRPr="00C90B22" w:rsidRDefault="00F025AD" w:rsidP="00F025AD">
      <w:pPr>
        <w:jc w:val="both"/>
        <w:rPr>
          <w:rFonts w:ascii="Palatino Linotype" w:eastAsia="Calibri" w:hAnsi="Palatino Linotype"/>
          <w:bCs/>
        </w:rPr>
      </w:pPr>
      <w:r>
        <w:rPr>
          <w:rFonts w:ascii="Palatino Linotype" w:eastAsia="Calibri" w:hAnsi="Palatino Linotype"/>
          <w:bCs/>
        </w:rPr>
        <w:t>In partial modification of the aforementioned circulars dated December 03, 2009 and September 26, 2016 on settlement of running account, it was decided that t</w:t>
      </w:r>
      <w:r w:rsidRPr="00C90B22">
        <w:rPr>
          <w:rFonts w:ascii="Palatino Linotype" w:eastAsia="Calibri" w:hAnsi="Palatino Linotype"/>
          <w:bCs/>
        </w:rPr>
        <w:t xml:space="preserve">he settlement of running account of funds of the client shall be done by the </w:t>
      </w:r>
      <w:r>
        <w:rPr>
          <w:rFonts w:ascii="Palatino Linotype" w:eastAsia="Calibri" w:hAnsi="Palatino Linotype"/>
          <w:bCs/>
        </w:rPr>
        <w:t>trading member (</w:t>
      </w:r>
      <w:r w:rsidRPr="00C90B22">
        <w:rPr>
          <w:rFonts w:ascii="Palatino Linotype" w:eastAsia="Calibri" w:hAnsi="Palatino Linotype"/>
          <w:bCs/>
        </w:rPr>
        <w:t>TM</w:t>
      </w:r>
      <w:r>
        <w:rPr>
          <w:rFonts w:ascii="Palatino Linotype" w:eastAsia="Calibri" w:hAnsi="Palatino Linotype"/>
          <w:bCs/>
        </w:rPr>
        <w:t xml:space="preserve">) </w:t>
      </w:r>
      <w:r w:rsidRPr="00C90B22">
        <w:rPr>
          <w:rFonts w:ascii="Palatino Linotype" w:eastAsia="Calibri" w:hAnsi="Palatino Linotype"/>
          <w:bCs/>
        </w:rPr>
        <w:t xml:space="preserve"> after considering the </w:t>
      </w:r>
      <w:r>
        <w:rPr>
          <w:rFonts w:ascii="Palatino Linotype" w:eastAsia="Calibri" w:hAnsi="Palatino Linotype"/>
          <w:bCs/>
        </w:rPr>
        <w:t>e</w:t>
      </w:r>
      <w:r w:rsidRPr="00C90B22">
        <w:rPr>
          <w:rFonts w:ascii="Palatino Linotype" w:eastAsia="Calibri" w:hAnsi="Palatino Linotype"/>
          <w:bCs/>
        </w:rPr>
        <w:t xml:space="preserve">nd of the day  obligation of funds as on the date of settlement across all the </w:t>
      </w:r>
      <w:r>
        <w:rPr>
          <w:rFonts w:ascii="Palatino Linotype" w:eastAsia="Calibri" w:hAnsi="Palatino Linotype"/>
          <w:bCs/>
        </w:rPr>
        <w:t>e</w:t>
      </w:r>
      <w:r w:rsidRPr="00C90B22">
        <w:rPr>
          <w:rFonts w:ascii="Palatino Linotype" w:eastAsia="Calibri" w:hAnsi="Palatino Linotype"/>
          <w:bCs/>
        </w:rPr>
        <w:t>xchanges, at least once within a gap of 30/90 days between two settlements of running account as per the preference of the client.</w:t>
      </w:r>
    </w:p>
    <w:p w14:paraId="69165A90" w14:textId="77777777" w:rsidR="00F025AD" w:rsidRPr="00C90B22" w:rsidRDefault="00F025AD" w:rsidP="00F025AD">
      <w:pPr>
        <w:jc w:val="both"/>
        <w:rPr>
          <w:rFonts w:ascii="Palatino Linotype" w:eastAsia="Calibri" w:hAnsi="Palatino Linotype"/>
          <w:bCs/>
        </w:rPr>
      </w:pPr>
    </w:p>
    <w:p w14:paraId="199D2759" w14:textId="77777777" w:rsidR="00F025AD" w:rsidRPr="00A66484" w:rsidRDefault="00F025AD" w:rsidP="00F025AD">
      <w:pPr>
        <w:jc w:val="both"/>
        <w:rPr>
          <w:rFonts w:ascii="Palatino Linotype" w:hAnsi="Palatino Linotype"/>
          <w:lang w:val="en-IN" w:eastAsia="en-IN" w:bidi="hi-IN"/>
        </w:rPr>
      </w:pPr>
      <w:r w:rsidRPr="00A66484">
        <w:rPr>
          <w:rFonts w:ascii="Palatino Linotype" w:hAnsi="Palatino Linotype"/>
        </w:rPr>
        <w:t>In case of client having any outstanding trade position on the day on which settlement of running account of funds is scheduled, a TM may retain funds calculated in the manner specified.</w:t>
      </w:r>
    </w:p>
    <w:p w14:paraId="3CFB3D6D" w14:textId="77777777" w:rsidR="00F025AD" w:rsidRPr="00D556B8" w:rsidRDefault="00F025AD" w:rsidP="00F025AD">
      <w:pPr>
        <w:jc w:val="both"/>
        <w:rPr>
          <w:rFonts w:ascii="Palatino Linotype" w:eastAsia="Calibri" w:hAnsi="Palatino Linotype"/>
          <w:bCs/>
        </w:rPr>
      </w:pPr>
    </w:p>
    <w:p w14:paraId="0D704C01" w14:textId="77777777" w:rsidR="00F025AD" w:rsidRDefault="00F025AD" w:rsidP="00F025AD">
      <w:pPr>
        <w:jc w:val="both"/>
        <w:rPr>
          <w:rFonts w:ascii="Palatino Linotype" w:eastAsia="Calibri" w:hAnsi="Palatino Linotype"/>
          <w:bCs/>
          <w:i/>
          <w:iCs/>
        </w:rPr>
      </w:pPr>
      <w:r w:rsidRPr="001D431F">
        <w:rPr>
          <w:rFonts w:ascii="Palatino Linotype" w:eastAsia="Calibri" w:hAnsi="Palatino Linotype"/>
          <w:bCs/>
          <w:i/>
          <w:iCs/>
        </w:rPr>
        <w:t>Source</w:t>
      </w:r>
      <w:r>
        <w:rPr>
          <w:rFonts w:ascii="Palatino Linotype" w:eastAsia="Calibri" w:hAnsi="Palatino Linotype"/>
          <w:bCs/>
          <w:i/>
          <w:iCs/>
        </w:rPr>
        <w:t>:</w:t>
      </w:r>
      <w:r w:rsidRPr="001D431F">
        <w:rPr>
          <w:rFonts w:ascii="Palatino Linotype" w:eastAsia="Calibri" w:hAnsi="Palatino Linotype"/>
          <w:bCs/>
          <w:i/>
          <w:iCs/>
        </w:rPr>
        <w:t xml:space="preserve"> </w:t>
      </w:r>
      <w:r w:rsidRPr="007E2D8F">
        <w:rPr>
          <w:rFonts w:ascii="Palatino Linotype" w:eastAsia="Calibri" w:hAnsi="Palatino Linotype"/>
          <w:bCs/>
          <w:i/>
          <w:iCs/>
        </w:rPr>
        <w:t>SEBI/HO/MIRSD/DOP/P/CIR/2021/577</w:t>
      </w:r>
      <w:r w:rsidRPr="00D556B8">
        <w:rPr>
          <w:rFonts w:ascii="Palatino Linotype" w:eastAsia="Calibri" w:hAnsi="Palatino Linotype"/>
          <w:bCs/>
          <w:i/>
          <w:iCs/>
        </w:rPr>
        <w:t xml:space="preserve"> </w:t>
      </w:r>
      <w:r w:rsidRPr="001805AA">
        <w:rPr>
          <w:rFonts w:ascii="Palatino Linotype" w:eastAsia="Calibri" w:hAnsi="Palatino Linotype"/>
          <w:bCs/>
          <w:i/>
          <w:iCs/>
        </w:rPr>
        <w:t>D</w:t>
      </w:r>
      <w:r w:rsidRPr="001D431F">
        <w:rPr>
          <w:rFonts w:ascii="Palatino Linotype" w:eastAsia="Calibri" w:hAnsi="Palatino Linotype"/>
          <w:bCs/>
          <w:i/>
          <w:iCs/>
        </w:rPr>
        <w:t xml:space="preserve">ated </w:t>
      </w:r>
      <w:r>
        <w:rPr>
          <w:rFonts w:ascii="Palatino Linotype" w:eastAsia="Calibri" w:hAnsi="Palatino Linotype"/>
          <w:bCs/>
          <w:i/>
          <w:iCs/>
        </w:rPr>
        <w:t>June 16</w:t>
      </w:r>
      <w:r w:rsidRPr="001D431F">
        <w:rPr>
          <w:rFonts w:ascii="Palatino Linotype" w:eastAsia="Calibri" w:hAnsi="Palatino Linotype"/>
          <w:bCs/>
          <w:i/>
          <w:iCs/>
        </w:rPr>
        <w:t>, 2021</w:t>
      </w:r>
    </w:p>
    <w:p w14:paraId="282067D4" w14:textId="77777777" w:rsidR="00F025AD" w:rsidRDefault="00F025AD" w:rsidP="00F025AD">
      <w:pPr>
        <w:jc w:val="both"/>
        <w:rPr>
          <w:rFonts w:ascii="Palatino Linotype" w:eastAsia="Calibri" w:hAnsi="Palatino Linotype"/>
          <w:bCs/>
          <w:i/>
          <w:iCs/>
        </w:rPr>
      </w:pPr>
    </w:p>
    <w:p w14:paraId="7E3C02F5" w14:textId="77777777" w:rsidR="00F025AD" w:rsidRDefault="00F025AD" w:rsidP="00F025AD">
      <w:pPr>
        <w:contextualSpacing/>
        <w:jc w:val="both"/>
        <w:rPr>
          <w:rFonts w:ascii="Palatino Linotype" w:eastAsia="Calibri" w:hAnsi="Palatino Linotype"/>
          <w:b/>
          <w:bCs/>
        </w:rPr>
      </w:pPr>
      <w:r>
        <w:rPr>
          <w:rFonts w:ascii="Palatino Linotype" w:eastAsia="Calibri" w:hAnsi="Palatino Linotype"/>
          <w:b/>
          <w:bCs/>
        </w:rPr>
        <w:t xml:space="preserve">9. </w:t>
      </w:r>
      <w:r w:rsidRPr="007E2D8F">
        <w:rPr>
          <w:rFonts w:ascii="Palatino Linotype" w:eastAsia="Calibri" w:hAnsi="Palatino Linotype"/>
          <w:b/>
          <w:bCs/>
        </w:rPr>
        <w:t>Automation of Continual Disclosures under Regulation 7(2) of SEBI (Prohibition of Insider Trading) Regulations, 2015 - System Driven Disclosures for inclusion of listed Debt Securities</w:t>
      </w:r>
    </w:p>
    <w:p w14:paraId="5F4A7420" w14:textId="77777777" w:rsidR="00F025AD" w:rsidRDefault="00F025AD" w:rsidP="00F025AD">
      <w:pPr>
        <w:jc w:val="both"/>
        <w:rPr>
          <w:rFonts w:ascii="Palatino Linotype" w:eastAsia="Calibri" w:hAnsi="Palatino Linotype"/>
          <w:b/>
        </w:rPr>
      </w:pPr>
    </w:p>
    <w:p w14:paraId="4655EB08" w14:textId="77777777" w:rsidR="00F025AD" w:rsidRPr="00282702" w:rsidRDefault="00F025AD" w:rsidP="00F025AD">
      <w:pPr>
        <w:jc w:val="both"/>
        <w:rPr>
          <w:rFonts w:ascii="Palatino Linotype" w:eastAsia="Calibri" w:hAnsi="Palatino Linotype"/>
          <w:bCs/>
        </w:rPr>
      </w:pPr>
      <w:r>
        <w:rPr>
          <w:rFonts w:ascii="Palatino Linotype" w:eastAsia="Calibri" w:hAnsi="Palatino Linotype"/>
          <w:bCs/>
        </w:rPr>
        <w:t xml:space="preserve">The </w:t>
      </w:r>
      <w:r w:rsidRPr="00282702">
        <w:rPr>
          <w:rFonts w:ascii="Palatino Linotype" w:eastAsia="Calibri" w:hAnsi="Palatino Linotype"/>
          <w:bCs/>
        </w:rPr>
        <w:t xml:space="preserve">listed companies' promoters and directors' dealings in listed debt securities </w:t>
      </w:r>
      <w:r>
        <w:rPr>
          <w:rFonts w:ascii="Palatino Linotype" w:eastAsia="Calibri" w:hAnsi="Palatino Linotype"/>
          <w:bCs/>
        </w:rPr>
        <w:t xml:space="preserve">were included </w:t>
      </w:r>
      <w:r w:rsidRPr="00282702">
        <w:rPr>
          <w:rFonts w:ascii="Palatino Linotype" w:eastAsia="Calibri" w:hAnsi="Palatino Linotype"/>
          <w:bCs/>
        </w:rPr>
        <w:t>under the purview of system driven disclosures</w:t>
      </w:r>
      <w:r>
        <w:rPr>
          <w:rFonts w:ascii="Palatino Linotype" w:eastAsia="Calibri" w:hAnsi="Palatino Linotype"/>
          <w:bCs/>
        </w:rPr>
        <w:t xml:space="preserve"> for members of promoter group and designated person(s) in addition to the promoter(s) and director(s) of the company</w:t>
      </w:r>
      <w:r w:rsidRPr="00282702">
        <w:rPr>
          <w:rFonts w:ascii="Palatino Linotype" w:eastAsia="Calibri" w:hAnsi="Palatino Linotype"/>
          <w:bCs/>
        </w:rPr>
        <w:t>.</w:t>
      </w:r>
    </w:p>
    <w:p w14:paraId="692671F6" w14:textId="77777777" w:rsidR="00F025AD" w:rsidRDefault="00F025AD" w:rsidP="00F025AD">
      <w:pPr>
        <w:jc w:val="both"/>
        <w:rPr>
          <w:rFonts w:ascii="Palatino Linotype" w:eastAsia="Calibri" w:hAnsi="Palatino Linotype"/>
          <w:bCs/>
        </w:rPr>
      </w:pPr>
    </w:p>
    <w:p w14:paraId="02EEE554" w14:textId="77777777" w:rsidR="00F025AD" w:rsidRPr="00282702" w:rsidRDefault="00F025AD" w:rsidP="00F025AD">
      <w:pPr>
        <w:jc w:val="both"/>
        <w:rPr>
          <w:rFonts w:ascii="Palatino Linotype" w:eastAsia="Calibri" w:hAnsi="Palatino Linotype"/>
          <w:bCs/>
        </w:rPr>
      </w:pPr>
      <w:r w:rsidRPr="00282702">
        <w:rPr>
          <w:rFonts w:ascii="Palatino Linotype" w:eastAsia="Calibri" w:hAnsi="Palatino Linotype"/>
          <w:bCs/>
        </w:rPr>
        <w:t xml:space="preserve">The stock exchanges and depositories will </w:t>
      </w:r>
      <w:r>
        <w:rPr>
          <w:rFonts w:ascii="Palatino Linotype" w:eastAsia="Calibri" w:hAnsi="Palatino Linotype"/>
          <w:bCs/>
        </w:rPr>
        <w:t xml:space="preserve">have to </w:t>
      </w:r>
      <w:r w:rsidRPr="00282702">
        <w:rPr>
          <w:rFonts w:ascii="Palatino Linotype" w:eastAsia="Calibri" w:hAnsi="Palatino Linotype"/>
          <w:bCs/>
        </w:rPr>
        <w:t xml:space="preserve">make necessary arrangements so that disclosures pertaining to listed debt securities along with equity shares and equity derivative instruments are disseminated on the websites of respective bourses from </w:t>
      </w:r>
      <w:r>
        <w:rPr>
          <w:rFonts w:ascii="Palatino Linotype" w:eastAsia="Calibri" w:hAnsi="Palatino Linotype"/>
          <w:bCs/>
        </w:rPr>
        <w:t>July 1, 2021.</w:t>
      </w:r>
    </w:p>
    <w:p w14:paraId="21E07DC4" w14:textId="77777777" w:rsidR="00F025AD" w:rsidRPr="00282702" w:rsidRDefault="00F025AD" w:rsidP="00F025AD">
      <w:pPr>
        <w:jc w:val="both"/>
        <w:rPr>
          <w:rFonts w:ascii="Palatino Linotype" w:eastAsia="Calibri" w:hAnsi="Palatino Linotype"/>
          <w:bCs/>
        </w:rPr>
      </w:pPr>
    </w:p>
    <w:p w14:paraId="3C458F2A" w14:textId="77777777" w:rsidR="00F025AD" w:rsidRDefault="00F025AD" w:rsidP="00F025AD">
      <w:pPr>
        <w:jc w:val="both"/>
        <w:rPr>
          <w:rFonts w:ascii="Palatino Linotype" w:eastAsia="Calibri" w:hAnsi="Palatino Linotype"/>
          <w:bCs/>
          <w:i/>
          <w:iCs/>
        </w:rPr>
      </w:pPr>
      <w:r w:rsidRPr="001D431F">
        <w:rPr>
          <w:rFonts w:ascii="Palatino Linotype" w:eastAsia="Calibri" w:hAnsi="Palatino Linotype"/>
          <w:bCs/>
          <w:i/>
          <w:iCs/>
        </w:rPr>
        <w:t>Source</w:t>
      </w:r>
      <w:r>
        <w:rPr>
          <w:rFonts w:ascii="Palatino Linotype" w:eastAsia="Calibri" w:hAnsi="Palatino Linotype"/>
          <w:bCs/>
          <w:i/>
          <w:iCs/>
        </w:rPr>
        <w:t>:</w:t>
      </w:r>
      <w:r w:rsidRPr="001D431F">
        <w:rPr>
          <w:rFonts w:ascii="Palatino Linotype" w:eastAsia="Calibri" w:hAnsi="Palatino Linotype"/>
          <w:bCs/>
          <w:i/>
          <w:iCs/>
        </w:rPr>
        <w:t xml:space="preserve"> </w:t>
      </w:r>
      <w:r w:rsidRPr="007E2D8F">
        <w:rPr>
          <w:rFonts w:ascii="Palatino Linotype" w:eastAsia="Calibri" w:hAnsi="Palatino Linotype"/>
          <w:bCs/>
          <w:i/>
          <w:iCs/>
        </w:rPr>
        <w:t>SEBI/HO/ISD/ISD/CIR/P/2021/578</w:t>
      </w:r>
      <w:r w:rsidRPr="00D556B8">
        <w:rPr>
          <w:rFonts w:ascii="Palatino Linotype" w:eastAsia="Calibri" w:hAnsi="Palatino Linotype"/>
          <w:bCs/>
          <w:i/>
          <w:iCs/>
        </w:rPr>
        <w:t xml:space="preserve"> </w:t>
      </w:r>
      <w:r w:rsidRPr="001805AA">
        <w:rPr>
          <w:rFonts w:ascii="Palatino Linotype" w:eastAsia="Calibri" w:hAnsi="Palatino Linotype"/>
          <w:bCs/>
          <w:i/>
          <w:iCs/>
        </w:rPr>
        <w:t>D</w:t>
      </w:r>
      <w:r w:rsidRPr="001D431F">
        <w:rPr>
          <w:rFonts w:ascii="Palatino Linotype" w:eastAsia="Calibri" w:hAnsi="Palatino Linotype"/>
          <w:bCs/>
          <w:i/>
          <w:iCs/>
        </w:rPr>
        <w:t xml:space="preserve">ated </w:t>
      </w:r>
      <w:r>
        <w:rPr>
          <w:rFonts w:ascii="Palatino Linotype" w:eastAsia="Calibri" w:hAnsi="Palatino Linotype"/>
          <w:bCs/>
          <w:i/>
          <w:iCs/>
        </w:rPr>
        <w:t>June 16</w:t>
      </w:r>
      <w:r w:rsidRPr="001D431F">
        <w:rPr>
          <w:rFonts w:ascii="Palatino Linotype" w:eastAsia="Calibri" w:hAnsi="Palatino Linotype"/>
          <w:bCs/>
          <w:i/>
          <w:iCs/>
        </w:rPr>
        <w:t>, 2021</w:t>
      </w:r>
    </w:p>
    <w:p w14:paraId="53920943" w14:textId="77777777" w:rsidR="00F025AD" w:rsidRDefault="00F025AD" w:rsidP="00F025AD">
      <w:pPr>
        <w:jc w:val="both"/>
        <w:rPr>
          <w:rFonts w:ascii="Palatino Linotype" w:eastAsia="Calibri" w:hAnsi="Palatino Linotype"/>
          <w:bCs/>
          <w:i/>
          <w:iCs/>
        </w:rPr>
      </w:pPr>
    </w:p>
    <w:p w14:paraId="247A225D" w14:textId="77777777" w:rsidR="00F025AD" w:rsidRDefault="00F025AD" w:rsidP="00F025AD">
      <w:pPr>
        <w:contextualSpacing/>
        <w:jc w:val="both"/>
        <w:rPr>
          <w:rFonts w:ascii="Palatino Linotype" w:eastAsia="Calibri" w:hAnsi="Palatino Linotype"/>
          <w:b/>
          <w:bCs/>
        </w:rPr>
      </w:pPr>
      <w:r>
        <w:rPr>
          <w:rFonts w:ascii="Palatino Linotype" w:eastAsia="Calibri" w:hAnsi="Palatino Linotype"/>
          <w:b/>
          <w:bCs/>
        </w:rPr>
        <w:t>10. Framework for A</w:t>
      </w:r>
      <w:r w:rsidRPr="007E2D8F">
        <w:rPr>
          <w:rFonts w:ascii="Palatino Linotype" w:eastAsia="Calibri" w:hAnsi="Palatino Linotype"/>
          <w:b/>
          <w:bCs/>
        </w:rPr>
        <w:t xml:space="preserve">dministration and </w:t>
      </w:r>
      <w:r>
        <w:rPr>
          <w:rFonts w:ascii="Palatino Linotype" w:eastAsia="Calibri" w:hAnsi="Palatino Linotype"/>
          <w:b/>
          <w:bCs/>
        </w:rPr>
        <w:t>S</w:t>
      </w:r>
      <w:r w:rsidRPr="007E2D8F">
        <w:rPr>
          <w:rFonts w:ascii="Palatino Linotype" w:eastAsia="Calibri" w:hAnsi="Palatino Linotype"/>
          <w:b/>
          <w:bCs/>
        </w:rPr>
        <w:t>upervision of Investment Advisers under the SEBI (Investment Advisers) Regulations, 2013</w:t>
      </w:r>
    </w:p>
    <w:p w14:paraId="7C850726" w14:textId="77777777" w:rsidR="00F025AD" w:rsidRDefault="00F025AD" w:rsidP="00F025AD">
      <w:pPr>
        <w:jc w:val="both"/>
        <w:rPr>
          <w:rFonts w:ascii="Palatino Linotype" w:eastAsia="Calibri" w:hAnsi="Palatino Linotype"/>
          <w:b/>
        </w:rPr>
      </w:pPr>
    </w:p>
    <w:p w14:paraId="167033F2" w14:textId="77777777" w:rsidR="00F025AD" w:rsidRPr="00737710" w:rsidRDefault="00F025AD" w:rsidP="00F025AD">
      <w:pPr>
        <w:jc w:val="both"/>
        <w:rPr>
          <w:rFonts w:ascii="Palatino Linotype" w:eastAsia="Calibri" w:hAnsi="Palatino Linotype"/>
          <w:bCs/>
        </w:rPr>
      </w:pPr>
    </w:p>
    <w:p w14:paraId="69857732" w14:textId="1787DDE8" w:rsidR="00F025AD" w:rsidRPr="00737710" w:rsidRDefault="00F025AD" w:rsidP="00F025AD">
      <w:pPr>
        <w:jc w:val="both"/>
        <w:rPr>
          <w:rFonts w:ascii="Palatino Linotype" w:eastAsia="Calibri" w:hAnsi="Palatino Linotype"/>
          <w:bCs/>
        </w:rPr>
      </w:pPr>
      <w:r w:rsidRPr="00737710">
        <w:rPr>
          <w:rFonts w:ascii="Palatino Linotype" w:eastAsia="Calibri" w:hAnsi="Palatino Linotype"/>
          <w:bCs/>
        </w:rPr>
        <w:t xml:space="preserve">SEBI has appointed BSE Administration &amp; Supervision Limited (BASL), a wholly-owned subsidiary of BSE </w:t>
      </w:r>
      <w:r w:rsidR="007D4F15">
        <w:rPr>
          <w:rFonts w:ascii="Palatino Linotype" w:eastAsia="Calibri" w:hAnsi="Palatino Linotype"/>
          <w:bCs/>
        </w:rPr>
        <w:t>Ltd</w:t>
      </w:r>
      <w:r w:rsidR="007D4F15" w:rsidRPr="00737710">
        <w:rPr>
          <w:rFonts w:ascii="Palatino Linotype" w:eastAsia="Calibri" w:hAnsi="Palatino Linotype"/>
          <w:bCs/>
        </w:rPr>
        <w:t xml:space="preserve"> </w:t>
      </w:r>
      <w:r w:rsidRPr="00737710">
        <w:rPr>
          <w:rFonts w:ascii="Palatino Linotype" w:eastAsia="Calibri" w:hAnsi="Palatino Linotype"/>
          <w:bCs/>
        </w:rPr>
        <w:t xml:space="preserve">as Investment Adviser Administration and Supervisory Body </w:t>
      </w:r>
      <w:r>
        <w:rPr>
          <w:rFonts w:ascii="Palatino Linotype" w:eastAsia="Calibri" w:hAnsi="Palatino Linotype"/>
          <w:bCs/>
        </w:rPr>
        <w:t>(</w:t>
      </w:r>
      <w:r w:rsidRPr="00737710">
        <w:rPr>
          <w:rFonts w:ascii="Palatino Linotype" w:eastAsia="Calibri" w:hAnsi="Palatino Linotype"/>
          <w:bCs/>
        </w:rPr>
        <w:t>IAASB</w:t>
      </w:r>
      <w:r>
        <w:rPr>
          <w:rFonts w:ascii="Palatino Linotype" w:eastAsia="Calibri" w:hAnsi="Palatino Linotype"/>
          <w:bCs/>
        </w:rPr>
        <w:t>)</w:t>
      </w:r>
      <w:r w:rsidRPr="00737710">
        <w:rPr>
          <w:rFonts w:ascii="Palatino Linotype" w:eastAsia="Calibri" w:hAnsi="Palatino Linotype"/>
          <w:bCs/>
        </w:rPr>
        <w:t xml:space="preserve"> for a period of three years from June 01, 2021.</w:t>
      </w:r>
    </w:p>
    <w:p w14:paraId="403AA06A" w14:textId="77777777" w:rsidR="00F025AD" w:rsidRPr="00737710" w:rsidRDefault="00F025AD" w:rsidP="00F025AD">
      <w:pPr>
        <w:jc w:val="both"/>
        <w:rPr>
          <w:rFonts w:ascii="Palatino Linotype" w:eastAsia="Calibri" w:hAnsi="Palatino Linotype"/>
          <w:bCs/>
        </w:rPr>
      </w:pPr>
    </w:p>
    <w:p w14:paraId="2428E7E3" w14:textId="6F83C97C" w:rsidR="00F025AD" w:rsidRPr="00737710" w:rsidRDefault="00F025AD" w:rsidP="00F025AD">
      <w:pPr>
        <w:jc w:val="both"/>
        <w:rPr>
          <w:rFonts w:ascii="Palatino Linotype" w:eastAsia="Calibri" w:hAnsi="Palatino Linotype"/>
          <w:bCs/>
        </w:rPr>
      </w:pPr>
      <w:r w:rsidRPr="00737710">
        <w:rPr>
          <w:rFonts w:ascii="Palatino Linotype" w:eastAsia="Calibri" w:hAnsi="Palatino Linotype"/>
          <w:bCs/>
        </w:rPr>
        <w:t>IAASB responsibilities include supervision of</w:t>
      </w:r>
      <w:r>
        <w:rPr>
          <w:rFonts w:ascii="Palatino Linotype" w:eastAsia="Calibri" w:hAnsi="Palatino Linotype"/>
          <w:bCs/>
        </w:rPr>
        <w:t xml:space="preserve"> investment advisers (</w:t>
      </w:r>
      <w:r w:rsidRPr="00737710">
        <w:rPr>
          <w:rFonts w:ascii="Palatino Linotype" w:eastAsia="Calibri" w:hAnsi="Palatino Linotype"/>
          <w:bCs/>
        </w:rPr>
        <w:t>IAs</w:t>
      </w:r>
      <w:r>
        <w:rPr>
          <w:rFonts w:ascii="Palatino Linotype" w:eastAsia="Calibri" w:hAnsi="Palatino Linotype"/>
          <w:bCs/>
        </w:rPr>
        <w:t>)</w:t>
      </w:r>
      <w:r w:rsidRPr="00737710">
        <w:rPr>
          <w:rFonts w:ascii="Palatino Linotype" w:eastAsia="Calibri" w:hAnsi="Palatino Linotype"/>
          <w:bCs/>
        </w:rPr>
        <w:t xml:space="preserve">, grievance redressal </w:t>
      </w:r>
      <w:r w:rsidR="005B2091">
        <w:rPr>
          <w:rFonts w:ascii="Palatino Linotype" w:eastAsia="Calibri" w:hAnsi="Palatino Linotype"/>
          <w:bCs/>
        </w:rPr>
        <w:t xml:space="preserve">of clients and </w:t>
      </w:r>
      <w:r w:rsidR="005B2091" w:rsidRPr="00737710">
        <w:rPr>
          <w:rFonts w:ascii="Palatino Linotype" w:eastAsia="Calibri" w:hAnsi="Palatino Linotype"/>
          <w:bCs/>
        </w:rPr>
        <w:t>IAs</w:t>
      </w:r>
      <w:r w:rsidRPr="00737710">
        <w:rPr>
          <w:rFonts w:ascii="Palatino Linotype" w:eastAsia="Calibri" w:hAnsi="Palatino Linotype"/>
          <w:bCs/>
        </w:rPr>
        <w:t xml:space="preserve">, monitoring activities </w:t>
      </w:r>
      <w:r w:rsidR="005B2091">
        <w:rPr>
          <w:rFonts w:ascii="Palatino Linotype" w:eastAsia="Calibri" w:hAnsi="Palatino Linotype"/>
          <w:bCs/>
        </w:rPr>
        <w:t xml:space="preserve">of </w:t>
      </w:r>
      <w:r w:rsidRPr="00737710">
        <w:rPr>
          <w:rFonts w:ascii="Palatino Linotype" w:eastAsia="Calibri" w:hAnsi="Palatino Linotype"/>
          <w:bCs/>
        </w:rPr>
        <w:t>IAs</w:t>
      </w:r>
      <w:r w:rsidR="005B2091">
        <w:rPr>
          <w:rFonts w:ascii="Palatino Linotype" w:eastAsia="Calibri" w:hAnsi="Palatino Linotype"/>
          <w:bCs/>
        </w:rPr>
        <w:t xml:space="preserve">, </w:t>
      </w:r>
      <w:r w:rsidRPr="00737710">
        <w:rPr>
          <w:rFonts w:ascii="Palatino Linotype" w:eastAsia="Calibri" w:hAnsi="Palatino Linotype"/>
          <w:bCs/>
        </w:rPr>
        <w:t>maintenance of IAs database</w:t>
      </w:r>
      <w:r w:rsidR="005B2091">
        <w:rPr>
          <w:rFonts w:ascii="Palatino Linotype" w:eastAsia="Calibri" w:hAnsi="Palatino Linotype"/>
          <w:bCs/>
        </w:rPr>
        <w:t>, submission of periodical reports to SEBI, taking administrative action and referring to SEBI for enforcement action.</w:t>
      </w:r>
      <w:r w:rsidRPr="00737710">
        <w:rPr>
          <w:rFonts w:ascii="Palatino Linotype" w:eastAsia="Calibri" w:hAnsi="Palatino Linotype"/>
          <w:bCs/>
        </w:rPr>
        <w:t xml:space="preserve"> </w:t>
      </w:r>
    </w:p>
    <w:p w14:paraId="5054C016" w14:textId="77777777" w:rsidR="00F025AD" w:rsidRPr="00737710" w:rsidRDefault="00F025AD" w:rsidP="00F025AD">
      <w:pPr>
        <w:jc w:val="both"/>
        <w:rPr>
          <w:rFonts w:ascii="Palatino Linotype" w:eastAsia="Calibri" w:hAnsi="Palatino Linotype"/>
          <w:bCs/>
        </w:rPr>
      </w:pPr>
    </w:p>
    <w:p w14:paraId="5E59F6EA" w14:textId="77777777" w:rsidR="00F025AD" w:rsidRPr="00D556B8" w:rsidRDefault="00F025AD" w:rsidP="00F025AD">
      <w:pPr>
        <w:jc w:val="both"/>
        <w:rPr>
          <w:rFonts w:ascii="Palatino Linotype" w:eastAsia="Calibri" w:hAnsi="Palatino Linotype"/>
          <w:bCs/>
        </w:rPr>
      </w:pPr>
    </w:p>
    <w:p w14:paraId="3C625091" w14:textId="77777777" w:rsidR="00F025AD" w:rsidRDefault="00F025AD" w:rsidP="00F025AD">
      <w:pPr>
        <w:jc w:val="both"/>
        <w:rPr>
          <w:rFonts w:ascii="Palatino Linotype" w:eastAsia="Calibri" w:hAnsi="Palatino Linotype"/>
          <w:bCs/>
          <w:i/>
          <w:iCs/>
        </w:rPr>
      </w:pPr>
      <w:r w:rsidRPr="001D431F">
        <w:rPr>
          <w:rFonts w:ascii="Palatino Linotype" w:eastAsia="Calibri" w:hAnsi="Palatino Linotype"/>
          <w:bCs/>
          <w:i/>
          <w:iCs/>
        </w:rPr>
        <w:t>Source</w:t>
      </w:r>
      <w:r>
        <w:rPr>
          <w:rFonts w:ascii="Palatino Linotype" w:eastAsia="Calibri" w:hAnsi="Palatino Linotype"/>
          <w:bCs/>
          <w:i/>
          <w:iCs/>
        </w:rPr>
        <w:t>:</w:t>
      </w:r>
      <w:r w:rsidRPr="001D431F">
        <w:rPr>
          <w:rFonts w:ascii="Palatino Linotype" w:eastAsia="Calibri" w:hAnsi="Palatino Linotype"/>
          <w:bCs/>
          <w:i/>
          <w:iCs/>
        </w:rPr>
        <w:t xml:space="preserve"> </w:t>
      </w:r>
      <w:r w:rsidRPr="007E2D8F">
        <w:rPr>
          <w:rFonts w:ascii="Palatino Linotype" w:eastAsia="Calibri" w:hAnsi="Palatino Linotype"/>
          <w:bCs/>
          <w:i/>
          <w:iCs/>
        </w:rPr>
        <w:t>SEBI/HO/IMD/IMD-I/DOF1/P/CIR/2021/579</w:t>
      </w:r>
      <w:r w:rsidRPr="00D556B8">
        <w:rPr>
          <w:rFonts w:ascii="Palatino Linotype" w:eastAsia="Calibri" w:hAnsi="Palatino Linotype"/>
          <w:bCs/>
          <w:i/>
          <w:iCs/>
        </w:rPr>
        <w:t xml:space="preserve"> </w:t>
      </w:r>
      <w:r w:rsidRPr="001805AA">
        <w:rPr>
          <w:rFonts w:ascii="Palatino Linotype" w:eastAsia="Calibri" w:hAnsi="Palatino Linotype"/>
          <w:bCs/>
          <w:i/>
          <w:iCs/>
        </w:rPr>
        <w:t>D</w:t>
      </w:r>
      <w:r w:rsidRPr="001D431F">
        <w:rPr>
          <w:rFonts w:ascii="Palatino Linotype" w:eastAsia="Calibri" w:hAnsi="Palatino Linotype"/>
          <w:bCs/>
          <w:i/>
          <w:iCs/>
        </w:rPr>
        <w:t xml:space="preserve">ated </w:t>
      </w:r>
      <w:r>
        <w:rPr>
          <w:rFonts w:ascii="Palatino Linotype" w:eastAsia="Calibri" w:hAnsi="Palatino Linotype"/>
          <w:bCs/>
          <w:i/>
          <w:iCs/>
        </w:rPr>
        <w:t>June 18</w:t>
      </w:r>
      <w:r w:rsidRPr="001D431F">
        <w:rPr>
          <w:rFonts w:ascii="Palatino Linotype" w:eastAsia="Calibri" w:hAnsi="Palatino Linotype"/>
          <w:bCs/>
          <w:i/>
          <w:iCs/>
        </w:rPr>
        <w:t>, 2021</w:t>
      </w:r>
    </w:p>
    <w:p w14:paraId="22B9912F" w14:textId="77777777" w:rsidR="00F025AD" w:rsidRDefault="00F025AD" w:rsidP="00F025AD">
      <w:pPr>
        <w:jc w:val="both"/>
        <w:rPr>
          <w:rFonts w:ascii="Palatino Linotype" w:eastAsia="Calibri" w:hAnsi="Palatino Linotype"/>
          <w:bCs/>
          <w:i/>
          <w:iCs/>
        </w:rPr>
      </w:pPr>
    </w:p>
    <w:p w14:paraId="44038EFE" w14:textId="77777777" w:rsidR="00F025AD" w:rsidRDefault="00F025AD" w:rsidP="00F025AD">
      <w:pPr>
        <w:contextualSpacing/>
        <w:jc w:val="both"/>
        <w:rPr>
          <w:rFonts w:ascii="Palatino Linotype" w:eastAsia="Calibri" w:hAnsi="Palatino Linotype"/>
          <w:b/>
          <w:bCs/>
        </w:rPr>
      </w:pPr>
      <w:r>
        <w:rPr>
          <w:rFonts w:ascii="Palatino Linotype" w:eastAsia="Calibri" w:hAnsi="Palatino Linotype"/>
          <w:b/>
          <w:bCs/>
        </w:rPr>
        <w:t>11. Norms for I</w:t>
      </w:r>
      <w:r w:rsidRPr="007E2D8F">
        <w:rPr>
          <w:rFonts w:ascii="Palatino Linotype" w:eastAsia="Calibri" w:hAnsi="Palatino Linotype"/>
          <w:b/>
          <w:bCs/>
        </w:rPr>
        <w:t xml:space="preserve">nvestment and </w:t>
      </w:r>
      <w:r>
        <w:rPr>
          <w:rFonts w:ascii="Palatino Linotype" w:eastAsia="Calibri" w:hAnsi="Palatino Linotype"/>
          <w:b/>
          <w:bCs/>
        </w:rPr>
        <w:t>D</w:t>
      </w:r>
      <w:r w:rsidRPr="007E2D8F">
        <w:rPr>
          <w:rFonts w:ascii="Palatino Linotype" w:eastAsia="Calibri" w:hAnsi="Palatino Linotype"/>
          <w:b/>
          <w:bCs/>
        </w:rPr>
        <w:t>i</w:t>
      </w:r>
      <w:r>
        <w:rPr>
          <w:rFonts w:ascii="Palatino Linotype" w:eastAsia="Calibri" w:hAnsi="Palatino Linotype"/>
          <w:b/>
          <w:bCs/>
        </w:rPr>
        <w:t>s</w:t>
      </w:r>
      <w:r w:rsidRPr="007E2D8F">
        <w:rPr>
          <w:rFonts w:ascii="Palatino Linotype" w:eastAsia="Calibri" w:hAnsi="Palatino Linotype"/>
          <w:b/>
          <w:bCs/>
        </w:rPr>
        <w:t>closure by Mutual Funds in Derivatives</w:t>
      </w:r>
    </w:p>
    <w:p w14:paraId="579174B9" w14:textId="77777777" w:rsidR="00F025AD" w:rsidRDefault="00F025AD" w:rsidP="00F025AD">
      <w:pPr>
        <w:jc w:val="both"/>
        <w:rPr>
          <w:rFonts w:ascii="Palatino Linotype" w:eastAsia="Calibri" w:hAnsi="Palatino Linotype"/>
          <w:b/>
        </w:rPr>
      </w:pPr>
    </w:p>
    <w:p w14:paraId="0237BDDE" w14:textId="77777777" w:rsidR="00F025AD" w:rsidRPr="0086410E" w:rsidRDefault="00F025AD" w:rsidP="00F025AD">
      <w:pPr>
        <w:jc w:val="both"/>
        <w:rPr>
          <w:rFonts w:ascii="Palatino Linotype" w:eastAsia="Calibri" w:hAnsi="Palatino Linotype"/>
          <w:bCs/>
        </w:rPr>
      </w:pPr>
      <w:r>
        <w:rPr>
          <w:rFonts w:ascii="Palatino Linotype" w:eastAsia="Calibri" w:hAnsi="Palatino Linotype"/>
          <w:bCs/>
        </w:rPr>
        <w:t xml:space="preserve"> Paragraph 8 of the SEBI circular dated August 18, 2010 was modified based on the feedback received from the industry.</w:t>
      </w:r>
    </w:p>
    <w:p w14:paraId="2F7BAD44" w14:textId="77777777" w:rsidR="00F025AD" w:rsidRPr="0086410E" w:rsidRDefault="00F025AD" w:rsidP="00F025AD">
      <w:pPr>
        <w:jc w:val="both"/>
        <w:rPr>
          <w:rFonts w:ascii="Palatino Linotype" w:eastAsia="Calibri" w:hAnsi="Palatino Linotype"/>
          <w:bCs/>
        </w:rPr>
      </w:pPr>
    </w:p>
    <w:p w14:paraId="36B2C559" w14:textId="77777777" w:rsidR="00F025AD" w:rsidRPr="0086410E" w:rsidRDefault="00F025AD" w:rsidP="00F025AD">
      <w:pPr>
        <w:jc w:val="both"/>
        <w:rPr>
          <w:rFonts w:ascii="Palatino Linotype" w:eastAsia="Calibri" w:hAnsi="Palatino Linotype"/>
          <w:bCs/>
        </w:rPr>
      </w:pPr>
      <w:r w:rsidRPr="0086410E">
        <w:rPr>
          <w:rFonts w:ascii="Palatino Linotype" w:eastAsia="Calibri" w:hAnsi="Palatino Linotype"/>
          <w:bCs/>
        </w:rPr>
        <w:t xml:space="preserve">Based on the modified norms, the </w:t>
      </w:r>
      <w:r>
        <w:rPr>
          <w:rFonts w:ascii="Palatino Linotype" w:eastAsia="Calibri" w:hAnsi="Palatino Linotype"/>
          <w:bCs/>
        </w:rPr>
        <w:t>m</w:t>
      </w:r>
      <w:r w:rsidRPr="0086410E">
        <w:rPr>
          <w:rFonts w:ascii="Palatino Linotype" w:eastAsia="Calibri" w:hAnsi="Palatino Linotype"/>
          <w:bCs/>
        </w:rPr>
        <w:t xml:space="preserve">utual </w:t>
      </w:r>
      <w:r>
        <w:rPr>
          <w:rFonts w:ascii="Palatino Linotype" w:eastAsia="Calibri" w:hAnsi="Palatino Linotype"/>
          <w:bCs/>
        </w:rPr>
        <w:t>f</w:t>
      </w:r>
      <w:r w:rsidRPr="0086410E">
        <w:rPr>
          <w:rFonts w:ascii="Palatino Linotype" w:eastAsia="Calibri" w:hAnsi="Palatino Linotype"/>
          <w:bCs/>
        </w:rPr>
        <w:t xml:space="preserve">unds may enter into plain vanilla </w:t>
      </w:r>
      <w:r>
        <w:rPr>
          <w:rFonts w:ascii="Palatino Linotype" w:eastAsia="Calibri" w:hAnsi="Palatino Linotype"/>
          <w:bCs/>
        </w:rPr>
        <w:t>i</w:t>
      </w:r>
      <w:r w:rsidRPr="0086410E">
        <w:rPr>
          <w:rFonts w:ascii="Palatino Linotype" w:eastAsia="Calibri" w:hAnsi="Palatino Linotype"/>
          <w:bCs/>
        </w:rPr>
        <w:t xml:space="preserve">nterest </w:t>
      </w:r>
      <w:r>
        <w:rPr>
          <w:rFonts w:ascii="Palatino Linotype" w:eastAsia="Calibri" w:hAnsi="Palatino Linotype"/>
          <w:bCs/>
        </w:rPr>
        <w:t>r</w:t>
      </w:r>
      <w:r w:rsidRPr="0086410E">
        <w:rPr>
          <w:rFonts w:ascii="Palatino Linotype" w:eastAsia="Calibri" w:hAnsi="Palatino Linotype"/>
          <w:bCs/>
        </w:rPr>
        <w:t xml:space="preserve">ate </w:t>
      </w:r>
      <w:r>
        <w:rPr>
          <w:rFonts w:ascii="Palatino Linotype" w:eastAsia="Calibri" w:hAnsi="Palatino Linotype"/>
          <w:bCs/>
        </w:rPr>
        <w:t>s</w:t>
      </w:r>
      <w:r w:rsidRPr="0086410E">
        <w:rPr>
          <w:rFonts w:ascii="Palatino Linotype" w:eastAsia="Calibri" w:hAnsi="Palatino Linotype"/>
          <w:bCs/>
        </w:rPr>
        <w:t>waps (IRS) for hedging purposes.  The value of the notional principal in such cases must not exceed the value of respective existing assets being hedged by the scheme.</w:t>
      </w:r>
    </w:p>
    <w:p w14:paraId="0349C84B" w14:textId="77777777" w:rsidR="00F025AD" w:rsidRPr="0086410E" w:rsidRDefault="00F025AD" w:rsidP="00F025AD">
      <w:pPr>
        <w:jc w:val="both"/>
        <w:rPr>
          <w:rFonts w:ascii="Palatino Linotype" w:eastAsia="Calibri" w:hAnsi="Palatino Linotype"/>
          <w:bCs/>
        </w:rPr>
      </w:pPr>
    </w:p>
    <w:p w14:paraId="40959A5F" w14:textId="2DD58FB0" w:rsidR="00F025AD" w:rsidRPr="0086410E" w:rsidRDefault="00F025AD" w:rsidP="00F025AD">
      <w:pPr>
        <w:jc w:val="both"/>
        <w:rPr>
          <w:rFonts w:ascii="Palatino Linotype" w:eastAsia="Calibri" w:hAnsi="Palatino Linotype"/>
          <w:bCs/>
        </w:rPr>
      </w:pPr>
      <w:r w:rsidRPr="0086410E">
        <w:rPr>
          <w:rFonts w:ascii="Palatino Linotype" w:eastAsia="Calibri" w:hAnsi="Palatino Linotype"/>
          <w:bCs/>
        </w:rPr>
        <w:t xml:space="preserve">In case of participation in IRS is through over-the-counter transactions, the counter party has to be an entity recognized as a market maker </w:t>
      </w:r>
      <w:r w:rsidR="007D4F15" w:rsidRPr="0086410E">
        <w:rPr>
          <w:rFonts w:ascii="Palatino Linotype" w:eastAsia="Calibri" w:hAnsi="Palatino Linotype"/>
          <w:bCs/>
        </w:rPr>
        <w:t>by RBI</w:t>
      </w:r>
      <w:r w:rsidRPr="0086410E">
        <w:rPr>
          <w:rFonts w:ascii="Palatino Linotype" w:eastAsia="Calibri" w:hAnsi="Palatino Linotype"/>
          <w:bCs/>
        </w:rPr>
        <w:t>.</w:t>
      </w:r>
    </w:p>
    <w:p w14:paraId="46500009" w14:textId="77777777" w:rsidR="00F025AD" w:rsidRPr="0086410E" w:rsidRDefault="00F025AD" w:rsidP="00F025AD">
      <w:pPr>
        <w:jc w:val="both"/>
        <w:rPr>
          <w:rFonts w:ascii="Palatino Linotype" w:eastAsia="Calibri" w:hAnsi="Palatino Linotype"/>
          <w:bCs/>
        </w:rPr>
      </w:pPr>
    </w:p>
    <w:p w14:paraId="061E3BBB" w14:textId="77777777" w:rsidR="00F025AD" w:rsidRDefault="00F025AD" w:rsidP="00F025AD">
      <w:pPr>
        <w:jc w:val="both"/>
        <w:rPr>
          <w:rFonts w:ascii="Palatino Linotype" w:eastAsia="Calibri" w:hAnsi="Palatino Linotype"/>
          <w:bCs/>
        </w:rPr>
      </w:pPr>
      <w:r w:rsidRPr="0086410E">
        <w:rPr>
          <w:rFonts w:ascii="Palatino Linotype" w:eastAsia="Calibri" w:hAnsi="Palatino Linotype"/>
          <w:bCs/>
        </w:rPr>
        <w:t>Further</w:t>
      </w:r>
      <w:r w:rsidR="007D4F15">
        <w:rPr>
          <w:rFonts w:ascii="Palatino Linotype" w:eastAsia="Calibri" w:hAnsi="Palatino Linotype"/>
          <w:bCs/>
        </w:rPr>
        <w:t>,</w:t>
      </w:r>
      <w:r w:rsidRPr="0086410E">
        <w:rPr>
          <w:rFonts w:ascii="Palatino Linotype" w:eastAsia="Calibri" w:hAnsi="Palatino Linotype"/>
          <w:bCs/>
        </w:rPr>
        <w:t xml:space="preserve"> the exposure to a single counterparty in such transactions should not exceed 10% of the net assets of the scheme.</w:t>
      </w:r>
    </w:p>
    <w:p w14:paraId="50E61BF8" w14:textId="77777777" w:rsidR="00F025AD" w:rsidRPr="00D556B8" w:rsidRDefault="00F025AD" w:rsidP="00F025AD">
      <w:pPr>
        <w:jc w:val="both"/>
        <w:rPr>
          <w:rFonts w:ascii="Palatino Linotype" w:eastAsia="Calibri" w:hAnsi="Palatino Linotype"/>
          <w:bCs/>
        </w:rPr>
      </w:pPr>
    </w:p>
    <w:p w14:paraId="26CBEB49" w14:textId="77777777" w:rsidR="00F025AD" w:rsidRDefault="00F025AD" w:rsidP="00F025AD">
      <w:pPr>
        <w:jc w:val="both"/>
        <w:rPr>
          <w:rFonts w:ascii="Palatino Linotype" w:eastAsia="Calibri" w:hAnsi="Palatino Linotype"/>
          <w:bCs/>
          <w:i/>
          <w:iCs/>
        </w:rPr>
      </w:pPr>
      <w:r w:rsidRPr="001D431F">
        <w:rPr>
          <w:rFonts w:ascii="Palatino Linotype" w:eastAsia="Calibri" w:hAnsi="Palatino Linotype"/>
          <w:bCs/>
          <w:i/>
          <w:iCs/>
        </w:rPr>
        <w:t>Source</w:t>
      </w:r>
      <w:r>
        <w:rPr>
          <w:rFonts w:ascii="Palatino Linotype" w:eastAsia="Calibri" w:hAnsi="Palatino Linotype"/>
          <w:bCs/>
          <w:i/>
          <w:iCs/>
        </w:rPr>
        <w:t>:</w:t>
      </w:r>
      <w:r w:rsidRPr="001D431F">
        <w:rPr>
          <w:rFonts w:ascii="Palatino Linotype" w:eastAsia="Calibri" w:hAnsi="Palatino Linotype"/>
          <w:bCs/>
          <w:i/>
          <w:iCs/>
        </w:rPr>
        <w:t xml:space="preserve"> </w:t>
      </w:r>
      <w:r w:rsidRPr="007E2D8F">
        <w:rPr>
          <w:rFonts w:ascii="Palatino Linotype" w:eastAsia="Calibri" w:hAnsi="Palatino Linotype"/>
          <w:bCs/>
          <w:i/>
          <w:iCs/>
        </w:rPr>
        <w:t>SEBI/HO/IMD/IMD-I DOF2/P/CIR/2021/580</w:t>
      </w:r>
      <w:r w:rsidRPr="00D556B8">
        <w:rPr>
          <w:rFonts w:ascii="Palatino Linotype" w:eastAsia="Calibri" w:hAnsi="Palatino Linotype"/>
          <w:bCs/>
          <w:i/>
          <w:iCs/>
        </w:rPr>
        <w:t xml:space="preserve"> </w:t>
      </w:r>
      <w:r w:rsidRPr="001805AA">
        <w:rPr>
          <w:rFonts w:ascii="Palatino Linotype" w:eastAsia="Calibri" w:hAnsi="Palatino Linotype"/>
          <w:bCs/>
          <w:i/>
          <w:iCs/>
        </w:rPr>
        <w:t>D</w:t>
      </w:r>
      <w:r w:rsidRPr="001D431F">
        <w:rPr>
          <w:rFonts w:ascii="Palatino Linotype" w:eastAsia="Calibri" w:hAnsi="Palatino Linotype"/>
          <w:bCs/>
          <w:i/>
          <w:iCs/>
        </w:rPr>
        <w:t xml:space="preserve">ated </w:t>
      </w:r>
      <w:r>
        <w:rPr>
          <w:rFonts w:ascii="Palatino Linotype" w:eastAsia="Calibri" w:hAnsi="Palatino Linotype"/>
          <w:bCs/>
          <w:i/>
          <w:iCs/>
        </w:rPr>
        <w:t>June 18</w:t>
      </w:r>
      <w:r w:rsidRPr="001D431F">
        <w:rPr>
          <w:rFonts w:ascii="Palatino Linotype" w:eastAsia="Calibri" w:hAnsi="Palatino Linotype"/>
          <w:bCs/>
          <w:i/>
          <w:iCs/>
        </w:rPr>
        <w:t>, 2021</w:t>
      </w:r>
    </w:p>
    <w:p w14:paraId="780E2276" w14:textId="77777777" w:rsidR="00F025AD" w:rsidRDefault="00F025AD" w:rsidP="0060602C">
      <w:pPr>
        <w:contextualSpacing/>
        <w:jc w:val="both"/>
        <w:rPr>
          <w:rFonts w:ascii="Palatino Linotype" w:eastAsia="Calibri" w:hAnsi="Palatino Linotype"/>
          <w:b/>
          <w:bCs/>
        </w:rPr>
      </w:pPr>
    </w:p>
    <w:p w14:paraId="514D0BFE" w14:textId="77777777" w:rsidR="00F025AD" w:rsidRPr="00155195" w:rsidRDefault="00F025AD" w:rsidP="00F025AD">
      <w:pPr>
        <w:autoSpaceDE w:val="0"/>
        <w:autoSpaceDN w:val="0"/>
        <w:adjustRightInd w:val="0"/>
        <w:spacing w:after="160" w:line="259" w:lineRule="auto"/>
        <w:contextualSpacing/>
        <w:jc w:val="both"/>
        <w:rPr>
          <w:rFonts w:ascii="Palatino Linotype" w:eastAsia="Calibri" w:hAnsi="Palatino Linotype" w:cs="CIDFont+F3"/>
          <w:b/>
          <w:bCs/>
          <w:lang w:val="en-IN" w:bidi="hi-IN"/>
        </w:rPr>
      </w:pPr>
      <w:r>
        <w:rPr>
          <w:rFonts w:ascii="Palatino Linotype" w:eastAsia="Calibri" w:hAnsi="Palatino Linotype" w:cs="CIDFont+F3"/>
          <w:b/>
          <w:bCs/>
          <w:lang w:val="en-IN" w:bidi="hi-IN"/>
        </w:rPr>
        <w:t xml:space="preserve">12. </w:t>
      </w:r>
      <w:r w:rsidRPr="00155195">
        <w:rPr>
          <w:rFonts w:ascii="Palatino Linotype" w:eastAsia="Calibri" w:hAnsi="Palatino Linotype" w:cs="CIDFont+F3"/>
          <w:b/>
          <w:bCs/>
          <w:lang w:val="en-IN" w:bidi="hi-IN"/>
        </w:rPr>
        <w:t>Prudential Norms for Liquidity Risk Management for Open-Ended Debt Schemes</w:t>
      </w:r>
    </w:p>
    <w:p w14:paraId="13D1E452" w14:textId="77777777" w:rsidR="00F025AD" w:rsidRPr="00155195" w:rsidRDefault="00F025AD" w:rsidP="00F025AD">
      <w:pPr>
        <w:autoSpaceDE w:val="0"/>
        <w:autoSpaceDN w:val="0"/>
        <w:adjustRightInd w:val="0"/>
        <w:ind w:left="720"/>
        <w:contextualSpacing/>
        <w:rPr>
          <w:rFonts w:ascii="Palatino Linotype" w:eastAsia="Calibri" w:hAnsi="Palatino Linotype" w:cs="CIDFont+F3"/>
          <w:lang w:val="en-IN" w:bidi="hi-IN"/>
        </w:rPr>
      </w:pPr>
    </w:p>
    <w:p w14:paraId="7630D77B" w14:textId="77777777" w:rsidR="00F025AD" w:rsidRPr="00155195" w:rsidRDefault="00F025AD" w:rsidP="00F025AD">
      <w:pPr>
        <w:autoSpaceDE w:val="0"/>
        <w:autoSpaceDN w:val="0"/>
        <w:adjustRightInd w:val="0"/>
        <w:jc w:val="both"/>
        <w:rPr>
          <w:rFonts w:ascii="Palatino Linotype" w:eastAsia="Calibri" w:hAnsi="Palatino Linotype" w:cs="CIDFont+F5"/>
          <w:lang w:val="en-IN" w:bidi="hi-IN"/>
        </w:rPr>
      </w:pPr>
      <w:r w:rsidRPr="00155195">
        <w:rPr>
          <w:rFonts w:ascii="Palatino Linotype" w:eastAsia="Calibri" w:hAnsi="Palatino Linotype" w:cs="CIDFont+F3"/>
          <w:lang w:val="en-IN" w:bidi="hi-IN"/>
        </w:rPr>
        <w:t xml:space="preserve">Clarifications were issued w.r.t. para 1(b) of the </w:t>
      </w:r>
      <w:r w:rsidRPr="00155195">
        <w:rPr>
          <w:rFonts w:ascii="Palatino Linotype" w:eastAsia="Calibri" w:hAnsi="Palatino Linotype" w:cs="CIDFont+F5"/>
          <w:lang w:val="en-IN" w:bidi="hi-IN"/>
        </w:rPr>
        <w:t>circular SEBI/HO/IMD/DF3/CIR/P/2020/229 dated November 06, 2020 wherein norms regarding holding of liquid assets in open ended debt schemes and stress testing of open ended debt schemes were specified.</w:t>
      </w:r>
    </w:p>
    <w:p w14:paraId="4AC784A4" w14:textId="77777777" w:rsidR="00F025AD" w:rsidRDefault="00F025AD" w:rsidP="00F025AD">
      <w:pPr>
        <w:autoSpaceDE w:val="0"/>
        <w:autoSpaceDN w:val="0"/>
        <w:adjustRightInd w:val="0"/>
        <w:jc w:val="both"/>
        <w:rPr>
          <w:rFonts w:ascii="Palatino Linotype" w:eastAsia="Calibri" w:hAnsi="Palatino Linotype" w:cs="CIDFont+F5"/>
          <w:lang w:val="en-IN" w:bidi="hi-IN"/>
        </w:rPr>
      </w:pPr>
    </w:p>
    <w:p w14:paraId="63386443" w14:textId="77777777" w:rsidR="00F025AD" w:rsidRPr="00155195" w:rsidRDefault="00F025AD" w:rsidP="00F025AD">
      <w:pPr>
        <w:autoSpaceDE w:val="0"/>
        <w:autoSpaceDN w:val="0"/>
        <w:adjustRightInd w:val="0"/>
        <w:jc w:val="both"/>
        <w:rPr>
          <w:rFonts w:ascii="Palatino Linotype" w:eastAsia="Calibri" w:hAnsi="Palatino Linotype" w:cs="Mangal"/>
          <w:lang w:val="en-IN" w:bidi="hi-IN"/>
        </w:rPr>
      </w:pPr>
      <w:r w:rsidRPr="00155195">
        <w:rPr>
          <w:rFonts w:ascii="Palatino Linotype" w:eastAsia="Calibri" w:hAnsi="Palatino Linotype" w:cs="CIDFont+F5"/>
          <w:lang w:val="en-IN" w:bidi="hi-IN"/>
        </w:rPr>
        <w:t>Source:</w:t>
      </w:r>
      <w:r w:rsidRPr="00155195">
        <w:rPr>
          <w:rFonts w:ascii="Palatino Linotype" w:eastAsia="Calibri" w:hAnsi="Palatino Linotype" w:cs="Mangal"/>
          <w:lang w:val="en-IN" w:bidi="hi-IN"/>
        </w:rPr>
        <w:t xml:space="preserve"> SEBI/HO/IMD/IMD-II DOF3/P/CIR/2021/583 dated June 25, 2021</w:t>
      </w:r>
    </w:p>
    <w:p w14:paraId="056B52A2" w14:textId="77777777" w:rsidR="00F025AD" w:rsidRPr="00155195" w:rsidRDefault="00F025AD" w:rsidP="00F025AD">
      <w:pPr>
        <w:autoSpaceDE w:val="0"/>
        <w:autoSpaceDN w:val="0"/>
        <w:adjustRightInd w:val="0"/>
        <w:jc w:val="both"/>
        <w:rPr>
          <w:rFonts w:ascii="Palatino Linotype" w:eastAsia="Calibri" w:hAnsi="Palatino Linotype" w:cs="Mangal"/>
          <w:lang w:val="en-IN" w:bidi="hi-IN"/>
        </w:rPr>
      </w:pPr>
    </w:p>
    <w:p w14:paraId="014DC0BC" w14:textId="77777777" w:rsidR="00F025AD" w:rsidRPr="00155195" w:rsidRDefault="00F025AD" w:rsidP="00F025AD">
      <w:pPr>
        <w:autoSpaceDE w:val="0"/>
        <w:autoSpaceDN w:val="0"/>
        <w:adjustRightInd w:val="0"/>
        <w:jc w:val="both"/>
        <w:rPr>
          <w:rFonts w:ascii="Palatino Linotype" w:eastAsia="Calibri" w:hAnsi="Palatino Linotype" w:cs="Mangal"/>
          <w:lang w:val="en-IN" w:bidi="hi-IN"/>
        </w:rPr>
      </w:pPr>
    </w:p>
    <w:p w14:paraId="1EE7A266" w14:textId="77777777" w:rsidR="00F025AD" w:rsidRDefault="00F025AD" w:rsidP="00F025AD">
      <w:pPr>
        <w:spacing w:after="160" w:line="259" w:lineRule="auto"/>
        <w:contextualSpacing/>
        <w:rPr>
          <w:rFonts w:ascii="Palatino Linotype" w:hAnsi="Palatino Linotype" w:cs="Courier New"/>
          <w:b/>
          <w:bCs/>
          <w:lang w:val="en-IN" w:eastAsia="en-IN" w:bidi="hi-IN"/>
        </w:rPr>
      </w:pPr>
      <w:r>
        <w:rPr>
          <w:rFonts w:ascii="Palatino Linotype" w:hAnsi="Palatino Linotype" w:cs="Courier New"/>
          <w:b/>
          <w:bCs/>
          <w:lang w:val="en-IN" w:eastAsia="en-IN" w:bidi="hi-IN"/>
        </w:rPr>
        <w:t xml:space="preserve">13. </w:t>
      </w:r>
      <w:r w:rsidRPr="00155195">
        <w:rPr>
          <w:rFonts w:ascii="Palatino Linotype" w:hAnsi="Palatino Linotype" w:cs="Courier New"/>
          <w:b/>
          <w:bCs/>
          <w:lang w:val="en-IN" w:eastAsia="en-IN" w:bidi="hi-IN"/>
        </w:rPr>
        <w:t>Alignment of interest of Key Employees of Asset Management Companies with the Unitholders of the Mutual Fund Schemes</w:t>
      </w:r>
    </w:p>
    <w:p w14:paraId="374DDC14" w14:textId="77777777" w:rsidR="00F025AD" w:rsidRPr="00155195" w:rsidRDefault="00F025AD" w:rsidP="00F025AD">
      <w:pPr>
        <w:spacing w:after="160" w:line="259" w:lineRule="auto"/>
        <w:ind w:left="720"/>
        <w:contextualSpacing/>
        <w:rPr>
          <w:rFonts w:ascii="Palatino Linotype" w:hAnsi="Palatino Linotype" w:cs="Courier New"/>
          <w:b/>
          <w:bCs/>
          <w:lang w:val="en-IN" w:eastAsia="en-IN" w:bidi="hi-IN"/>
        </w:rPr>
      </w:pPr>
    </w:p>
    <w:p w14:paraId="4100B302" w14:textId="77777777" w:rsidR="00F025AD" w:rsidRPr="00730F19" w:rsidRDefault="00F025AD" w:rsidP="00F025AD">
      <w:pPr>
        <w:spacing w:after="160" w:line="259" w:lineRule="auto"/>
        <w:jc w:val="both"/>
        <w:rPr>
          <w:rFonts w:ascii="Palatino Linotype" w:hAnsi="Palatino Linotype" w:cs="Courier New"/>
          <w:lang w:val="en-IN" w:eastAsia="en-IN" w:bidi="hi-IN"/>
        </w:rPr>
      </w:pPr>
      <w:r w:rsidRPr="00155195">
        <w:rPr>
          <w:rFonts w:ascii="Palatino Linotype" w:hAnsi="Palatino Linotype" w:cs="Courier New"/>
          <w:lang w:val="en-IN" w:eastAsia="en-IN" w:bidi="hi-IN"/>
        </w:rPr>
        <w:t xml:space="preserve">Date of implementation of circular no. SEBI/HO/IMD/IMD-I/DOF5/P/CIR/2021/553 dated April 28,2021, wherein provisions with regard to </w:t>
      </w:r>
      <w:r w:rsidRPr="00155195">
        <w:rPr>
          <w:rFonts w:ascii="Palatino Linotype" w:hAnsi="Palatino Linotype" w:cs="Arial"/>
          <w:lang w:val="en-IN" w:eastAsia="en-IN" w:bidi="hi-IN"/>
        </w:rPr>
        <w:t>‘</w:t>
      </w:r>
      <w:r w:rsidRPr="00155195">
        <w:rPr>
          <w:rFonts w:ascii="Palatino Linotype" w:hAnsi="Palatino Linotype" w:cs="Courier New"/>
          <w:lang w:val="en-IN" w:eastAsia="en-IN" w:bidi="hi-IN"/>
        </w:rPr>
        <w:t>Alignment of interest of Key Employees of Asset Management Companies with the Unitholders of the Mutual Fund Schemes</w:t>
      </w:r>
      <w:r w:rsidRPr="00155195">
        <w:rPr>
          <w:rFonts w:ascii="Palatino Linotype" w:hAnsi="Palatino Linotype" w:cs="Arial"/>
          <w:lang w:val="en-IN" w:eastAsia="en-IN" w:bidi="hi-IN"/>
        </w:rPr>
        <w:t>’</w:t>
      </w:r>
      <w:r w:rsidRPr="00155195">
        <w:rPr>
          <w:rFonts w:ascii="Palatino Linotype" w:hAnsi="Palatino Linotype" w:cs="Courier New"/>
          <w:lang w:val="en-IN" w:eastAsia="en-IN" w:bidi="hi-IN"/>
        </w:rPr>
        <w:t xml:space="preserve"> were specified was extended to October 01, 2021. The aforesaid circular was to be applicable </w:t>
      </w:r>
      <w:r>
        <w:rPr>
          <w:rFonts w:ascii="Palatino Linotype" w:hAnsi="Palatino Linotype" w:cs="Courier New"/>
          <w:lang w:val="en-IN" w:eastAsia="en-IN" w:bidi="hi-IN"/>
        </w:rPr>
        <w:t>with effect from July 01, 2021.</w:t>
      </w:r>
    </w:p>
    <w:p w14:paraId="52E03DAD" w14:textId="77777777" w:rsidR="00F025AD" w:rsidRPr="00155195" w:rsidRDefault="00F025AD" w:rsidP="00F025AD">
      <w:pPr>
        <w:autoSpaceDE w:val="0"/>
        <w:autoSpaceDN w:val="0"/>
        <w:adjustRightInd w:val="0"/>
        <w:jc w:val="both"/>
        <w:rPr>
          <w:rFonts w:ascii="Palatino Linotype" w:eastAsia="Calibri" w:hAnsi="Palatino Linotype" w:cs="Mangal"/>
          <w:lang w:val="en-IN" w:bidi="hi-IN"/>
        </w:rPr>
      </w:pPr>
      <w:r w:rsidRPr="00155195">
        <w:rPr>
          <w:rFonts w:ascii="Palatino Linotype" w:eastAsia="Calibri" w:hAnsi="Palatino Linotype" w:cs="CIDFont+F5"/>
          <w:lang w:val="en-IN" w:bidi="hi-IN"/>
        </w:rPr>
        <w:t>Source:</w:t>
      </w:r>
      <w:r w:rsidRPr="00155195">
        <w:rPr>
          <w:rFonts w:ascii="Palatino Linotype" w:eastAsia="Calibri" w:hAnsi="Palatino Linotype" w:cs="Mangal"/>
          <w:lang w:val="en-IN" w:bidi="hi-IN"/>
        </w:rPr>
        <w:t xml:space="preserve"> SEBI/HO/IMD/IMD-I/DOF5/P/CIR/2021/582 dated June 25, 2021</w:t>
      </w:r>
    </w:p>
    <w:p w14:paraId="7FAAE98A" w14:textId="77777777" w:rsidR="00F025AD" w:rsidRPr="00155195" w:rsidRDefault="00F025AD" w:rsidP="00F025AD">
      <w:pPr>
        <w:autoSpaceDE w:val="0"/>
        <w:autoSpaceDN w:val="0"/>
        <w:adjustRightInd w:val="0"/>
        <w:jc w:val="both"/>
        <w:rPr>
          <w:rFonts w:ascii="Palatino Linotype" w:eastAsia="Calibri" w:hAnsi="Palatino Linotype" w:cs="Mangal"/>
          <w:lang w:val="en-IN" w:bidi="hi-IN"/>
        </w:rPr>
      </w:pPr>
    </w:p>
    <w:p w14:paraId="5ACE4F36" w14:textId="77777777" w:rsidR="00F025AD" w:rsidRDefault="00F025AD" w:rsidP="00F025AD">
      <w:pPr>
        <w:autoSpaceDE w:val="0"/>
        <w:autoSpaceDN w:val="0"/>
        <w:adjustRightInd w:val="0"/>
        <w:rPr>
          <w:rFonts w:ascii="Palatino Linotype" w:eastAsia="Calibri" w:hAnsi="Palatino Linotype" w:cs="Calibri"/>
          <w:color w:val="000000"/>
          <w:lang w:val="en-IN" w:bidi="hi-IN"/>
        </w:rPr>
      </w:pPr>
    </w:p>
    <w:p w14:paraId="122DFDE6" w14:textId="77777777" w:rsidR="007C2E4F" w:rsidRDefault="007C2E4F" w:rsidP="00F025AD">
      <w:pPr>
        <w:autoSpaceDE w:val="0"/>
        <w:autoSpaceDN w:val="0"/>
        <w:adjustRightInd w:val="0"/>
        <w:rPr>
          <w:rFonts w:ascii="Palatino Linotype" w:eastAsia="Calibri" w:hAnsi="Palatino Linotype" w:cs="Calibri"/>
          <w:color w:val="000000"/>
          <w:lang w:val="en-IN" w:bidi="hi-IN"/>
        </w:rPr>
      </w:pPr>
    </w:p>
    <w:p w14:paraId="097214A2" w14:textId="77777777" w:rsidR="007C2E4F" w:rsidRDefault="007C2E4F" w:rsidP="00F025AD">
      <w:pPr>
        <w:autoSpaceDE w:val="0"/>
        <w:autoSpaceDN w:val="0"/>
        <w:adjustRightInd w:val="0"/>
        <w:rPr>
          <w:rFonts w:ascii="Palatino Linotype" w:eastAsia="Calibri" w:hAnsi="Palatino Linotype" w:cs="Calibri"/>
          <w:color w:val="000000"/>
          <w:lang w:val="en-IN" w:bidi="hi-IN"/>
        </w:rPr>
      </w:pPr>
    </w:p>
    <w:p w14:paraId="788E478A" w14:textId="77777777" w:rsidR="007C2E4F" w:rsidRDefault="007C2E4F" w:rsidP="00F025AD">
      <w:pPr>
        <w:autoSpaceDE w:val="0"/>
        <w:autoSpaceDN w:val="0"/>
        <w:adjustRightInd w:val="0"/>
        <w:rPr>
          <w:rFonts w:ascii="Palatino Linotype" w:eastAsia="Calibri" w:hAnsi="Palatino Linotype" w:cs="Calibri"/>
          <w:color w:val="000000"/>
          <w:lang w:val="en-IN" w:bidi="hi-IN"/>
        </w:rPr>
      </w:pPr>
    </w:p>
    <w:p w14:paraId="055B7E49" w14:textId="77777777" w:rsidR="007C2E4F" w:rsidRPr="00155195" w:rsidRDefault="007C2E4F" w:rsidP="00F025AD">
      <w:pPr>
        <w:autoSpaceDE w:val="0"/>
        <w:autoSpaceDN w:val="0"/>
        <w:adjustRightInd w:val="0"/>
        <w:rPr>
          <w:rFonts w:ascii="Palatino Linotype" w:eastAsia="Calibri" w:hAnsi="Palatino Linotype" w:cs="Calibri"/>
          <w:color w:val="000000"/>
          <w:lang w:val="en-IN" w:bidi="hi-IN"/>
        </w:rPr>
      </w:pPr>
    </w:p>
    <w:p w14:paraId="37C1C307" w14:textId="77777777" w:rsidR="00F025AD" w:rsidRPr="00155195" w:rsidRDefault="00F025AD" w:rsidP="00F025AD">
      <w:pPr>
        <w:autoSpaceDE w:val="0"/>
        <w:autoSpaceDN w:val="0"/>
        <w:adjustRightInd w:val="0"/>
        <w:spacing w:after="160" w:line="259" w:lineRule="auto"/>
        <w:jc w:val="both"/>
        <w:rPr>
          <w:rFonts w:ascii="Palatino Linotype" w:eastAsia="Calibri" w:hAnsi="Palatino Linotype" w:cs="Calibri"/>
          <w:color w:val="000000"/>
          <w:lang w:val="en-IN" w:bidi="hi-IN"/>
        </w:rPr>
      </w:pPr>
      <w:r>
        <w:rPr>
          <w:rFonts w:ascii="Palatino Linotype" w:eastAsia="Calibri" w:hAnsi="Palatino Linotype" w:cs="Calibri"/>
          <w:b/>
          <w:bCs/>
          <w:color w:val="000000"/>
          <w:lang w:val="en-IN" w:bidi="hi-IN"/>
        </w:rPr>
        <w:lastRenderedPageBreak/>
        <w:t xml:space="preserve">14. </w:t>
      </w:r>
      <w:r w:rsidRPr="00155195">
        <w:rPr>
          <w:rFonts w:ascii="Palatino Linotype" w:eastAsia="Calibri" w:hAnsi="Palatino Linotype" w:cs="Calibri"/>
          <w:b/>
          <w:bCs/>
          <w:color w:val="000000"/>
          <w:lang w:val="en-IN" w:bidi="hi-IN"/>
        </w:rPr>
        <w:t>Amendment to SEBI (Alternative Investment Funds) Regulations, 2012</w:t>
      </w:r>
    </w:p>
    <w:p w14:paraId="1F63B96A" w14:textId="77777777" w:rsidR="00F025AD" w:rsidRPr="00155195" w:rsidRDefault="00F025AD" w:rsidP="00F025AD">
      <w:pPr>
        <w:autoSpaceDE w:val="0"/>
        <w:autoSpaceDN w:val="0"/>
        <w:adjustRightInd w:val="0"/>
        <w:rPr>
          <w:rFonts w:ascii="Palatino Linotype" w:eastAsia="Calibri" w:hAnsi="Palatino Linotype" w:cs="Calibri"/>
          <w:color w:val="000000"/>
          <w:lang w:val="en-IN" w:bidi="hi-IN"/>
        </w:rPr>
      </w:pPr>
    </w:p>
    <w:p w14:paraId="4FCCD121" w14:textId="77777777" w:rsidR="00F025AD" w:rsidRPr="00155195" w:rsidRDefault="00F025AD" w:rsidP="00F025AD">
      <w:pPr>
        <w:autoSpaceDE w:val="0"/>
        <w:autoSpaceDN w:val="0"/>
        <w:adjustRightInd w:val="0"/>
        <w:jc w:val="both"/>
        <w:rPr>
          <w:rFonts w:ascii="Palatino Linotype" w:eastAsia="Calibri" w:hAnsi="Palatino Linotype" w:cs="Calibri"/>
          <w:color w:val="000000"/>
          <w:lang w:val="en-IN" w:bidi="hi-IN"/>
        </w:rPr>
      </w:pPr>
      <w:r w:rsidRPr="00155195">
        <w:rPr>
          <w:rFonts w:ascii="Palatino Linotype" w:eastAsia="Calibri" w:hAnsi="Palatino Linotype" w:cs="Calibri"/>
          <w:color w:val="000000"/>
          <w:lang w:val="en-IN" w:bidi="hi-IN"/>
        </w:rPr>
        <w:t>SEBI (Alternative Investment Funds) Regulations, 2012 (“AIF Regulations”), have been amended and notified on May 05, 2021. Accordingly changes in the respective SEBI circulars w.r.t. framework for AIFs to invest simultaneously in units of other AIFs and directly in securities of investee companies, applicability of Code of Conduct on key management personnel, clarifications with respect to Investment Committee were specified.</w:t>
      </w:r>
    </w:p>
    <w:p w14:paraId="7F7FAC9C" w14:textId="77777777" w:rsidR="00F025AD" w:rsidRPr="00155195" w:rsidRDefault="00F025AD" w:rsidP="00F025AD">
      <w:pPr>
        <w:autoSpaceDE w:val="0"/>
        <w:autoSpaceDN w:val="0"/>
        <w:adjustRightInd w:val="0"/>
        <w:rPr>
          <w:rFonts w:ascii="Palatino Linotype" w:eastAsia="Calibri" w:hAnsi="Palatino Linotype" w:cs="Calibri"/>
          <w:color w:val="000000"/>
          <w:lang w:val="en-IN" w:bidi="hi-IN"/>
        </w:rPr>
      </w:pPr>
      <w:r>
        <w:rPr>
          <w:rFonts w:ascii="Palatino Linotype" w:eastAsia="Calibri" w:hAnsi="Palatino Linotype" w:cs="Calibri"/>
          <w:color w:val="000000"/>
          <w:lang w:val="en-IN" w:bidi="hi-IN"/>
        </w:rPr>
        <w:t xml:space="preserve"> </w:t>
      </w:r>
    </w:p>
    <w:p w14:paraId="600DE3C4" w14:textId="77777777" w:rsidR="00F025AD" w:rsidRPr="00155195" w:rsidRDefault="00F025AD" w:rsidP="00F025AD">
      <w:pPr>
        <w:autoSpaceDE w:val="0"/>
        <w:autoSpaceDN w:val="0"/>
        <w:adjustRightInd w:val="0"/>
        <w:rPr>
          <w:rFonts w:ascii="Palatino Linotype" w:eastAsia="Calibri" w:hAnsi="Palatino Linotype" w:cs="Calibri"/>
          <w:color w:val="000000"/>
          <w:lang w:val="en-IN" w:bidi="hi-IN"/>
        </w:rPr>
      </w:pPr>
      <w:r>
        <w:rPr>
          <w:rFonts w:ascii="Palatino Linotype" w:eastAsia="Calibri" w:hAnsi="Palatino Linotype" w:cs="Calibri"/>
          <w:color w:val="000000"/>
          <w:lang w:val="en-IN" w:bidi="hi-IN"/>
        </w:rPr>
        <w:t xml:space="preserve">Source: </w:t>
      </w:r>
      <w:r w:rsidRPr="00155195">
        <w:rPr>
          <w:rFonts w:ascii="Palatino Linotype" w:eastAsia="Calibri" w:hAnsi="Palatino Linotype" w:cs="Calibri"/>
          <w:color w:val="000000"/>
          <w:lang w:val="en-IN" w:bidi="hi-IN"/>
        </w:rPr>
        <w:t>SEBI/HO/IMD-I/DF6/P/CIR/2021/584 dated June 25, 2021</w:t>
      </w:r>
    </w:p>
    <w:p w14:paraId="0FE7C33A" w14:textId="77777777" w:rsidR="00F025AD" w:rsidRDefault="00F025AD" w:rsidP="0060602C">
      <w:pPr>
        <w:contextualSpacing/>
        <w:jc w:val="both"/>
        <w:rPr>
          <w:rFonts w:ascii="Palatino Linotype" w:eastAsia="Calibri" w:hAnsi="Palatino Linotype"/>
          <w:b/>
          <w:bCs/>
        </w:rPr>
      </w:pPr>
    </w:p>
    <w:p w14:paraId="4939468F" w14:textId="77777777" w:rsidR="00F025AD" w:rsidRPr="00155195" w:rsidRDefault="00F025AD" w:rsidP="00F025AD">
      <w:pPr>
        <w:autoSpaceDE w:val="0"/>
        <w:autoSpaceDN w:val="0"/>
        <w:adjustRightInd w:val="0"/>
        <w:spacing w:after="160" w:line="259" w:lineRule="auto"/>
        <w:contextualSpacing/>
        <w:jc w:val="both"/>
        <w:rPr>
          <w:rFonts w:ascii="Palatino Linotype" w:eastAsia="Calibri" w:hAnsi="Palatino Linotype" w:cs="CIDFont+F3"/>
          <w:b/>
          <w:bCs/>
          <w:lang w:val="en-IN" w:bidi="hi-IN"/>
        </w:rPr>
      </w:pPr>
      <w:r>
        <w:rPr>
          <w:rFonts w:ascii="Palatino Linotype" w:eastAsia="Calibri" w:hAnsi="Palatino Linotype" w:cs="CIDFont+F3"/>
          <w:b/>
          <w:bCs/>
          <w:lang w:val="en-IN" w:bidi="hi-IN"/>
        </w:rPr>
        <w:t xml:space="preserve">15. </w:t>
      </w:r>
      <w:r w:rsidRPr="00352E58">
        <w:rPr>
          <w:rFonts w:ascii="Palatino Linotype" w:eastAsia="Calibri" w:hAnsi="Palatino Linotype" w:cs="CIDFont+F3"/>
          <w:b/>
          <w:bCs/>
          <w:lang w:val="en-IN" w:bidi="hi-IN"/>
        </w:rPr>
        <w:t>Relaxation in timelines for compliance with regulatory requirements</w:t>
      </w:r>
    </w:p>
    <w:p w14:paraId="3554C885" w14:textId="77777777" w:rsidR="00F025AD" w:rsidRPr="00155195" w:rsidRDefault="00F025AD" w:rsidP="00F025AD">
      <w:pPr>
        <w:autoSpaceDE w:val="0"/>
        <w:autoSpaceDN w:val="0"/>
        <w:adjustRightInd w:val="0"/>
        <w:ind w:left="720"/>
        <w:contextualSpacing/>
        <w:rPr>
          <w:rFonts w:ascii="Palatino Linotype" w:eastAsia="Calibri" w:hAnsi="Palatino Linotype" w:cs="CIDFont+F3"/>
          <w:lang w:val="en-IN" w:bidi="hi-IN"/>
        </w:rPr>
      </w:pPr>
      <w:r>
        <w:rPr>
          <w:rFonts w:ascii="Palatino Linotype" w:eastAsia="Calibri" w:hAnsi="Palatino Linotype" w:cs="CIDFont+F3"/>
          <w:lang w:val="en-IN" w:bidi="hi-IN"/>
        </w:rPr>
        <w:t xml:space="preserve"> </w:t>
      </w:r>
    </w:p>
    <w:p w14:paraId="109D77BA" w14:textId="4A5E6AF7" w:rsidR="00F025AD" w:rsidRPr="00352E58" w:rsidRDefault="00F33C2B" w:rsidP="00F025AD">
      <w:pPr>
        <w:spacing w:after="160" w:line="259" w:lineRule="auto"/>
        <w:rPr>
          <w:rFonts w:ascii="Palatino Linotype" w:eastAsia="Calibri" w:hAnsi="Palatino Linotype" w:cs="Mangal"/>
          <w:lang w:bidi="hi-IN"/>
        </w:rPr>
      </w:pPr>
      <w:r>
        <w:rPr>
          <w:rFonts w:ascii="Palatino Linotype" w:eastAsia="Calibri" w:hAnsi="Palatino Linotype" w:cs="Mangal"/>
          <w:lang w:bidi="hi-IN"/>
        </w:rPr>
        <w:t>In view of the pandemic situation</w:t>
      </w:r>
      <w:r w:rsidR="00F025AD" w:rsidRPr="00352E58">
        <w:rPr>
          <w:rFonts w:ascii="Palatino Linotype" w:eastAsia="Calibri" w:hAnsi="Palatino Linotype" w:cs="Mangal"/>
          <w:lang w:bidi="hi-IN"/>
        </w:rPr>
        <w:t xml:space="preserve"> </w:t>
      </w:r>
      <w:r w:rsidR="005B2091">
        <w:rPr>
          <w:rFonts w:ascii="Palatino Linotype" w:eastAsia="Calibri" w:hAnsi="Palatino Linotype" w:cs="Mangal"/>
          <w:lang w:bidi="hi-IN"/>
        </w:rPr>
        <w:t xml:space="preserve">, </w:t>
      </w:r>
      <w:r w:rsidR="00F025AD" w:rsidRPr="00352E58">
        <w:rPr>
          <w:rFonts w:ascii="Palatino Linotype" w:eastAsia="Calibri" w:hAnsi="Palatino Linotype" w:cs="Mangal"/>
          <w:lang w:bidi="hi-IN"/>
        </w:rPr>
        <w:t xml:space="preserve">SEBI </w:t>
      </w:r>
      <w:r w:rsidR="005B2091" w:rsidRPr="00352E58">
        <w:rPr>
          <w:rFonts w:ascii="Palatino Linotype" w:eastAsia="Calibri" w:hAnsi="Palatino Linotype" w:cs="Mangal"/>
          <w:lang w:bidi="hi-IN"/>
        </w:rPr>
        <w:t>ha</w:t>
      </w:r>
      <w:r w:rsidR="005B2091">
        <w:rPr>
          <w:rFonts w:ascii="Palatino Linotype" w:eastAsia="Calibri" w:hAnsi="Palatino Linotype" w:cs="Mangal"/>
          <w:lang w:bidi="hi-IN"/>
        </w:rPr>
        <w:t>s</w:t>
      </w:r>
      <w:r w:rsidR="005B2091" w:rsidRPr="00352E58">
        <w:rPr>
          <w:rFonts w:ascii="Palatino Linotype" w:eastAsia="Calibri" w:hAnsi="Palatino Linotype" w:cs="Mangal"/>
          <w:lang w:bidi="hi-IN"/>
        </w:rPr>
        <w:t xml:space="preserve"> </w:t>
      </w:r>
      <w:r w:rsidR="005B2091">
        <w:rPr>
          <w:rFonts w:ascii="Palatino Linotype" w:eastAsia="Calibri" w:hAnsi="Palatino Linotype" w:cs="Mangal"/>
          <w:lang w:bidi="hi-IN"/>
        </w:rPr>
        <w:t>extended</w:t>
      </w:r>
      <w:r w:rsidR="005B2091" w:rsidRPr="00352E58">
        <w:rPr>
          <w:rFonts w:ascii="Palatino Linotype" w:eastAsia="Calibri" w:hAnsi="Palatino Linotype" w:cs="Mangal"/>
          <w:lang w:bidi="hi-IN"/>
        </w:rPr>
        <w:t xml:space="preserve"> </w:t>
      </w:r>
      <w:r w:rsidR="00F025AD" w:rsidRPr="00352E58">
        <w:rPr>
          <w:rFonts w:ascii="Palatino Linotype" w:eastAsia="Calibri" w:hAnsi="Palatino Linotype" w:cs="Mangal"/>
          <w:lang w:bidi="hi-IN"/>
        </w:rPr>
        <w:t>timelines for compliance with following regulatory requirements by the trading Members / Clearing Members / KYC Registration Agencies, as under: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3780"/>
        <w:gridCol w:w="2356"/>
        <w:gridCol w:w="2409"/>
      </w:tblGrid>
      <w:tr w:rsidR="00F025AD" w:rsidRPr="00FB2FFF" w14:paraId="51028F96" w14:textId="77777777" w:rsidTr="00F025AD">
        <w:tc>
          <w:tcPr>
            <w:tcW w:w="805" w:type="dxa"/>
            <w:shd w:val="clear" w:color="auto" w:fill="auto"/>
          </w:tcPr>
          <w:p w14:paraId="0406D325" w14:textId="77777777" w:rsidR="00F025AD" w:rsidRPr="00FB2FFF" w:rsidRDefault="00F025AD" w:rsidP="00F025AD">
            <w:pPr>
              <w:rPr>
                <w:rFonts w:ascii="Palatino Linotype" w:eastAsia="Calibri" w:hAnsi="Palatino Linotype" w:cs="Mangal"/>
                <w:sz w:val="22"/>
                <w:lang w:bidi="hi-IN"/>
              </w:rPr>
            </w:pPr>
            <w:r w:rsidRPr="00FB2FFF">
              <w:rPr>
                <w:rFonts w:ascii="Palatino Linotype" w:eastAsia="Calibri" w:hAnsi="Palatino Linotype" w:cs="Mangal"/>
                <w:sz w:val="22"/>
                <w:lang w:bidi="hi-IN"/>
              </w:rPr>
              <w:t>Sr. No</w:t>
            </w:r>
          </w:p>
        </w:tc>
        <w:tc>
          <w:tcPr>
            <w:tcW w:w="3780" w:type="dxa"/>
            <w:shd w:val="clear" w:color="auto" w:fill="auto"/>
          </w:tcPr>
          <w:p w14:paraId="14DEEB3D" w14:textId="77777777" w:rsidR="00F025AD" w:rsidRPr="00FB2FFF" w:rsidRDefault="00F025AD" w:rsidP="00F025AD">
            <w:pPr>
              <w:rPr>
                <w:rFonts w:ascii="Palatino Linotype" w:eastAsia="Calibri" w:hAnsi="Palatino Linotype" w:cs="Mangal"/>
                <w:sz w:val="22"/>
                <w:lang w:bidi="hi-IN"/>
              </w:rPr>
            </w:pPr>
            <w:r w:rsidRPr="00FB2FFF">
              <w:rPr>
                <w:rFonts w:ascii="Palatino Linotype" w:eastAsia="Calibri" w:hAnsi="Palatino Linotype" w:cs="Mangal"/>
                <w:sz w:val="22"/>
                <w:lang w:bidi="hi-IN"/>
              </w:rPr>
              <w:t>Submission/Compliance</w:t>
            </w:r>
          </w:p>
        </w:tc>
        <w:tc>
          <w:tcPr>
            <w:tcW w:w="2356" w:type="dxa"/>
            <w:shd w:val="clear" w:color="auto" w:fill="auto"/>
          </w:tcPr>
          <w:p w14:paraId="46F350DC" w14:textId="77777777" w:rsidR="00F025AD" w:rsidRPr="00FB2FFF" w:rsidRDefault="00F025AD" w:rsidP="00F025AD">
            <w:pPr>
              <w:rPr>
                <w:rFonts w:ascii="Palatino Linotype" w:eastAsia="Calibri" w:hAnsi="Palatino Linotype" w:cs="Mangal"/>
                <w:sz w:val="22"/>
                <w:lang w:bidi="hi-IN"/>
              </w:rPr>
            </w:pPr>
            <w:r w:rsidRPr="00FB2FFF">
              <w:rPr>
                <w:rFonts w:ascii="Palatino Linotype" w:eastAsia="Calibri" w:hAnsi="Palatino Linotype" w:cs="Mangal"/>
                <w:sz w:val="22"/>
                <w:lang w:bidi="hi-IN"/>
              </w:rPr>
              <w:t>Current timeline/Period of exclusion</w:t>
            </w:r>
          </w:p>
        </w:tc>
        <w:tc>
          <w:tcPr>
            <w:tcW w:w="2409" w:type="dxa"/>
            <w:shd w:val="clear" w:color="auto" w:fill="auto"/>
          </w:tcPr>
          <w:p w14:paraId="7F71EF9E" w14:textId="77777777" w:rsidR="00F025AD" w:rsidRPr="00FB2FFF" w:rsidRDefault="00F025AD" w:rsidP="00F025AD">
            <w:pPr>
              <w:rPr>
                <w:rFonts w:ascii="Palatino Linotype" w:eastAsia="Calibri" w:hAnsi="Palatino Linotype" w:cs="Mangal"/>
                <w:sz w:val="22"/>
                <w:lang w:bidi="hi-IN"/>
              </w:rPr>
            </w:pPr>
            <w:r w:rsidRPr="00FB2FFF">
              <w:rPr>
                <w:rFonts w:ascii="Palatino Linotype" w:eastAsia="Calibri" w:hAnsi="Palatino Linotype" w:cs="Mangal"/>
                <w:sz w:val="22"/>
                <w:lang w:bidi="hi-IN"/>
              </w:rPr>
              <w:t>Proposed timeline/Period of exclusion</w:t>
            </w:r>
          </w:p>
        </w:tc>
      </w:tr>
      <w:tr w:rsidR="00F025AD" w:rsidRPr="00FB2FFF" w14:paraId="37BA1812" w14:textId="77777777" w:rsidTr="00F025AD">
        <w:tc>
          <w:tcPr>
            <w:tcW w:w="805" w:type="dxa"/>
            <w:shd w:val="clear" w:color="auto" w:fill="auto"/>
          </w:tcPr>
          <w:p w14:paraId="6A4B4BD3" w14:textId="77777777" w:rsidR="00F025AD" w:rsidRPr="00FB2FFF" w:rsidRDefault="00F025AD" w:rsidP="00F025AD">
            <w:pPr>
              <w:rPr>
                <w:rFonts w:ascii="Palatino Linotype" w:eastAsia="Calibri" w:hAnsi="Palatino Linotype" w:cs="Mangal"/>
                <w:sz w:val="22"/>
                <w:lang w:bidi="hi-IN"/>
              </w:rPr>
            </w:pPr>
            <w:r w:rsidRPr="00FB2FFF">
              <w:rPr>
                <w:rFonts w:ascii="Palatino Linotype" w:eastAsia="Calibri" w:hAnsi="Palatino Linotype" w:cs="Mangal"/>
                <w:sz w:val="22"/>
                <w:lang w:bidi="hi-IN"/>
              </w:rPr>
              <w:t>1.</w:t>
            </w:r>
          </w:p>
        </w:tc>
        <w:tc>
          <w:tcPr>
            <w:tcW w:w="3780" w:type="dxa"/>
            <w:shd w:val="clear" w:color="auto" w:fill="auto"/>
          </w:tcPr>
          <w:p w14:paraId="65A8D1CA" w14:textId="77777777" w:rsidR="00F025AD" w:rsidRPr="00FB2FFF" w:rsidRDefault="00F025AD" w:rsidP="00F025AD">
            <w:pPr>
              <w:rPr>
                <w:rFonts w:ascii="Palatino Linotype" w:eastAsia="Calibri" w:hAnsi="Palatino Linotype" w:cs="Mangal"/>
                <w:sz w:val="22"/>
                <w:lang w:bidi="hi-IN"/>
              </w:rPr>
            </w:pPr>
            <w:r w:rsidRPr="00FB2FFF">
              <w:rPr>
                <w:rFonts w:ascii="Palatino Linotype" w:eastAsia="Calibri" w:hAnsi="Palatino Linotype" w:cs="Mangal"/>
                <w:sz w:val="22"/>
                <w:lang w:bidi="hi-IN"/>
              </w:rPr>
              <w:t>Maintaining call recordings of orders/  instructions  received from clients</w:t>
            </w:r>
          </w:p>
        </w:tc>
        <w:tc>
          <w:tcPr>
            <w:tcW w:w="2356" w:type="dxa"/>
            <w:vMerge w:val="restart"/>
            <w:shd w:val="clear" w:color="auto" w:fill="auto"/>
          </w:tcPr>
          <w:p w14:paraId="1885210E" w14:textId="77777777" w:rsidR="00F025AD" w:rsidRPr="00FB2FFF" w:rsidRDefault="00F025AD" w:rsidP="00F025AD">
            <w:pPr>
              <w:rPr>
                <w:rFonts w:ascii="Palatino Linotype" w:eastAsia="Calibri" w:hAnsi="Palatino Linotype" w:cs="Mangal"/>
                <w:sz w:val="22"/>
                <w:lang w:bidi="hi-IN"/>
              </w:rPr>
            </w:pPr>
          </w:p>
          <w:p w14:paraId="4651D46D" w14:textId="77777777" w:rsidR="00F025AD" w:rsidRPr="00FB2FFF" w:rsidRDefault="00F025AD" w:rsidP="00F025AD">
            <w:pPr>
              <w:rPr>
                <w:rFonts w:ascii="Palatino Linotype" w:eastAsia="Calibri" w:hAnsi="Palatino Linotype" w:cs="Mangal"/>
                <w:sz w:val="22"/>
                <w:lang w:bidi="hi-IN"/>
              </w:rPr>
            </w:pPr>
          </w:p>
          <w:p w14:paraId="4C4F383B" w14:textId="77777777" w:rsidR="00F025AD" w:rsidRPr="00FB2FFF" w:rsidRDefault="00F025AD" w:rsidP="00F025AD">
            <w:pPr>
              <w:rPr>
                <w:rFonts w:ascii="Palatino Linotype" w:eastAsia="Calibri" w:hAnsi="Palatino Linotype" w:cs="Mangal"/>
                <w:sz w:val="22"/>
                <w:lang w:bidi="hi-IN"/>
              </w:rPr>
            </w:pPr>
          </w:p>
          <w:p w14:paraId="162D1916" w14:textId="77777777" w:rsidR="00F025AD" w:rsidRPr="00FB2FFF" w:rsidRDefault="00F025AD" w:rsidP="00F025AD">
            <w:pPr>
              <w:rPr>
                <w:rFonts w:ascii="Palatino Linotype" w:eastAsia="Calibri" w:hAnsi="Palatino Linotype" w:cs="Mangal"/>
                <w:sz w:val="22"/>
                <w:lang w:bidi="hi-IN"/>
              </w:rPr>
            </w:pPr>
            <w:r w:rsidRPr="00FB2FFF">
              <w:rPr>
                <w:rFonts w:ascii="Palatino Linotype" w:eastAsia="Calibri" w:hAnsi="Palatino Linotype" w:cs="Mangal"/>
                <w:sz w:val="22"/>
                <w:lang w:bidi="hi-IN"/>
              </w:rPr>
              <w:t>Till June 30, 2021</w:t>
            </w:r>
          </w:p>
        </w:tc>
        <w:tc>
          <w:tcPr>
            <w:tcW w:w="2409" w:type="dxa"/>
            <w:vMerge w:val="restart"/>
            <w:shd w:val="clear" w:color="auto" w:fill="auto"/>
          </w:tcPr>
          <w:p w14:paraId="5B2818D0" w14:textId="77777777" w:rsidR="00F025AD" w:rsidRPr="00FB2FFF" w:rsidRDefault="00F025AD" w:rsidP="00F025AD">
            <w:pPr>
              <w:rPr>
                <w:rFonts w:ascii="Palatino Linotype" w:eastAsia="Calibri" w:hAnsi="Palatino Linotype" w:cs="Mangal"/>
                <w:sz w:val="22"/>
                <w:lang w:bidi="hi-IN"/>
              </w:rPr>
            </w:pPr>
          </w:p>
          <w:p w14:paraId="2C4CC9C4" w14:textId="77777777" w:rsidR="00F025AD" w:rsidRPr="00FB2FFF" w:rsidRDefault="00F025AD" w:rsidP="00F025AD">
            <w:pPr>
              <w:rPr>
                <w:rFonts w:ascii="Palatino Linotype" w:eastAsia="Calibri" w:hAnsi="Palatino Linotype" w:cs="Mangal"/>
                <w:sz w:val="22"/>
                <w:lang w:bidi="hi-IN"/>
              </w:rPr>
            </w:pPr>
          </w:p>
          <w:p w14:paraId="18E534C1" w14:textId="77777777" w:rsidR="00F025AD" w:rsidRPr="00FB2FFF" w:rsidRDefault="00F025AD" w:rsidP="00F025AD">
            <w:pPr>
              <w:rPr>
                <w:rFonts w:ascii="Palatino Linotype" w:eastAsia="Calibri" w:hAnsi="Palatino Linotype" w:cs="Mangal"/>
                <w:sz w:val="22"/>
                <w:lang w:bidi="hi-IN"/>
              </w:rPr>
            </w:pPr>
          </w:p>
          <w:p w14:paraId="2C258DB5" w14:textId="12D8858C" w:rsidR="00F025AD" w:rsidRPr="00FB2FFF" w:rsidRDefault="00F025AD" w:rsidP="00F33C2B">
            <w:pPr>
              <w:rPr>
                <w:rFonts w:ascii="Palatino Linotype" w:eastAsia="Calibri" w:hAnsi="Palatino Linotype" w:cs="Mangal"/>
                <w:sz w:val="22"/>
                <w:lang w:bidi="hi-IN"/>
              </w:rPr>
            </w:pPr>
            <w:r w:rsidRPr="00FB2FFF">
              <w:rPr>
                <w:rFonts w:ascii="Palatino Linotype" w:eastAsia="Calibri" w:hAnsi="Palatino Linotype" w:cs="Mangal"/>
                <w:sz w:val="22"/>
                <w:lang w:bidi="hi-IN"/>
              </w:rPr>
              <w:t xml:space="preserve">Till </w:t>
            </w:r>
            <w:r w:rsidR="00F33C2B" w:rsidRPr="00FB2FFF">
              <w:rPr>
                <w:rFonts w:ascii="Palatino Linotype" w:eastAsia="Calibri" w:hAnsi="Palatino Linotype" w:cs="Mangal"/>
                <w:sz w:val="22"/>
                <w:lang w:bidi="hi-IN"/>
              </w:rPr>
              <w:t>Ju</w:t>
            </w:r>
            <w:r w:rsidR="00F33C2B">
              <w:rPr>
                <w:rFonts w:ascii="Palatino Linotype" w:eastAsia="Calibri" w:hAnsi="Palatino Linotype" w:cs="Mangal"/>
                <w:sz w:val="22"/>
                <w:lang w:bidi="hi-IN"/>
              </w:rPr>
              <w:t>ly</w:t>
            </w:r>
            <w:r w:rsidR="00F33C2B" w:rsidRPr="00FB2FFF">
              <w:rPr>
                <w:rFonts w:ascii="Palatino Linotype" w:eastAsia="Calibri" w:hAnsi="Palatino Linotype" w:cs="Mangal"/>
                <w:sz w:val="22"/>
                <w:lang w:bidi="hi-IN"/>
              </w:rPr>
              <w:t xml:space="preserve"> 3</w:t>
            </w:r>
            <w:r w:rsidR="00F33C2B">
              <w:rPr>
                <w:rFonts w:ascii="Palatino Linotype" w:eastAsia="Calibri" w:hAnsi="Palatino Linotype" w:cs="Mangal"/>
                <w:sz w:val="22"/>
                <w:lang w:bidi="hi-IN"/>
              </w:rPr>
              <w:t>1</w:t>
            </w:r>
            <w:r w:rsidRPr="00FB2FFF">
              <w:rPr>
                <w:rFonts w:ascii="Palatino Linotype" w:eastAsia="Calibri" w:hAnsi="Palatino Linotype" w:cs="Mangal"/>
                <w:sz w:val="22"/>
                <w:lang w:bidi="hi-IN"/>
              </w:rPr>
              <w:t>, 2021</w:t>
            </w:r>
          </w:p>
        </w:tc>
      </w:tr>
      <w:tr w:rsidR="00F025AD" w:rsidRPr="00FB2FFF" w14:paraId="7E1250BB" w14:textId="77777777" w:rsidTr="00F025AD">
        <w:tc>
          <w:tcPr>
            <w:tcW w:w="805" w:type="dxa"/>
            <w:shd w:val="clear" w:color="auto" w:fill="auto"/>
          </w:tcPr>
          <w:p w14:paraId="793A30AB" w14:textId="77777777" w:rsidR="00F025AD" w:rsidRPr="00FB2FFF" w:rsidRDefault="00F025AD" w:rsidP="00F025AD">
            <w:pPr>
              <w:rPr>
                <w:rFonts w:ascii="Palatino Linotype" w:eastAsia="Calibri" w:hAnsi="Palatino Linotype" w:cs="Mangal"/>
                <w:sz w:val="22"/>
                <w:lang w:bidi="hi-IN"/>
              </w:rPr>
            </w:pPr>
            <w:r w:rsidRPr="00FB2FFF">
              <w:rPr>
                <w:rFonts w:ascii="Palatino Linotype" w:eastAsia="Calibri" w:hAnsi="Palatino Linotype" w:cs="Mangal"/>
                <w:sz w:val="22"/>
                <w:lang w:bidi="hi-IN"/>
              </w:rPr>
              <w:t>2.</w:t>
            </w:r>
          </w:p>
        </w:tc>
        <w:tc>
          <w:tcPr>
            <w:tcW w:w="3780" w:type="dxa"/>
            <w:shd w:val="clear" w:color="auto" w:fill="auto"/>
          </w:tcPr>
          <w:p w14:paraId="486A10EC" w14:textId="77777777" w:rsidR="00F025AD" w:rsidRPr="00FB2FFF" w:rsidRDefault="00F025AD" w:rsidP="00F025AD">
            <w:pPr>
              <w:rPr>
                <w:rFonts w:ascii="Palatino Linotype" w:eastAsia="Calibri" w:hAnsi="Palatino Linotype" w:cs="Mangal"/>
                <w:sz w:val="22"/>
                <w:lang w:bidi="hi-IN"/>
              </w:rPr>
            </w:pPr>
            <w:r w:rsidRPr="00FB2FFF">
              <w:rPr>
                <w:rFonts w:ascii="Palatino Linotype" w:eastAsia="Calibri" w:hAnsi="Palatino Linotype" w:cs="Mangal"/>
                <w:sz w:val="22"/>
                <w:lang w:bidi="hi-IN"/>
              </w:rPr>
              <w:t>Client Funding Reporting</w:t>
            </w:r>
          </w:p>
        </w:tc>
        <w:tc>
          <w:tcPr>
            <w:tcW w:w="2356" w:type="dxa"/>
            <w:vMerge/>
            <w:shd w:val="clear" w:color="auto" w:fill="auto"/>
          </w:tcPr>
          <w:p w14:paraId="281810DE" w14:textId="77777777" w:rsidR="00F025AD" w:rsidRPr="00FB2FFF" w:rsidRDefault="00F025AD" w:rsidP="00F025AD">
            <w:pPr>
              <w:rPr>
                <w:rFonts w:ascii="Palatino Linotype" w:eastAsia="Calibri" w:hAnsi="Palatino Linotype" w:cs="Mangal"/>
                <w:sz w:val="22"/>
                <w:lang w:bidi="hi-IN"/>
              </w:rPr>
            </w:pPr>
          </w:p>
        </w:tc>
        <w:tc>
          <w:tcPr>
            <w:tcW w:w="2409" w:type="dxa"/>
            <w:vMerge/>
            <w:shd w:val="clear" w:color="auto" w:fill="auto"/>
          </w:tcPr>
          <w:p w14:paraId="3E4BD40A" w14:textId="77777777" w:rsidR="00F025AD" w:rsidRPr="00FB2FFF" w:rsidRDefault="00F025AD" w:rsidP="00F025AD">
            <w:pPr>
              <w:rPr>
                <w:rFonts w:ascii="Palatino Linotype" w:eastAsia="Calibri" w:hAnsi="Palatino Linotype" w:cs="Mangal"/>
                <w:sz w:val="22"/>
                <w:lang w:bidi="hi-IN"/>
              </w:rPr>
            </w:pPr>
          </w:p>
        </w:tc>
      </w:tr>
      <w:tr w:rsidR="00F025AD" w:rsidRPr="00FB2FFF" w14:paraId="3E56EBEE" w14:textId="77777777" w:rsidTr="00F025AD">
        <w:tc>
          <w:tcPr>
            <w:tcW w:w="805" w:type="dxa"/>
            <w:shd w:val="clear" w:color="auto" w:fill="auto"/>
          </w:tcPr>
          <w:p w14:paraId="1FB0129E" w14:textId="77777777" w:rsidR="00F025AD" w:rsidRPr="00FB2FFF" w:rsidRDefault="00F025AD" w:rsidP="00F025AD">
            <w:pPr>
              <w:rPr>
                <w:rFonts w:ascii="Palatino Linotype" w:eastAsia="Calibri" w:hAnsi="Palatino Linotype" w:cs="Mangal"/>
                <w:sz w:val="22"/>
                <w:lang w:bidi="hi-IN"/>
              </w:rPr>
            </w:pPr>
            <w:r w:rsidRPr="00FB2FFF">
              <w:rPr>
                <w:rFonts w:ascii="Palatino Linotype" w:eastAsia="Calibri" w:hAnsi="Palatino Linotype" w:cs="Mangal"/>
                <w:sz w:val="22"/>
                <w:lang w:bidi="hi-IN"/>
              </w:rPr>
              <w:t>3.</w:t>
            </w:r>
          </w:p>
        </w:tc>
        <w:tc>
          <w:tcPr>
            <w:tcW w:w="3780" w:type="dxa"/>
            <w:shd w:val="clear" w:color="auto" w:fill="auto"/>
          </w:tcPr>
          <w:p w14:paraId="40C6F477" w14:textId="77777777" w:rsidR="00F025AD" w:rsidRPr="00FB2FFF" w:rsidRDefault="00F025AD" w:rsidP="00F025AD">
            <w:pPr>
              <w:rPr>
                <w:rFonts w:ascii="Palatino Linotype" w:eastAsia="Calibri" w:hAnsi="Palatino Linotype" w:cs="Mangal"/>
                <w:sz w:val="22"/>
                <w:lang w:bidi="hi-IN"/>
              </w:rPr>
            </w:pPr>
            <w:r w:rsidRPr="00FB2FFF">
              <w:rPr>
                <w:rFonts w:ascii="Palatino Linotype" w:eastAsia="Calibri" w:hAnsi="Palatino Linotype" w:cs="Mangal"/>
                <w:sz w:val="22"/>
                <w:lang w:bidi="hi-IN"/>
              </w:rPr>
              <w:t>To operate the     trading terminals    from    designated alternate locations</w:t>
            </w:r>
          </w:p>
        </w:tc>
        <w:tc>
          <w:tcPr>
            <w:tcW w:w="2356" w:type="dxa"/>
            <w:vMerge/>
            <w:shd w:val="clear" w:color="auto" w:fill="auto"/>
          </w:tcPr>
          <w:p w14:paraId="2B9D547F" w14:textId="77777777" w:rsidR="00F025AD" w:rsidRPr="00FB2FFF" w:rsidRDefault="00F025AD" w:rsidP="00F025AD">
            <w:pPr>
              <w:rPr>
                <w:rFonts w:ascii="Palatino Linotype" w:eastAsia="Calibri" w:hAnsi="Palatino Linotype" w:cs="Mangal"/>
                <w:sz w:val="22"/>
                <w:lang w:bidi="hi-IN"/>
              </w:rPr>
            </w:pPr>
          </w:p>
        </w:tc>
        <w:tc>
          <w:tcPr>
            <w:tcW w:w="2409" w:type="dxa"/>
            <w:vMerge/>
            <w:shd w:val="clear" w:color="auto" w:fill="auto"/>
          </w:tcPr>
          <w:p w14:paraId="4DBF48C1" w14:textId="77777777" w:rsidR="00F025AD" w:rsidRPr="00FB2FFF" w:rsidRDefault="00F025AD" w:rsidP="00F025AD">
            <w:pPr>
              <w:rPr>
                <w:rFonts w:ascii="Palatino Linotype" w:eastAsia="Calibri" w:hAnsi="Palatino Linotype" w:cs="Mangal"/>
                <w:sz w:val="22"/>
                <w:lang w:bidi="hi-IN"/>
              </w:rPr>
            </w:pPr>
          </w:p>
        </w:tc>
      </w:tr>
      <w:tr w:rsidR="00F025AD" w:rsidRPr="00FB2FFF" w14:paraId="77A4616B" w14:textId="77777777" w:rsidTr="00F025AD">
        <w:tc>
          <w:tcPr>
            <w:tcW w:w="805" w:type="dxa"/>
            <w:shd w:val="clear" w:color="auto" w:fill="auto"/>
          </w:tcPr>
          <w:p w14:paraId="27A5DECE" w14:textId="77777777" w:rsidR="00F025AD" w:rsidRPr="00FB2FFF" w:rsidRDefault="00F025AD" w:rsidP="00F025AD">
            <w:pPr>
              <w:rPr>
                <w:rFonts w:ascii="Palatino Linotype" w:eastAsia="Calibri" w:hAnsi="Palatino Linotype" w:cs="Mangal"/>
                <w:sz w:val="22"/>
                <w:lang w:bidi="hi-IN"/>
              </w:rPr>
            </w:pPr>
            <w:r w:rsidRPr="00FB2FFF">
              <w:rPr>
                <w:rFonts w:ascii="Palatino Linotype" w:eastAsia="Calibri" w:hAnsi="Palatino Linotype" w:cs="Mangal"/>
                <w:sz w:val="22"/>
                <w:lang w:bidi="hi-IN"/>
              </w:rPr>
              <w:t>4.</w:t>
            </w:r>
          </w:p>
        </w:tc>
        <w:tc>
          <w:tcPr>
            <w:tcW w:w="3780" w:type="dxa"/>
            <w:shd w:val="clear" w:color="auto" w:fill="auto"/>
          </w:tcPr>
          <w:p w14:paraId="21615A68" w14:textId="77777777" w:rsidR="00F025AD" w:rsidRPr="00FB2FFF" w:rsidRDefault="00F025AD" w:rsidP="00F025AD">
            <w:pPr>
              <w:rPr>
                <w:rFonts w:ascii="Palatino Linotype" w:eastAsia="Calibri" w:hAnsi="Palatino Linotype" w:cs="Mangal"/>
                <w:sz w:val="22"/>
                <w:lang w:bidi="hi-IN"/>
              </w:rPr>
            </w:pPr>
            <w:r w:rsidRPr="00FB2FFF">
              <w:rPr>
                <w:rFonts w:ascii="Palatino Linotype" w:eastAsia="Calibri" w:hAnsi="Palatino Linotype" w:cs="Mangal"/>
                <w:sz w:val="22"/>
                <w:lang w:bidi="hi-IN"/>
              </w:rPr>
              <w:t>KYC   application   form   and supporting documents   of  the  clients  to  be  uploaded on system of KRA   within 10 working days</w:t>
            </w:r>
          </w:p>
        </w:tc>
        <w:tc>
          <w:tcPr>
            <w:tcW w:w="2356" w:type="dxa"/>
            <w:shd w:val="clear" w:color="auto" w:fill="auto"/>
          </w:tcPr>
          <w:p w14:paraId="2ED60BE4" w14:textId="77777777" w:rsidR="00F025AD" w:rsidRPr="00FB2FFF" w:rsidRDefault="00F025AD" w:rsidP="00F025AD">
            <w:pPr>
              <w:rPr>
                <w:rFonts w:ascii="Palatino Linotype" w:eastAsia="Calibri" w:hAnsi="Palatino Linotype" w:cs="Mangal"/>
                <w:sz w:val="22"/>
                <w:lang w:bidi="hi-IN"/>
              </w:rPr>
            </w:pPr>
            <w:r w:rsidRPr="00FB2FFF">
              <w:rPr>
                <w:rFonts w:ascii="Palatino Linotype" w:eastAsia="Calibri" w:hAnsi="Palatino Linotype" w:cs="Mangal"/>
                <w:sz w:val="22"/>
                <w:lang w:bidi="hi-IN"/>
              </w:rPr>
              <w:t>Till June 30, 2021,   documents  may  be uploaded  on  to  the system of KRA within    15    working days.   *A 30-day time period is provided to SEBI Registered Intermediary after June   30,   2021   to clear the backlog.</w:t>
            </w:r>
          </w:p>
        </w:tc>
        <w:tc>
          <w:tcPr>
            <w:tcW w:w="2409" w:type="dxa"/>
            <w:shd w:val="clear" w:color="auto" w:fill="auto"/>
          </w:tcPr>
          <w:p w14:paraId="649307F0" w14:textId="77777777" w:rsidR="00F025AD" w:rsidRPr="00FB2FFF" w:rsidRDefault="00F025AD" w:rsidP="00F025AD">
            <w:pPr>
              <w:rPr>
                <w:rFonts w:ascii="Palatino Linotype" w:eastAsia="Calibri" w:hAnsi="Palatino Linotype" w:cs="Mangal"/>
                <w:sz w:val="22"/>
                <w:lang w:bidi="hi-IN"/>
              </w:rPr>
            </w:pPr>
            <w:r w:rsidRPr="00FB2FFF">
              <w:rPr>
                <w:rFonts w:ascii="Palatino Linotype" w:eastAsia="Calibri" w:hAnsi="Palatino Linotype" w:cs="Mangal"/>
                <w:sz w:val="22"/>
                <w:lang w:bidi="hi-IN"/>
              </w:rPr>
              <w:t>Till July 31, 2021,   documents  may  be uploaded  on  to  the system of KRA within    15    working days.   *A 30-day time period is provided to SEBI Registered Intermediary after July    31,    2021    to clear the backlog.</w:t>
            </w:r>
          </w:p>
        </w:tc>
      </w:tr>
      <w:tr w:rsidR="00F025AD" w:rsidRPr="00FB2FFF" w14:paraId="798106EA" w14:textId="77777777" w:rsidTr="00F025AD">
        <w:tc>
          <w:tcPr>
            <w:tcW w:w="805" w:type="dxa"/>
            <w:shd w:val="clear" w:color="auto" w:fill="auto"/>
          </w:tcPr>
          <w:p w14:paraId="783A40E6" w14:textId="77777777" w:rsidR="00F025AD" w:rsidRPr="00FB2FFF" w:rsidRDefault="00F025AD" w:rsidP="00F025AD">
            <w:pPr>
              <w:rPr>
                <w:rFonts w:ascii="Palatino Linotype" w:eastAsia="Calibri" w:hAnsi="Palatino Linotype" w:cs="Mangal"/>
                <w:sz w:val="22"/>
                <w:lang w:bidi="hi-IN"/>
              </w:rPr>
            </w:pPr>
            <w:r w:rsidRPr="00FB2FFF">
              <w:rPr>
                <w:rFonts w:ascii="Palatino Linotype" w:eastAsia="Calibri" w:hAnsi="Palatino Linotype" w:cs="Mangal"/>
                <w:sz w:val="22"/>
                <w:lang w:bidi="hi-IN"/>
              </w:rPr>
              <w:t>5.</w:t>
            </w:r>
          </w:p>
        </w:tc>
        <w:tc>
          <w:tcPr>
            <w:tcW w:w="3780" w:type="dxa"/>
            <w:shd w:val="clear" w:color="auto" w:fill="auto"/>
          </w:tcPr>
          <w:p w14:paraId="6DD8C1A5" w14:textId="77777777" w:rsidR="00F025AD" w:rsidRPr="00FB2FFF" w:rsidRDefault="00F025AD" w:rsidP="00F025AD">
            <w:pPr>
              <w:rPr>
                <w:rFonts w:ascii="Palatino Linotype" w:eastAsia="Calibri" w:hAnsi="Palatino Linotype" w:cs="Mangal"/>
                <w:sz w:val="22"/>
                <w:lang w:bidi="hi-IN"/>
              </w:rPr>
            </w:pPr>
            <w:r w:rsidRPr="00FB2FFF">
              <w:rPr>
                <w:rFonts w:ascii="Palatino Linotype" w:eastAsia="Calibri" w:hAnsi="Palatino Linotype" w:cs="Mangal"/>
                <w:sz w:val="22"/>
                <w:lang w:bidi="hi-IN"/>
              </w:rPr>
              <w:t>Issue     of     Annual     Global Statement to clients</w:t>
            </w:r>
          </w:p>
        </w:tc>
        <w:tc>
          <w:tcPr>
            <w:tcW w:w="2356" w:type="dxa"/>
            <w:shd w:val="clear" w:color="auto" w:fill="auto"/>
          </w:tcPr>
          <w:p w14:paraId="2F89CE27" w14:textId="77777777" w:rsidR="00F025AD" w:rsidRPr="00FB2FFF" w:rsidRDefault="00F025AD" w:rsidP="00F025AD">
            <w:pPr>
              <w:rPr>
                <w:rFonts w:ascii="Palatino Linotype" w:eastAsia="Calibri" w:hAnsi="Palatino Linotype" w:cs="Mangal"/>
                <w:sz w:val="22"/>
                <w:lang w:bidi="hi-IN"/>
              </w:rPr>
            </w:pPr>
            <w:r w:rsidRPr="00FB2FFF">
              <w:rPr>
                <w:rFonts w:ascii="Palatino Linotype" w:eastAsia="Calibri" w:hAnsi="Palatino Linotype" w:cs="Mangal"/>
                <w:sz w:val="22"/>
                <w:lang w:bidi="hi-IN"/>
              </w:rPr>
              <w:t>Till June 30, 2021.   *Relaxation    is provided  only  if  the client  has  requested for a physical statement.</w:t>
            </w:r>
          </w:p>
        </w:tc>
        <w:tc>
          <w:tcPr>
            <w:tcW w:w="2409" w:type="dxa"/>
            <w:shd w:val="clear" w:color="auto" w:fill="auto"/>
          </w:tcPr>
          <w:p w14:paraId="54B687B5" w14:textId="77777777" w:rsidR="00F025AD" w:rsidRPr="00FB2FFF" w:rsidRDefault="00F025AD" w:rsidP="00F025AD">
            <w:pPr>
              <w:rPr>
                <w:rFonts w:ascii="Palatino Linotype" w:eastAsia="Calibri" w:hAnsi="Palatino Linotype" w:cs="Mangal"/>
                <w:sz w:val="22"/>
                <w:lang w:bidi="hi-IN"/>
              </w:rPr>
            </w:pPr>
            <w:r w:rsidRPr="00FB2FFF">
              <w:rPr>
                <w:rFonts w:ascii="Palatino Linotype" w:eastAsia="Calibri" w:hAnsi="Palatino Linotype" w:cs="Mangal"/>
                <w:sz w:val="22"/>
                <w:lang w:bidi="hi-IN"/>
              </w:rPr>
              <w:t>Till July 31, 2021.   *Relaxation    is provided  only  if  the client  has  requested for a physical statement.</w:t>
            </w:r>
          </w:p>
        </w:tc>
      </w:tr>
    </w:tbl>
    <w:p w14:paraId="65F328E1" w14:textId="77777777" w:rsidR="00F025AD" w:rsidRDefault="00F025AD" w:rsidP="00F025AD">
      <w:pPr>
        <w:autoSpaceDE w:val="0"/>
        <w:autoSpaceDN w:val="0"/>
        <w:adjustRightInd w:val="0"/>
        <w:jc w:val="both"/>
        <w:rPr>
          <w:rFonts w:ascii="Palatino Linotype" w:eastAsia="Calibri" w:hAnsi="Palatino Linotype" w:cs="CIDFont+F5"/>
          <w:lang w:val="en-IN" w:bidi="hi-IN"/>
        </w:rPr>
      </w:pPr>
    </w:p>
    <w:p w14:paraId="3C7432E7" w14:textId="77777777" w:rsidR="00F025AD" w:rsidRPr="00155195" w:rsidRDefault="00F025AD" w:rsidP="00F025AD">
      <w:pPr>
        <w:autoSpaceDE w:val="0"/>
        <w:autoSpaceDN w:val="0"/>
        <w:adjustRightInd w:val="0"/>
        <w:jc w:val="both"/>
        <w:rPr>
          <w:rFonts w:ascii="Palatino Linotype" w:eastAsia="Calibri" w:hAnsi="Palatino Linotype" w:cs="Mangal"/>
          <w:lang w:val="en-IN" w:bidi="hi-IN"/>
        </w:rPr>
      </w:pPr>
      <w:r w:rsidRPr="00155195">
        <w:rPr>
          <w:rFonts w:ascii="Palatino Linotype" w:eastAsia="Calibri" w:hAnsi="Palatino Linotype" w:cs="CIDFont+F5"/>
          <w:lang w:val="en-IN" w:bidi="hi-IN"/>
        </w:rPr>
        <w:lastRenderedPageBreak/>
        <w:t>Source:</w:t>
      </w:r>
      <w:r w:rsidRPr="00155195">
        <w:rPr>
          <w:rFonts w:ascii="Palatino Linotype" w:eastAsia="Calibri" w:hAnsi="Palatino Linotype" w:cs="Mangal"/>
          <w:lang w:val="en-IN" w:bidi="hi-IN"/>
        </w:rPr>
        <w:t xml:space="preserve"> </w:t>
      </w:r>
      <w:r w:rsidRPr="00352E58">
        <w:rPr>
          <w:rFonts w:ascii="Palatino Linotype" w:eastAsia="Calibri" w:hAnsi="Palatino Linotype" w:cs="Mangal"/>
          <w:lang w:val="en-IN" w:bidi="hi-IN"/>
        </w:rPr>
        <w:t>SEBI/HO/MIRSD/DOP/P/CIR/2021/587</w:t>
      </w:r>
      <w:r w:rsidRPr="00155195">
        <w:rPr>
          <w:rFonts w:ascii="Palatino Linotype" w:eastAsia="Calibri" w:hAnsi="Palatino Linotype" w:cs="Mangal"/>
          <w:lang w:val="en-IN" w:bidi="hi-IN"/>
        </w:rPr>
        <w:t xml:space="preserve"> dated June </w:t>
      </w:r>
      <w:r>
        <w:rPr>
          <w:rFonts w:ascii="Palatino Linotype" w:eastAsia="Calibri" w:hAnsi="Palatino Linotype" w:cs="Mangal"/>
          <w:lang w:val="en-IN" w:bidi="hi-IN"/>
        </w:rPr>
        <w:t>30</w:t>
      </w:r>
      <w:r w:rsidRPr="00155195">
        <w:rPr>
          <w:rFonts w:ascii="Palatino Linotype" w:eastAsia="Calibri" w:hAnsi="Palatino Linotype" w:cs="Mangal"/>
          <w:lang w:val="en-IN" w:bidi="hi-IN"/>
        </w:rPr>
        <w:t>, 2021</w:t>
      </w:r>
    </w:p>
    <w:p w14:paraId="50D1A8BA" w14:textId="77777777" w:rsidR="00F025AD" w:rsidRDefault="00F025AD" w:rsidP="0060602C">
      <w:pPr>
        <w:contextualSpacing/>
        <w:jc w:val="both"/>
        <w:rPr>
          <w:rFonts w:ascii="Palatino Linotype" w:eastAsia="Calibri" w:hAnsi="Palatino Linotype"/>
          <w:b/>
          <w:bCs/>
        </w:rPr>
      </w:pPr>
    </w:p>
    <w:p w14:paraId="1642B520" w14:textId="77777777" w:rsidR="00F025AD" w:rsidRDefault="00284E34" w:rsidP="00F025AD">
      <w:pPr>
        <w:spacing w:after="120"/>
        <w:rPr>
          <w:rFonts w:ascii="Garamond" w:hAnsi="Garamond" w:cs="Arial"/>
          <w:i/>
          <w:szCs w:val="32"/>
        </w:rPr>
      </w:pPr>
      <w:r w:rsidRPr="008570C3">
        <w:rPr>
          <w:rFonts w:ascii="Garamond" w:hAnsi="Garamond" w:cs="Arial"/>
          <w:i/>
          <w:szCs w:val="32"/>
        </w:rPr>
        <w:t>Disclaimer: The summary has been prepared for the convenience of readers. In case of any ambiguity, please refer to the original circular.</w:t>
      </w:r>
    </w:p>
    <w:p w14:paraId="182B4007" w14:textId="77777777" w:rsidR="00F025AD" w:rsidRDefault="00F025AD" w:rsidP="00F025AD">
      <w:pPr>
        <w:spacing w:after="120"/>
        <w:rPr>
          <w:rFonts w:ascii="Garamond" w:hAnsi="Garamond" w:cs="Arial"/>
          <w:i/>
          <w:szCs w:val="32"/>
        </w:rPr>
      </w:pPr>
    </w:p>
    <w:p w14:paraId="22086175" w14:textId="77777777" w:rsidR="007C2E4F" w:rsidRDefault="007C2E4F" w:rsidP="00F025AD">
      <w:pPr>
        <w:spacing w:after="120"/>
        <w:jc w:val="center"/>
        <w:rPr>
          <w:rFonts w:ascii="Palatino Linotype" w:hAnsi="Palatino Linotype"/>
          <w:b/>
          <w:sz w:val="28"/>
          <w:szCs w:val="28"/>
        </w:rPr>
      </w:pPr>
    </w:p>
    <w:p w14:paraId="40387323" w14:textId="77777777" w:rsidR="00D80A78" w:rsidRDefault="00D80A78" w:rsidP="00F025AD">
      <w:pPr>
        <w:spacing w:after="120"/>
        <w:jc w:val="center"/>
        <w:rPr>
          <w:rFonts w:ascii="Palatino Linotype" w:hAnsi="Palatino Linotype"/>
          <w:b/>
          <w:sz w:val="28"/>
          <w:szCs w:val="28"/>
        </w:rPr>
      </w:pPr>
    </w:p>
    <w:p w14:paraId="50A5E1BA" w14:textId="77777777" w:rsidR="00D80A78" w:rsidRDefault="00D80A78" w:rsidP="00F025AD">
      <w:pPr>
        <w:spacing w:after="120"/>
        <w:jc w:val="center"/>
        <w:rPr>
          <w:rFonts w:ascii="Palatino Linotype" w:hAnsi="Palatino Linotype"/>
          <w:b/>
          <w:sz w:val="28"/>
          <w:szCs w:val="28"/>
        </w:rPr>
      </w:pPr>
    </w:p>
    <w:p w14:paraId="06D17883" w14:textId="77777777" w:rsidR="00D80A78" w:rsidRDefault="00D80A78" w:rsidP="00F025AD">
      <w:pPr>
        <w:spacing w:after="120"/>
        <w:jc w:val="center"/>
        <w:rPr>
          <w:rFonts w:ascii="Palatino Linotype" w:hAnsi="Palatino Linotype"/>
          <w:b/>
          <w:sz w:val="28"/>
          <w:szCs w:val="28"/>
        </w:rPr>
      </w:pPr>
    </w:p>
    <w:p w14:paraId="2D08E832" w14:textId="77777777" w:rsidR="00D80A78" w:rsidRDefault="00D80A78" w:rsidP="00F025AD">
      <w:pPr>
        <w:spacing w:after="120"/>
        <w:jc w:val="center"/>
        <w:rPr>
          <w:rFonts w:ascii="Palatino Linotype" w:hAnsi="Palatino Linotype"/>
          <w:b/>
          <w:sz w:val="28"/>
          <w:szCs w:val="28"/>
        </w:rPr>
      </w:pPr>
    </w:p>
    <w:p w14:paraId="49C09F41" w14:textId="77777777" w:rsidR="00D80A78" w:rsidRDefault="00D80A78" w:rsidP="00F025AD">
      <w:pPr>
        <w:spacing w:after="120"/>
        <w:jc w:val="center"/>
        <w:rPr>
          <w:rFonts w:ascii="Palatino Linotype" w:hAnsi="Palatino Linotype"/>
          <w:b/>
          <w:sz w:val="28"/>
          <w:szCs w:val="28"/>
        </w:rPr>
      </w:pPr>
    </w:p>
    <w:p w14:paraId="7DAA5953" w14:textId="77777777" w:rsidR="00D80A78" w:rsidRDefault="00D80A78" w:rsidP="00F025AD">
      <w:pPr>
        <w:spacing w:after="120"/>
        <w:jc w:val="center"/>
        <w:rPr>
          <w:rFonts w:ascii="Palatino Linotype" w:hAnsi="Palatino Linotype"/>
          <w:b/>
          <w:sz w:val="28"/>
          <w:szCs w:val="28"/>
        </w:rPr>
      </w:pPr>
    </w:p>
    <w:p w14:paraId="0B31C7C2" w14:textId="77777777" w:rsidR="00D80A78" w:rsidRDefault="00D80A78" w:rsidP="00F025AD">
      <w:pPr>
        <w:spacing w:after="120"/>
        <w:jc w:val="center"/>
        <w:rPr>
          <w:rFonts w:ascii="Palatino Linotype" w:hAnsi="Palatino Linotype"/>
          <w:b/>
          <w:sz w:val="28"/>
          <w:szCs w:val="28"/>
        </w:rPr>
      </w:pPr>
    </w:p>
    <w:p w14:paraId="0FC901AC" w14:textId="77777777" w:rsidR="00D80A78" w:rsidRDefault="00D80A78" w:rsidP="00F025AD">
      <w:pPr>
        <w:spacing w:after="120"/>
        <w:jc w:val="center"/>
        <w:rPr>
          <w:rFonts w:ascii="Palatino Linotype" w:hAnsi="Palatino Linotype"/>
          <w:b/>
          <w:sz w:val="28"/>
          <w:szCs w:val="28"/>
        </w:rPr>
      </w:pPr>
    </w:p>
    <w:p w14:paraId="2D51CCB2" w14:textId="77777777" w:rsidR="00D80A78" w:rsidRDefault="00D80A78" w:rsidP="00F025AD">
      <w:pPr>
        <w:spacing w:after="120"/>
        <w:jc w:val="center"/>
        <w:rPr>
          <w:rFonts w:ascii="Palatino Linotype" w:hAnsi="Palatino Linotype"/>
          <w:b/>
          <w:sz w:val="28"/>
          <w:szCs w:val="28"/>
        </w:rPr>
      </w:pPr>
    </w:p>
    <w:p w14:paraId="36269EC2" w14:textId="77777777" w:rsidR="00D80A78" w:rsidRDefault="00D80A78" w:rsidP="00F025AD">
      <w:pPr>
        <w:spacing w:after="120"/>
        <w:jc w:val="center"/>
        <w:rPr>
          <w:rFonts w:ascii="Palatino Linotype" w:hAnsi="Palatino Linotype"/>
          <w:b/>
          <w:sz w:val="28"/>
          <w:szCs w:val="28"/>
        </w:rPr>
      </w:pPr>
    </w:p>
    <w:p w14:paraId="02A54701" w14:textId="77777777" w:rsidR="00D80A78" w:rsidRDefault="00D80A78" w:rsidP="00F025AD">
      <w:pPr>
        <w:spacing w:after="120"/>
        <w:jc w:val="center"/>
        <w:rPr>
          <w:rFonts w:ascii="Palatino Linotype" w:hAnsi="Palatino Linotype"/>
          <w:b/>
          <w:sz w:val="28"/>
          <w:szCs w:val="28"/>
        </w:rPr>
      </w:pPr>
    </w:p>
    <w:p w14:paraId="19A1B2A1" w14:textId="77777777" w:rsidR="00D80A78" w:rsidRDefault="00D80A78" w:rsidP="00F025AD">
      <w:pPr>
        <w:spacing w:after="120"/>
        <w:jc w:val="center"/>
        <w:rPr>
          <w:rFonts w:ascii="Palatino Linotype" w:hAnsi="Palatino Linotype"/>
          <w:b/>
          <w:sz w:val="28"/>
          <w:szCs w:val="28"/>
        </w:rPr>
      </w:pPr>
    </w:p>
    <w:p w14:paraId="6B4E85FB" w14:textId="77777777" w:rsidR="00D80A78" w:rsidRDefault="00D80A78" w:rsidP="00F025AD">
      <w:pPr>
        <w:spacing w:after="120"/>
        <w:jc w:val="center"/>
        <w:rPr>
          <w:rFonts w:ascii="Palatino Linotype" w:hAnsi="Palatino Linotype"/>
          <w:b/>
          <w:sz w:val="28"/>
          <w:szCs w:val="28"/>
        </w:rPr>
      </w:pPr>
    </w:p>
    <w:p w14:paraId="3E76E791" w14:textId="77777777" w:rsidR="00D80A78" w:rsidRDefault="00D80A78" w:rsidP="00F025AD">
      <w:pPr>
        <w:spacing w:after="120"/>
        <w:jc w:val="center"/>
        <w:rPr>
          <w:rFonts w:ascii="Palatino Linotype" w:hAnsi="Palatino Linotype"/>
          <w:b/>
          <w:sz w:val="28"/>
          <w:szCs w:val="28"/>
        </w:rPr>
      </w:pPr>
    </w:p>
    <w:p w14:paraId="729E8967" w14:textId="77777777" w:rsidR="00D80A78" w:rsidRDefault="00D80A78" w:rsidP="00F025AD">
      <w:pPr>
        <w:spacing w:after="120"/>
        <w:jc w:val="center"/>
        <w:rPr>
          <w:rFonts w:ascii="Palatino Linotype" w:hAnsi="Palatino Linotype"/>
          <w:b/>
          <w:sz w:val="28"/>
          <w:szCs w:val="28"/>
        </w:rPr>
      </w:pPr>
    </w:p>
    <w:p w14:paraId="470A2B8E" w14:textId="77777777" w:rsidR="00D80A78" w:rsidRDefault="00D80A78" w:rsidP="00F025AD">
      <w:pPr>
        <w:spacing w:after="120"/>
        <w:jc w:val="center"/>
        <w:rPr>
          <w:rFonts w:ascii="Palatino Linotype" w:hAnsi="Palatino Linotype"/>
          <w:b/>
          <w:sz w:val="28"/>
          <w:szCs w:val="28"/>
        </w:rPr>
      </w:pPr>
    </w:p>
    <w:p w14:paraId="6C35B93B" w14:textId="77777777" w:rsidR="00D80A78" w:rsidRDefault="00D80A78" w:rsidP="00F025AD">
      <w:pPr>
        <w:spacing w:after="120"/>
        <w:jc w:val="center"/>
        <w:rPr>
          <w:rFonts w:ascii="Palatino Linotype" w:hAnsi="Palatino Linotype"/>
          <w:b/>
          <w:sz w:val="28"/>
          <w:szCs w:val="28"/>
        </w:rPr>
      </w:pPr>
    </w:p>
    <w:p w14:paraId="640FF3AF" w14:textId="77777777" w:rsidR="00D80A78" w:rsidRDefault="00D80A78" w:rsidP="00F025AD">
      <w:pPr>
        <w:spacing w:after="120"/>
        <w:jc w:val="center"/>
        <w:rPr>
          <w:rFonts w:ascii="Palatino Linotype" w:hAnsi="Palatino Linotype"/>
          <w:b/>
          <w:sz w:val="28"/>
          <w:szCs w:val="28"/>
        </w:rPr>
      </w:pPr>
    </w:p>
    <w:p w14:paraId="5304661A" w14:textId="77777777" w:rsidR="00D80A78" w:rsidRDefault="00D80A78" w:rsidP="00F025AD">
      <w:pPr>
        <w:spacing w:after="120"/>
        <w:jc w:val="center"/>
        <w:rPr>
          <w:rFonts w:ascii="Palatino Linotype" w:hAnsi="Palatino Linotype"/>
          <w:b/>
          <w:sz w:val="28"/>
          <w:szCs w:val="28"/>
        </w:rPr>
      </w:pPr>
    </w:p>
    <w:p w14:paraId="6ACDD201" w14:textId="77777777" w:rsidR="00D80A78" w:rsidRDefault="00D80A78" w:rsidP="00F025AD">
      <w:pPr>
        <w:spacing w:after="120"/>
        <w:jc w:val="center"/>
        <w:rPr>
          <w:rFonts w:ascii="Palatino Linotype" w:hAnsi="Palatino Linotype"/>
          <w:b/>
          <w:sz w:val="28"/>
          <w:szCs w:val="28"/>
        </w:rPr>
      </w:pPr>
    </w:p>
    <w:p w14:paraId="74FE530A" w14:textId="77777777" w:rsidR="00D80A78" w:rsidRDefault="00D80A78" w:rsidP="00F025AD">
      <w:pPr>
        <w:spacing w:after="120"/>
        <w:jc w:val="center"/>
        <w:rPr>
          <w:rFonts w:ascii="Palatino Linotype" w:hAnsi="Palatino Linotype"/>
          <w:b/>
          <w:sz w:val="28"/>
          <w:szCs w:val="28"/>
        </w:rPr>
      </w:pPr>
    </w:p>
    <w:p w14:paraId="5BC4AF60" w14:textId="77777777" w:rsidR="00D80A78" w:rsidRDefault="00D80A78" w:rsidP="00F025AD">
      <w:pPr>
        <w:spacing w:after="120"/>
        <w:jc w:val="center"/>
        <w:rPr>
          <w:rFonts w:ascii="Palatino Linotype" w:hAnsi="Palatino Linotype"/>
          <w:b/>
          <w:sz w:val="28"/>
          <w:szCs w:val="28"/>
        </w:rPr>
      </w:pPr>
    </w:p>
    <w:p w14:paraId="2388E2BF" w14:textId="77777777" w:rsidR="00D80A78" w:rsidRDefault="00D80A78" w:rsidP="00F025AD">
      <w:pPr>
        <w:spacing w:after="120"/>
        <w:jc w:val="center"/>
        <w:rPr>
          <w:rFonts w:ascii="Palatino Linotype" w:hAnsi="Palatino Linotype"/>
          <w:b/>
          <w:sz w:val="28"/>
          <w:szCs w:val="28"/>
        </w:rPr>
      </w:pPr>
    </w:p>
    <w:p w14:paraId="77ACD5AD" w14:textId="77777777" w:rsidR="00D80A78" w:rsidRDefault="00D80A78" w:rsidP="00F025AD">
      <w:pPr>
        <w:spacing w:after="120"/>
        <w:jc w:val="center"/>
        <w:rPr>
          <w:rFonts w:ascii="Palatino Linotype" w:hAnsi="Palatino Linotype"/>
          <w:b/>
          <w:sz w:val="28"/>
          <w:szCs w:val="28"/>
        </w:rPr>
      </w:pPr>
    </w:p>
    <w:p w14:paraId="4E44173F" w14:textId="77777777" w:rsidR="00272724" w:rsidRPr="004752BB" w:rsidRDefault="00272724" w:rsidP="00F025AD">
      <w:pPr>
        <w:spacing w:after="120"/>
        <w:jc w:val="center"/>
        <w:rPr>
          <w:rFonts w:ascii="Palatino Linotype" w:hAnsi="Palatino Linotype"/>
          <w:b/>
          <w:sz w:val="28"/>
          <w:szCs w:val="28"/>
        </w:rPr>
      </w:pPr>
      <w:r w:rsidRPr="004752BB">
        <w:rPr>
          <w:rFonts w:ascii="Palatino Linotype" w:hAnsi="Palatino Linotype"/>
          <w:b/>
          <w:sz w:val="28"/>
          <w:szCs w:val="28"/>
        </w:rPr>
        <w:lastRenderedPageBreak/>
        <w:t>REGULATORY ACTIONS TAKEN BY SEBI</w:t>
      </w:r>
    </w:p>
    <w:p w14:paraId="253CA966" w14:textId="77777777" w:rsidR="00272724" w:rsidRDefault="00272724" w:rsidP="00272724">
      <w:pPr>
        <w:rPr>
          <w:rFonts w:ascii="Palatino Linotype" w:hAnsi="Palatino Linotype"/>
          <w:b/>
          <w:sz w:val="40"/>
          <w:szCs w:val="40"/>
        </w:rPr>
      </w:pPr>
    </w:p>
    <w:p w14:paraId="233B7BE8" w14:textId="77777777" w:rsidR="00272724" w:rsidRDefault="00272724" w:rsidP="00272724">
      <w:pPr>
        <w:rPr>
          <w:rFonts w:ascii="Palatino Linotype" w:hAnsi="Palatino Linotype"/>
          <w:b/>
        </w:rPr>
      </w:pPr>
      <w:r w:rsidRPr="009E191B">
        <w:rPr>
          <w:rFonts w:ascii="Palatino Linotype" w:hAnsi="Palatino Linotype"/>
          <w:b/>
        </w:rPr>
        <w:t xml:space="preserve">Orders passed by </w:t>
      </w:r>
      <w:r>
        <w:rPr>
          <w:rFonts w:ascii="Palatino Linotype" w:hAnsi="Palatino Linotype"/>
          <w:b/>
        </w:rPr>
        <w:t xml:space="preserve">Whole Time </w:t>
      </w:r>
      <w:r w:rsidRPr="009E191B">
        <w:rPr>
          <w:rFonts w:ascii="Palatino Linotype" w:hAnsi="Palatino Linotype"/>
          <w:b/>
        </w:rPr>
        <w:t>Member</w:t>
      </w:r>
      <w:r>
        <w:rPr>
          <w:rFonts w:ascii="Palatino Linotype" w:hAnsi="Palatino Linotype"/>
          <w:b/>
        </w:rPr>
        <w:t>s</w:t>
      </w:r>
      <w:r w:rsidR="00F9747C">
        <w:rPr>
          <w:rFonts w:ascii="Palatino Linotype" w:hAnsi="Palatino Linotype"/>
          <w:b/>
        </w:rPr>
        <w:t xml:space="preserve"> / Adjudication Officers</w:t>
      </w:r>
      <w:r>
        <w:rPr>
          <w:rFonts w:ascii="Palatino Linotype" w:hAnsi="Palatino Linotype"/>
          <w:b/>
        </w:rPr>
        <w:t>:</w:t>
      </w:r>
    </w:p>
    <w:p w14:paraId="3C0D428E" w14:textId="77777777" w:rsidR="00A07B14" w:rsidRDefault="00A07B14" w:rsidP="00272724">
      <w:pPr>
        <w:rPr>
          <w:rFonts w:ascii="Palatino Linotype" w:hAnsi="Palatino Linotype"/>
          <w:b/>
        </w:rPr>
      </w:pPr>
    </w:p>
    <w:tbl>
      <w:tblPr>
        <w:tblW w:w="11482" w:type="dxa"/>
        <w:tblInd w:w="-714" w:type="dxa"/>
        <w:tblLayout w:type="fixed"/>
        <w:tblLook w:val="04A0" w:firstRow="1" w:lastRow="0" w:firstColumn="1" w:lastColumn="0" w:noHBand="0" w:noVBand="1"/>
      </w:tblPr>
      <w:tblGrid>
        <w:gridCol w:w="567"/>
        <w:gridCol w:w="1276"/>
        <w:gridCol w:w="2127"/>
        <w:gridCol w:w="1559"/>
        <w:gridCol w:w="2126"/>
        <w:gridCol w:w="2268"/>
        <w:gridCol w:w="1559"/>
      </w:tblGrid>
      <w:tr w:rsidR="000E7AC9" w:rsidRPr="00B83873" w14:paraId="383915FC" w14:textId="77777777" w:rsidTr="00F025AD">
        <w:trPr>
          <w:trHeight w:val="300"/>
        </w:trPr>
        <w:tc>
          <w:tcPr>
            <w:tcW w:w="567" w:type="dxa"/>
            <w:tcBorders>
              <w:top w:val="single" w:sz="4" w:space="0" w:color="auto"/>
              <w:left w:val="single" w:sz="4" w:space="0" w:color="auto"/>
              <w:bottom w:val="single" w:sz="4" w:space="0" w:color="auto"/>
              <w:right w:val="single" w:sz="4" w:space="0" w:color="auto"/>
            </w:tcBorders>
          </w:tcPr>
          <w:p w14:paraId="63BF222B" w14:textId="77777777" w:rsidR="000E7AC9" w:rsidRDefault="000E7AC9" w:rsidP="00BA55C5">
            <w:pPr>
              <w:jc w:val="center"/>
              <w:rPr>
                <w:rFonts w:ascii="Palatino Linotype" w:hAnsi="Palatino Linotype" w:cs="Calibri"/>
                <w:b/>
                <w:bCs/>
                <w:color w:val="000000"/>
                <w:sz w:val="20"/>
                <w:szCs w:val="20"/>
                <w:lang w:val="en-IN" w:eastAsia="en-IN" w:bidi="hi-IN"/>
              </w:rPr>
            </w:pPr>
            <w:r>
              <w:rPr>
                <w:rFonts w:ascii="Palatino Linotype" w:hAnsi="Palatino Linotype" w:cs="Calibri"/>
                <w:b/>
                <w:bCs/>
                <w:color w:val="000000"/>
                <w:sz w:val="20"/>
                <w:szCs w:val="20"/>
                <w:lang w:val="en-IN" w:eastAsia="en-IN" w:bidi="hi-IN"/>
              </w:rPr>
              <w:t>Sl.</w:t>
            </w:r>
          </w:p>
          <w:p w14:paraId="368EAAA2" w14:textId="77777777" w:rsidR="000E7AC9" w:rsidRPr="00B83873" w:rsidRDefault="000E7AC9" w:rsidP="00BA55C5">
            <w:pPr>
              <w:jc w:val="center"/>
              <w:rPr>
                <w:rFonts w:ascii="Palatino Linotype" w:hAnsi="Palatino Linotype" w:cs="Calibri"/>
                <w:b/>
                <w:bCs/>
                <w:color w:val="000000"/>
                <w:sz w:val="20"/>
                <w:szCs w:val="20"/>
                <w:lang w:val="en-IN" w:eastAsia="en-IN" w:bidi="hi-IN"/>
              </w:rPr>
            </w:pPr>
            <w:r>
              <w:rPr>
                <w:rFonts w:ascii="Palatino Linotype" w:hAnsi="Palatino Linotype" w:cs="Calibri"/>
                <w:b/>
                <w:bCs/>
                <w:color w:val="000000"/>
                <w:sz w:val="20"/>
                <w:szCs w:val="20"/>
                <w:lang w:val="en-IN" w:eastAsia="en-IN" w:bidi="hi-IN"/>
              </w:rPr>
              <w:t>No.</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34C89E" w14:textId="77777777" w:rsidR="000E7AC9" w:rsidRPr="00B83873" w:rsidRDefault="000E7AC9" w:rsidP="00BA55C5">
            <w:pPr>
              <w:jc w:val="center"/>
              <w:rPr>
                <w:rFonts w:ascii="Palatino Linotype" w:hAnsi="Palatino Linotype" w:cs="Calibri"/>
                <w:b/>
                <w:bCs/>
                <w:color w:val="000000"/>
                <w:sz w:val="20"/>
                <w:szCs w:val="20"/>
                <w:lang w:val="en-IN" w:eastAsia="en-IN" w:bidi="hi-IN"/>
              </w:rPr>
            </w:pPr>
            <w:r w:rsidRPr="00B83873">
              <w:rPr>
                <w:rFonts w:ascii="Palatino Linotype" w:hAnsi="Palatino Linotype" w:cs="Calibri"/>
                <w:b/>
                <w:bCs/>
                <w:color w:val="000000"/>
                <w:sz w:val="20"/>
                <w:szCs w:val="20"/>
                <w:lang w:val="en-IN" w:eastAsia="en-IN" w:bidi="hi-IN"/>
              </w:rPr>
              <w:t>Date</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14:paraId="76011EFA" w14:textId="77777777" w:rsidR="000E7AC9" w:rsidRPr="00B83873" w:rsidRDefault="000E7AC9" w:rsidP="00BA55C5">
            <w:pPr>
              <w:jc w:val="center"/>
              <w:rPr>
                <w:rFonts w:ascii="Palatino Linotype" w:hAnsi="Palatino Linotype" w:cs="Calibri"/>
                <w:b/>
                <w:bCs/>
                <w:color w:val="000000"/>
                <w:sz w:val="20"/>
                <w:szCs w:val="20"/>
                <w:lang w:val="en-IN" w:eastAsia="en-IN" w:bidi="hi-IN"/>
              </w:rPr>
            </w:pPr>
            <w:r w:rsidRPr="00B83873">
              <w:rPr>
                <w:rFonts w:ascii="Palatino Linotype" w:hAnsi="Palatino Linotype" w:cs="Calibri"/>
                <w:b/>
                <w:bCs/>
                <w:color w:val="000000"/>
                <w:sz w:val="20"/>
                <w:szCs w:val="20"/>
                <w:lang w:val="en-IN" w:eastAsia="en-IN" w:bidi="hi-IN"/>
              </w:rPr>
              <w:t>Case Name</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240E44E6" w14:textId="77777777" w:rsidR="000E7AC9" w:rsidRPr="00B83873" w:rsidRDefault="000E7AC9" w:rsidP="00BA55C5">
            <w:pPr>
              <w:jc w:val="center"/>
              <w:rPr>
                <w:rFonts w:ascii="Palatino Linotype" w:hAnsi="Palatino Linotype" w:cs="Calibri"/>
                <w:b/>
                <w:bCs/>
                <w:color w:val="000000"/>
                <w:sz w:val="20"/>
                <w:szCs w:val="20"/>
                <w:lang w:val="en-IN" w:eastAsia="en-IN" w:bidi="hi-IN"/>
              </w:rPr>
            </w:pPr>
            <w:r w:rsidRPr="00B83873">
              <w:rPr>
                <w:rFonts w:ascii="Palatino Linotype" w:hAnsi="Palatino Linotype" w:cs="Calibri"/>
                <w:b/>
                <w:bCs/>
                <w:color w:val="000000"/>
                <w:sz w:val="20"/>
                <w:szCs w:val="20"/>
                <w:lang w:val="en-IN" w:eastAsia="en-IN" w:bidi="hi-IN"/>
              </w:rPr>
              <w:t xml:space="preserve">Action </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5275EA92" w14:textId="77777777" w:rsidR="000E7AC9" w:rsidRPr="00B83873" w:rsidRDefault="000E7AC9" w:rsidP="00BA55C5">
            <w:pPr>
              <w:jc w:val="center"/>
              <w:rPr>
                <w:rFonts w:ascii="Palatino Linotype" w:hAnsi="Palatino Linotype" w:cs="Calibri"/>
                <w:b/>
                <w:bCs/>
                <w:color w:val="000000"/>
                <w:sz w:val="20"/>
                <w:szCs w:val="20"/>
                <w:lang w:val="en-IN" w:eastAsia="en-IN" w:bidi="hi-IN"/>
              </w:rPr>
            </w:pPr>
            <w:r w:rsidRPr="00B83873">
              <w:rPr>
                <w:rFonts w:ascii="Palatino Linotype" w:hAnsi="Palatino Linotype" w:cs="Calibri"/>
                <w:b/>
                <w:bCs/>
                <w:color w:val="000000"/>
                <w:sz w:val="20"/>
                <w:szCs w:val="20"/>
                <w:lang w:val="en-IN" w:eastAsia="en-IN" w:bidi="hi-IN"/>
              </w:rPr>
              <w:t>Entity</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10B4B3AA" w14:textId="77777777" w:rsidR="000E7AC9" w:rsidRPr="00B83873" w:rsidRDefault="000E7AC9" w:rsidP="00BA55C5">
            <w:pPr>
              <w:jc w:val="center"/>
              <w:rPr>
                <w:rFonts w:ascii="Palatino Linotype" w:hAnsi="Palatino Linotype" w:cs="Calibri"/>
                <w:b/>
                <w:bCs/>
                <w:color w:val="000000"/>
                <w:sz w:val="20"/>
                <w:szCs w:val="20"/>
                <w:lang w:val="en-IN" w:eastAsia="en-IN" w:bidi="hi-IN"/>
              </w:rPr>
            </w:pPr>
            <w:r w:rsidRPr="00B83873">
              <w:rPr>
                <w:rFonts w:ascii="Palatino Linotype" w:hAnsi="Palatino Linotype" w:cs="Calibri"/>
                <w:b/>
                <w:bCs/>
                <w:color w:val="000000"/>
                <w:sz w:val="20"/>
                <w:szCs w:val="20"/>
                <w:lang w:val="en-IN" w:eastAsia="en-IN" w:bidi="hi-IN"/>
              </w:rPr>
              <w:t>Violation</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7F5D4550" w14:textId="77777777" w:rsidR="000E7AC9" w:rsidRPr="00B83873" w:rsidRDefault="000E7AC9" w:rsidP="00BA55C5">
            <w:pPr>
              <w:jc w:val="center"/>
              <w:rPr>
                <w:rFonts w:ascii="Palatino Linotype" w:hAnsi="Palatino Linotype" w:cs="Calibri"/>
                <w:b/>
                <w:bCs/>
                <w:color w:val="000000"/>
                <w:sz w:val="20"/>
                <w:szCs w:val="20"/>
                <w:lang w:val="en-IN" w:eastAsia="en-IN" w:bidi="hi-IN"/>
              </w:rPr>
            </w:pPr>
            <w:r w:rsidRPr="00B83873">
              <w:rPr>
                <w:rFonts w:ascii="Palatino Linotype" w:hAnsi="Palatino Linotype" w:cs="Calibri"/>
                <w:b/>
                <w:bCs/>
                <w:color w:val="000000"/>
                <w:sz w:val="20"/>
                <w:szCs w:val="20"/>
                <w:lang w:val="en-IN" w:eastAsia="en-IN" w:bidi="hi-IN"/>
              </w:rPr>
              <w:t>PENALTY</w:t>
            </w:r>
            <w:r>
              <w:rPr>
                <w:rFonts w:ascii="Palatino Linotype" w:hAnsi="Palatino Linotype" w:cs="Calibri"/>
                <w:b/>
                <w:bCs/>
                <w:color w:val="000000"/>
                <w:sz w:val="20"/>
                <w:szCs w:val="20"/>
                <w:lang w:val="en-IN" w:eastAsia="en-IN" w:bidi="hi-IN"/>
              </w:rPr>
              <w:t xml:space="preserve"> (</w:t>
            </w:r>
            <w:r w:rsidRPr="00D22F0B">
              <w:rPr>
                <w:rFonts w:ascii="Rupee Foradian" w:hAnsi="Rupee Foradian" w:cs="Calibri"/>
                <w:b/>
                <w:bCs/>
                <w:color w:val="000000"/>
                <w:sz w:val="20"/>
                <w:szCs w:val="20"/>
                <w:lang w:val="en-IN" w:eastAsia="en-IN" w:bidi="hi-IN"/>
              </w:rPr>
              <w:t>`</w:t>
            </w:r>
            <w:r>
              <w:rPr>
                <w:rFonts w:ascii="Palatino Linotype" w:hAnsi="Palatino Linotype" w:cs="Calibri"/>
                <w:b/>
                <w:bCs/>
                <w:color w:val="000000"/>
                <w:sz w:val="20"/>
                <w:szCs w:val="20"/>
                <w:lang w:val="en-IN" w:eastAsia="en-IN" w:bidi="hi-IN"/>
              </w:rPr>
              <w:t>)</w:t>
            </w:r>
          </w:p>
        </w:tc>
      </w:tr>
      <w:tr w:rsidR="00F025AD" w:rsidRPr="00B83873" w14:paraId="48D46CB0" w14:textId="77777777" w:rsidTr="00F025AD">
        <w:trPr>
          <w:trHeight w:val="300"/>
        </w:trPr>
        <w:tc>
          <w:tcPr>
            <w:tcW w:w="567" w:type="dxa"/>
            <w:tcBorders>
              <w:top w:val="single" w:sz="4" w:space="0" w:color="auto"/>
              <w:left w:val="single" w:sz="4" w:space="0" w:color="auto"/>
              <w:bottom w:val="single" w:sz="4" w:space="0" w:color="auto"/>
              <w:right w:val="single" w:sz="4" w:space="0" w:color="auto"/>
            </w:tcBorders>
          </w:tcPr>
          <w:p w14:paraId="010D2B35" w14:textId="77777777" w:rsidR="00F025AD" w:rsidRPr="007C6D7E" w:rsidRDefault="00F025AD" w:rsidP="00F025AD">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t>1</w:t>
            </w:r>
          </w:p>
        </w:tc>
        <w:tc>
          <w:tcPr>
            <w:tcW w:w="1276" w:type="dxa"/>
            <w:tcBorders>
              <w:top w:val="single" w:sz="4" w:space="0" w:color="auto"/>
              <w:bottom w:val="single" w:sz="4" w:space="0" w:color="auto"/>
              <w:right w:val="single" w:sz="4" w:space="0" w:color="auto"/>
            </w:tcBorders>
            <w:shd w:val="clear" w:color="auto" w:fill="auto"/>
            <w:noWrap/>
          </w:tcPr>
          <w:p w14:paraId="713F4EBE" w14:textId="77777777" w:rsidR="00F025AD" w:rsidRPr="007C6D7E" w:rsidRDefault="00F025AD" w:rsidP="00F025AD">
            <w:pPr>
              <w:jc w:val="both"/>
              <w:rPr>
                <w:rFonts w:ascii="Palatino Linotype" w:hAnsi="Palatino Linotype"/>
                <w:sz w:val="20"/>
                <w:szCs w:val="20"/>
              </w:rPr>
            </w:pPr>
            <w:r w:rsidRPr="007C6D7E">
              <w:rPr>
                <w:rFonts w:ascii="Palatino Linotype" w:hAnsi="Palatino Linotype"/>
                <w:sz w:val="20"/>
                <w:szCs w:val="20"/>
              </w:rPr>
              <w:t>01/06/2021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24BCBB99" w14:textId="77777777" w:rsidR="00F025AD" w:rsidRPr="007C6D7E" w:rsidRDefault="00F025AD" w:rsidP="00F025AD">
            <w:pPr>
              <w:jc w:val="both"/>
              <w:rPr>
                <w:rFonts w:ascii="Palatino Linotype" w:hAnsi="Palatino Linotype"/>
                <w:sz w:val="20"/>
                <w:szCs w:val="20"/>
              </w:rPr>
            </w:pPr>
            <w:r w:rsidRPr="007C6D7E">
              <w:rPr>
                <w:rFonts w:ascii="Palatino Linotype" w:hAnsi="Palatino Linotype"/>
                <w:sz w:val="20"/>
                <w:szCs w:val="20"/>
              </w:rPr>
              <w:t>Capital Heed Financial Research (Proprietor  Shailendra Sen)</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7775A33D" w14:textId="77777777" w:rsidR="00F025AD" w:rsidRPr="007C6D7E" w:rsidRDefault="00F025AD" w:rsidP="00F025AD">
            <w:pPr>
              <w:jc w:val="both"/>
              <w:rPr>
                <w:rFonts w:ascii="Palatino Linotype" w:hAnsi="Palatino Linotype"/>
                <w:sz w:val="20"/>
                <w:szCs w:val="20"/>
              </w:rPr>
            </w:pPr>
            <w:r w:rsidRPr="007C6D7E">
              <w:rPr>
                <w:rFonts w:ascii="Palatino Linotype" w:hAnsi="Palatino Linotype"/>
                <w:sz w:val="20"/>
                <w:szCs w:val="20"/>
              </w:rPr>
              <w:t>11B</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77044003" w14:textId="77777777" w:rsidR="00F025AD" w:rsidRPr="007C6D7E" w:rsidRDefault="00F025AD" w:rsidP="00F025AD">
            <w:pPr>
              <w:shd w:val="clear" w:color="auto" w:fill="FFFFFF"/>
              <w:jc w:val="both"/>
              <w:rPr>
                <w:rFonts w:ascii="Palatino Linotype" w:hAnsi="Palatino Linotype"/>
                <w:sz w:val="20"/>
                <w:szCs w:val="20"/>
              </w:rPr>
            </w:pPr>
            <w:r w:rsidRPr="007C6D7E">
              <w:rPr>
                <w:rFonts w:ascii="Palatino Linotype" w:hAnsi="Palatino Linotype"/>
                <w:sz w:val="20"/>
                <w:szCs w:val="20"/>
              </w:rPr>
              <w:t>Capital Heed Financial Research (Proprietor Shailendra Sen)</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9189FCF" w14:textId="77777777" w:rsidR="00F025AD" w:rsidRPr="007C6D7E" w:rsidRDefault="00F025AD" w:rsidP="00F025AD">
            <w:pPr>
              <w:shd w:val="clear" w:color="auto" w:fill="FFFFFF"/>
              <w:jc w:val="both"/>
              <w:rPr>
                <w:rFonts w:ascii="Palatino Linotype" w:hAnsi="Palatino Linotype"/>
                <w:sz w:val="20"/>
                <w:szCs w:val="20"/>
              </w:rPr>
            </w:pPr>
            <w:r w:rsidRPr="007C6D7E">
              <w:rPr>
                <w:rFonts w:ascii="Palatino Linotype" w:hAnsi="Palatino Linotype"/>
                <w:sz w:val="20"/>
                <w:szCs w:val="20"/>
              </w:rPr>
              <w:t xml:space="preserve">Regulation  13(a) and (b)  of SEBI (Investment  Advisers) Regulations, 2013  </w:t>
            </w:r>
          </w:p>
          <w:p w14:paraId="40B7B79E" w14:textId="77777777" w:rsidR="00F025AD" w:rsidRPr="007C6D7E" w:rsidRDefault="00F025AD" w:rsidP="00F025AD">
            <w:pPr>
              <w:shd w:val="clear" w:color="auto" w:fill="FFFFFF"/>
              <w:jc w:val="both"/>
              <w:rPr>
                <w:rFonts w:ascii="Palatino Linotype" w:hAnsi="Palatino Linotype"/>
                <w:sz w:val="20"/>
                <w:szCs w:val="20"/>
              </w:rPr>
            </w:pPr>
          </w:p>
          <w:p w14:paraId="630C0622" w14:textId="77777777" w:rsidR="00F025AD" w:rsidRPr="007C6D7E" w:rsidRDefault="00F025AD" w:rsidP="00F025AD">
            <w:pPr>
              <w:shd w:val="clear" w:color="auto" w:fill="FFFFFF"/>
              <w:rPr>
                <w:rFonts w:ascii="Palatino Linotype" w:hAnsi="Palatino Linotype"/>
                <w:sz w:val="20"/>
                <w:szCs w:val="20"/>
              </w:rPr>
            </w:pPr>
            <w:r w:rsidRPr="007C6D7E">
              <w:rPr>
                <w:rFonts w:ascii="Palatino Linotype" w:hAnsi="Palatino Linotype"/>
                <w:sz w:val="20"/>
                <w:szCs w:val="20"/>
              </w:rPr>
              <w:t xml:space="preserve">Clauses 1 and 8 of the Code of Conduct for investment adviser read with regulation </w:t>
            </w:r>
          </w:p>
          <w:p w14:paraId="5F54291B" w14:textId="77777777" w:rsidR="00F025AD" w:rsidRPr="007C6D7E" w:rsidRDefault="00F025AD" w:rsidP="00F025AD">
            <w:pPr>
              <w:shd w:val="clear" w:color="auto" w:fill="FFFFFF"/>
              <w:rPr>
                <w:rFonts w:ascii="Palatino Linotype" w:hAnsi="Palatino Linotype"/>
                <w:sz w:val="20"/>
                <w:szCs w:val="20"/>
              </w:rPr>
            </w:pPr>
            <w:r w:rsidRPr="007C6D7E">
              <w:rPr>
                <w:rFonts w:ascii="Palatino Linotype" w:hAnsi="Palatino Linotype"/>
                <w:sz w:val="20"/>
                <w:szCs w:val="20"/>
              </w:rPr>
              <w:t>15(9) of the IA Regulations.</w:t>
            </w:r>
          </w:p>
          <w:p w14:paraId="3AB9DA15" w14:textId="77777777" w:rsidR="00F025AD" w:rsidRPr="007C6D7E" w:rsidRDefault="00F025AD" w:rsidP="00F025AD">
            <w:pPr>
              <w:shd w:val="clear" w:color="auto" w:fill="FFFFFF"/>
              <w:jc w:val="both"/>
              <w:rPr>
                <w:rFonts w:ascii="Palatino Linotype" w:hAnsi="Palatino Linotype"/>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06F03957" w14:textId="77777777" w:rsidR="00F025AD" w:rsidRPr="007C6D7E" w:rsidRDefault="00F025AD" w:rsidP="00F025AD">
            <w:pPr>
              <w:jc w:val="right"/>
              <w:rPr>
                <w:rFonts w:ascii="Palatino Linotype" w:hAnsi="Palatino Linotype"/>
                <w:sz w:val="20"/>
                <w:szCs w:val="20"/>
              </w:rPr>
            </w:pPr>
            <w:r w:rsidRPr="007C6D7E">
              <w:rPr>
                <w:rFonts w:ascii="Palatino Linotype" w:hAnsi="Palatino Linotype"/>
                <w:sz w:val="20"/>
                <w:szCs w:val="20"/>
              </w:rPr>
              <w:t>-</w:t>
            </w:r>
          </w:p>
        </w:tc>
      </w:tr>
      <w:tr w:rsidR="00F025AD" w:rsidRPr="00B83873" w14:paraId="269B366F" w14:textId="77777777" w:rsidTr="00F025AD">
        <w:trPr>
          <w:trHeight w:val="300"/>
        </w:trPr>
        <w:tc>
          <w:tcPr>
            <w:tcW w:w="567" w:type="dxa"/>
            <w:tcBorders>
              <w:top w:val="single" w:sz="4" w:space="0" w:color="auto"/>
              <w:left w:val="single" w:sz="4" w:space="0" w:color="auto"/>
              <w:bottom w:val="single" w:sz="4" w:space="0" w:color="auto"/>
              <w:right w:val="single" w:sz="4" w:space="0" w:color="auto"/>
            </w:tcBorders>
          </w:tcPr>
          <w:p w14:paraId="185A6A9D" w14:textId="77777777" w:rsidR="00F025AD" w:rsidRPr="007C6D7E" w:rsidRDefault="00F025AD" w:rsidP="00F025AD">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t>2</w:t>
            </w:r>
          </w:p>
        </w:tc>
        <w:tc>
          <w:tcPr>
            <w:tcW w:w="1276" w:type="dxa"/>
            <w:tcBorders>
              <w:top w:val="single" w:sz="4" w:space="0" w:color="auto"/>
              <w:bottom w:val="single" w:sz="4" w:space="0" w:color="auto"/>
              <w:right w:val="single" w:sz="4" w:space="0" w:color="auto"/>
            </w:tcBorders>
            <w:shd w:val="clear" w:color="auto" w:fill="auto"/>
            <w:noWrap/>
          </w:tcPr>
          <w:p w14:paraId="5FB8D83C" w14:textId="77777777" w:rsidR="00F025AD" w:rsidRPr="007C6D7E" w:rsidRDefault="00F025AD" w:rsidP="00F025AD">
            <w:pPr>
              <w:jc w:val="both"/>
              <w:rPr>
                <w:rFonts w:ascii="Palatino Linotype" w:hAnsi="Palatino Linotype"/>
                <w:sz w:val="20"/>
                <w:szCs w:val="20"/>
              </w:rPr>
            </w:pPr>
            <w:r w:rsidRPr="007C6D7E">
              <w:rPr>
                <w:rFonts w:ascii="Palatino Linotype" w:hAnsi="Palatino Linotype"/>
                <w:sz w:val="20"/>
                <w:szCs w:val="20"/>
              </w:rPr>
              <w:t>01/06/2021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514C4F69" w14:textId="77777777" w:rsidR="00F025AD" w:rsidRPr="007C6D7E" w:rsidRDefault="00F025AD" w:rsidP="00F025AD">
            <w:pPr>
              <w:jc w:val="both"/>
              <w:rPr>
                <w:rFonts w:ascii="Palatino Linotype" w:hAnsi="Palatino Linotype"/>
                <w:sz w:val="20"/>
                <w:szCs w:val="20"/>
              </w:rPr>
            </w:pPr>
            <w:r w:rsidRPr="007C6D7E">
              <w:rPr>
                <w:rFonts w:ascii="Palatino Linotype" w:hAnsi="Palatino Linotype"/>
                <w:sz w:val="20"/>
                <w:szCs w:val="20"/>
              </w:rPr>
              <w:t>Research Infotech, proprietor Jasmeet Kaur Bagga</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778F5246" w14:textId="77777777" w:rsidR="00F025AD" w:rsidRPr="007C6D7E" w:rsidRDefault="00F025AD" w:rsidP="00F025AD">
            <w:pPr>
              <w:jc w:val="both"/>
              <w:rPr>
                <w:rFonts w:ascii="Palatino Linotype" w:hAnsi="Palatino Linotype"/>
                <w:sz w:val="20"/>
                <w:szCs w:val="20"/>
              </w:rPr>
            </w:pPr>
            <w:r w:rsidRPr="007C6D7E">
              <w:rPr>
                <w:rFonts w:ascii="Palatino Linotype" w:hAnsi="Palatino Linotype"/>
                <w:sz w:val="20"/>
                <w:szCs w:val="20"/>
              </w:rPr>
              <w:t>11B</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50542D2F" w14:textId="77777777" w:rsidR="00F025AD" w:rsidRPr="007C6D7E" w:rsidRDefault="00F025AD" w:rsidP="00F025AD">
            <w:pPr>
              <w:jc w:val="both"/>
              <w:rPr>
                <w:rFonts w:ascii="Palatino Linotype" w:hAnsi="Palatino Linotype"/>
                <w:sz w:val="20"/>
                <w:szCs w:val="20"/>
              </w:rPr>
            </w:pPr>
            <w:r w:rsidRPr="007C6D7E">
              <w:rPr>
                <w:rFonts w:ascii="Palatino Linotype" w:hAnsi="Palatino Linotype"/>
                <w:sz w:val="20"/>
                <w:szCs w:val="20"/>
              </w:rPr>
              <w:t>Research Infotech, proprietor Jasmeet Kaur Bagga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8563153" w14:textId="77777777" w:rsidR="00F025AD" w:rsidRPr="007C6D7E" w:rsidRDefault="00F025AD" w:rsidP="00F025AD">
            <w:pPr>
              <w:shd w:val="clear" w:color="auto" w:fill="FFFFFF"/>
              <w:rPr>
                <w:rFonts w:ascii="Palatino Linotype" w:hAnsi="Palatino Linotype"/>
                <w:sz w:val="20"/>
                <w:szCs w:val="20"/>
              </w:rPr>
            </w:pPr>
            <w:r w:rsidRPr="007C6D7E">
              <w:rPr>
                <w:rFonts w:ascii="Palatino Linotype" w:hAnsi="Palatino Linotype"/>
                <w:sz w:val="20"/>
                <w:szCs w:val="20"/>
              </w:rPr>
              <w:t xml:space="preserve">Regulation  15  (1),  clauses  1,  2,  5  and  6  of  the  Code  of Conduct for investment adviser </w:t>
            </w:r>
          </w:p>
          <w:p w14:paraId="2DAF2168" w14:textId="77777777" w:rsidR="00F025AD" w:rsidRPr="007C6D7E" w:rsidRDefault="00F025AD" w:rsidP="00F025AD">
            <w:pPr>
              <w:shd w:val="clear" w:color="auto" w:fill="FFFFFF"/>
              <w:jc w:val="both"/>
              <w:rPr>
                <w:rFonts w:ascii="Palatino Linotype" w:hAnsi="Palatino Linotype"/>
                <w:sz w:val="20"/>
                <w:szCs w:val="20"/>
              </w:rPr>
            </w:pPr>
            <w:r w:rsidRPr="007C6D7E">
              <w:rPr>
                <w:rFonts w:ascii="Palatino Linotype" w:hAnsi="Palatino Linotype"/>
                <w:sz w:val="20"/>
                <w:szCs w:val="20"/>
              </w:rPr>
              <w:t xml:space="preserve">read with regulation 15(9) of SEBI (Investment Advisers) Regulations, 2013 and Section 12A(a), (b) and (c) of the SEBI Act,1992 and </w:t>
            </w:r>
          </w:p>
          <w:p w14:paraId="32A16DF8" w14:textId="77777777" w:rsidR="00F025AD" w:rsidRPr="007C6D7E" w:rsidRDefault="00F025AD" w:rsidP="00F025AD">
            <w:pPr>
              <w:shd w:val="clear" w:color="auto" w:fill="FFFFFF"/>
              <w:jc w:val="both"/>
              <w:rPr>
                <w:rFonts w:ascii="Palatino Linotype" w:hAnsi="Palatino Linotype"/>
                <w:sz w:val="20"/>
                <w:szCs w:val="20"/>
              </w:rPr>
            </w:pPr>
          </w:p>
          <w:p w14:paraId="76049F1A" w14:textId="77777777" w:rsidR="00F025AD" w:rsidRPr="007C6D7E" w:rsidRDefault="00F025AD" w:rsidP="00F025AD">
            <w:pPr>
              <w:shd w:val="clear" w:color="auto" w:fill="FFFFFF"/>
              <w:jc w:val="both"/>
              <w:rPr>
                <w:rFonts w:ascii="Palatino Linotype" w:hAnsi="Palatino Linotype"/>
                <w:sz w:val="20"/>
                <w:szCs w:val="20"/>
              </w:rPr>
            </w:pPr>
            <w:r w:rsidRPr="007C6D7E">
              <w:rPr>
                <w:rFonts w:ascii="Palatino Linotype" w:hAnsi="Palatino Linotype"/>
                <w:sz w:val="20"/>
                <w:szCs w:val="20"/>
              </w:rPr>
              <w:t>Regulations 3(b),(c) and(d) and 4(1) and 4(2)(k) of the PFUTP Regulations, 2003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2A58AABF" w14:textId="77777777" w:rsidR="00F025AD" w:rsidRPr="007C6D7E" w:rsidRDefault="00F025AD" w:rsidP="00F025AD">
            <w:pPr>
              <w:jc w:val="right"/>
              <w:rPr>
                <w:rFonts w:ascii="Palatino Linotype" w:hAnsi="Palatino Linotype"/>
                <w:sz w:val="20"/>
                <w:szCs w:val="20"/>
              </w:rPr>
            </w:pPr>
            <w:r w:rsidRPr="007C6D7E">
              <w:rPr>
                <w:rFonts w:ascii="Palatino Linotype" w:hAnsi="Palatino Linotype"/>
                <w:sz w:val="20"/>
                <w:szCs w:val="20"/>
              </w:rPr>
              <w:t>-</w:t>
            </w:r>
          </w:p>
        </w:tc>
      </w:tr>
      <w:tr w:rsidR="00F025AD" w:rsidRPr="00B83873" w14:paraId="38B36305" w14:textId="77777777" w:rsidTr="00F025AD">
        <w:trPr>
          <w:trHeight w:val="300"/>
        </w:trPr>
        <w:tc>
          <w:tcPr>
            <w:tcW w:w="567" w:type="dxa"/>
            <w:tcBorders>
              <w:top w:val="single" w:sz="4" w:space="0" w:color="auto"/>
              <w:left w:val="single" w:sz="4" w:space="0" w:color="auto"/>
              <w:bottom w:val="single" w:sz="4" w:space="0" w:color="auto"/>
              <w:right w:val="single" w:sz="4" w:space="0" w:color="auto"/>
            </w:tcBorders>
          </w:tcPr>
          <w:p w14:paraId="2B83FA05" w14:textId="77777777" w:rsidR="00F025AD" w:rsidRPr="007C6D7E" w:rsidRDefault="00F025AD" w:rsidP="00F025AD">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t>3</w:t>
            </w:r>
          </w:p>
        </w:tc>
        <w:tc>
          <w:tcPr>
            <w:tcW w:w="1276" w:type="dxa"/>
            <w:tcBorders>
              <w:top w:val="single" w:sz="4" w:space="0" w:color="auto"/>
              <w:bottom w:val="single" w:sz="4" w:space="0" w:color="auto"/>
              <w:right w:val="single" w:sz="4" w:space="0" w:color="auto"/>
            </w:tcBorders>
            <w:shd w:val="clear" w:color="auto" w:fill="auto"/>
            <w:noWrap/>
          </w:tcPr>
          <w:p w14:paraId="011B666A" w14:textId="77777777" w:rsidR="00F025AD" w:rsidRPr="007C6D7E" w:rsidRDefault="00F025AD" w:rsidP="00F025AD">
            <w:pPr>
              <w:jc w:val="both"/>
              <w:rPr>
                <w:rFonts w:ascii="Palatino Linotype" w:hAnsi="Palatino Linotype"/>
                <w:sz w:val="20"/>
                <w:szCs w:val="20"/>
              </w:rPr>
            </w:pPr>
            <w:r w:rsidRPr="007C6D7E">
              <w:rPr>
                <w:rFonts w:ascii="Palatino Linotype" w:hAnsi="Palatino Linotype"/>
                <w:sz w:val="20"/>
                <w:szCs w:val="20"/>
              </w:rPr>
              <w:t>01/06/2021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1334A6C2" w14:textId="77777777" w:rsidR="00F025AD" w:rsidRPr="007C6D7E" w:rsidRDefault="00F025AD" w:rsidP="00F025AD">
            <w:pPr>
              <w:jc w:val="both"/>
              <w:rPr>
                <w:rFonts w:ascii="Palatino Linotype" w:hAnsi="Palatino Linotype"/>
                <w:sz w:val="20"/>
                <w:szCs w:val="20"/>
              </w:rPr>
            </w:pPr>
            <w:r w:rsidRPr="007C6D7E">
              <w:rPr>
                <w:rFonts w:ascii="Palatino Linotype" w:hAnsi="Palatino Linotype"/>
                <w:sz w:val="20"/>
                <w:szCs w:val="20"/>
              </w:rPr>
              <w:t>Shantanu Sheorey Aquakult Ltd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65EE276F" w14:textId="77777777" w:rsidR="00F025AD" w:rsidRPr="007C6D7E" w:rsidRDefault="00F025AD" w:rsidP="00F025AD">
            <w:pPr>
              <w:jc w:val="both"/>
              <w:rPr>
                <w:rFonts w:ascii="Palatino Linotype" w:hAnsi="Palatino Linotype"/>
                <w:sz w:val="20"/>
                <w:szCs w:val="20"/>
              </w:rPr>
            </w:pPr>
            <w:r w:rsidRPr="007C6D7E">
              <w:rPr>
                <w:rFonts w:ascii="Palatino Linotype" w:hAnsi="Palatino Linotype"/>
                <w:sz w:val="20"/>
                <w:szCs w:val="20"/>
              </w:rPr>
              <w:t>11B</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7C6BB330" w14:textId="77777777" w:rsidR="00F025AD" w:rsidRPr="007C6D7E" w:rsidRDefault="00F025AD" w:rsidP="00F025AD">
            <w:pPr>
              <w:jc w:val="both"/>
              <w:rPr>
                <w:rFonts w:ascii="Palatino Linotype" w:hAnsi="Palatino Linotype"/>
                <w:sz w:val="20"/>
                <w:szCs w:val="20"/>
              </w:rPr>
            </w:pPr>
            <w:r w:rsidRPr="007C6D7E">
              <w:rPr>
                <w:rFonts w:ascii="Palatino Linotype" w:hAnsi="Palatino Linotype"/>
                <w:sz w:val="20"/>
                <w:szCs w:val="20"/>
              </w:rPr>
              <w:t>ASBN Commodities &amp; Fineserve Pvt. Ltd.</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AC62323" w14:textId="77777777" w:rsidR="00F025AD" w:rsidRPr="007C6D7E" w:rsidRDefault="00F025AD" w:rsidP="00F025AD">
            <w:pPr>
              <w:shd w:val="clear" w:color="auto" w:fill="FFFFFF"/>
              <w:jc w:val="both"/>
              <w:rPr>
                <w:rFonts w:ascii="Palatino Linotype" w:hAnsi="Palatino Linotype"/>
                <w:sz w:val="20"/>
                <w:szCs w:val="20"/>
              </w:rPr>
            </w:pPr>
            <w:r w:rsidRPr="007C6D7E">
              <w:rPr>
                <w:rFonts w:ascii="Palatino Linotype" w:hAnsi="Palatino Linotype"/>
                <w:sz w:val="20"/>
                <w:szCs w:val="20"/>
              </w:rPr>
              <w:t>Regulation  3  (a),  (b),  (c),  (d)  and  4  (1), 4(2),  (a)  and  (e)  of the PFUTP Regulations</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2E3EC25E" w14:textId="77777777" w:rsidR="00F025AD" w:rsidRPr="007C6D7E" w:rsidRDefault="00F025AD" w:rsidP="00F025AD">
            <w:pPr>
              <w:jc w:val="right"/>
              <w:rPr>
                <w:rFonts w:ascii="Palatino Linotype" w:hAnsi="Palatino Linotype"/>
                <w:sz w:val="20"/>
                <w:szCs w:val="20"/>
              </w:rPr>
            </w:pPr>
            <w:r w:rsidRPr="007C6D7E">
              <w:rPr>
                <w:rFonts w:ascii="Palatino Linotype" w:hAnsi="Palatino Linotype"/>
                <w:sz w:val="20"/>
                <w:szCs w:val="20"/>
              </w:rPr>
              <w:t>-</w:t>
            </w:r>
          </w:p>
        </w:tc>
      </w:tr>
      <w:tr w:rsidR="00F025AD" w:rsidRPr="00B83873" w14:paraId="1A83696B" w14:textId="77777777" w:rsidTr="00F025AD">
        <w:trPr>
          <w:trHeight w:val="300"/>
        </w:trPr>
        <w:tc>
          <w:tcPr>
            <w:tcW w:w="567" w:type="dxa"/>
            <w:tcBorders>
              <w:top w:val="single" w:sz="4" w:space="0" w:color="auto"/>
              <w:left w:val="single" w:sz="4" w:space="0" w:color="auto"/>
              <w:bottom w:val="single" w:sz="4" w:space="0" w:color="auto"/>
              <w:right w:val="single" w:sz="4" w:space="0" w:color="auto"/>
            </w:tcBorders>
          </w:tcPr>
          <w:p w14:paraId="54EA8C9C" w14:textId="77777777" w:rsidR="00F025AD" w:rsidRPr="007C6D7E" w:rsidRDefault="00F025AD" w:rsidP="00F025AD">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t>4</w:t>
            </w:r>
          </w:p>
        </w:tc>
        <w:tc>
          <w:tcPr>
            <w:tcW w:w="1276" w:type="dxa"/>
            <w:tcBorders>
              <w:top w:val="single" w:sz="4" w:space="0" w:color="auto"/>
              <w:bottom w:val="single" w:sz="4" w:space="0" w:color="auto"/>
              <w:right w:val="single" w:sz="4" w:space="0" w:color="auto"/>
            </w:tcBorders>
            <w:shd w:val="clear" w:color="auto" w:fill="auto"/>
            <w:noWrap/>
          </w:tcPr>
          <w:p w14:paraId="452115B0" w14:textId="77777777" w:rsidR="00F025AD" w:rsidRPr="007C6D7E" w:rsidRDefault="00F025AD" w:rsidP="00F025AD">
            <w:pPr>
              <w:jc w:val="both"/>
              <w:rPr>
                <w:rFonts w:ascii="Palatino Linotype" w:hAnsi="Palatino Linotype"/>
                <w:sz w:val="20"/>
                <w:szCs w:val="20"/>
              </w:rPr>
            </w:pPr>
            <w:r w:rsidRPr="007C6D7E">
              <w:rPr>
                <w:rFonts w:ascii="Palatino Linotype" w:hAnsi="Palatino Linotype"/>
                <w:sz w:val="20"/>
                <w:szCs w:val="20"/>
              </w:rPr>
              <w:t>03/06/2021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2149D2B0" w14:textId="77777777" w:rsidR="00F025AD" w:rsidRPr="007C6D7E" w:rsidRDefault="00F025AD" w:rsidP="00F025AD">
            <w:pPr>
              <w:jc w:val="both"/>
              <w:rPr>
                <w:rFonts w:ascii="Palatino Linotype" w:hAnsi="Palatino Linotype"/>
                <w:sz w:val="20"/>
                <w:szCs w:val="20"/>
              </w:rPr>
            </w:pPr>
            <w:r w:rsidRPr="007C6D7E">
              <w:rPr>
                <w:rFonts w:ascii="Palatino Linotype" w:hAnsi="Palatino Linotype"/>
                <w:sz w:val="20"/>
                <w:szCs w:val="20"/>
              </w:rPr>
              <w:t>Wildstock (Proprietor: Mr. Sanjeev Singh)</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282463EF" w14:textId="77777777" w:rsidR="00F025AD" w:rsidRPr="007C6D7E" w:rsidRDefault="00F025AD" w:rsidP="00F025AD">
            <w:pPr>
              <w:jc w:val="both"/>
              <w:rPr>
                <w:rFonts w:ascii="Palatino Linotype" w:hAnsi="Palatino Linotype"/>
                <w:sz w:val="20"/>
                <w:szCs w:val="20"/>
              </w:rPr>
            </w:pPr>
            <w:r w:rsidRPr="007C6D7E">
              <w:rPr>
                <w:rFonts w:ascii="Palatino Linotype" w:hAnsi="Palatino Linotype"/>
                <w:sz w:val="20"/>
                <w:szCs w:val="20"/>
              </w:rPr>
              <w:t>11B</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171A91EE" w14:textId="77777777" w:rsidR="00F025AD" w:rsidRPr="007C6D7E" w:rsidRDefault="00F025AD" w:rsidP="00F025AD">
            <w:pPr>
              <w:jc w:val="both"/>
              <w:rPr>
                <w:rFonts w:ascii="Palatino Linotype" w:hAnsi="Palatino Linotype"/>
                <w:sz w:val="20"/>
                <w:szCs w:val="20"/>
              </w:rPr>
            </w:pPr>
            <w:r w:rsidRPr="007C6D7E">
              <w:rPr>
                <w:rFonts w:ascii="Palatino Linotype" w:hAnsi="Palatino Linotype"/>
                <w:sz w:val="20"/>
                <w:szCs w:val="20"/>
              </w:rPr>
              <w:t>Wildstock (Proprietor: Mr. Sanjeev Singh)</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15D2396" w14:textId="77777777" w:rsidR="00F025AD" w:rsidRPr="007C6D7E" w:rsidRDefault="00F025AD" w:rsidP="00F025AD">
            <w:pPr>
              <w:shd w:val="clear" w:color="auto" w:fill="FFFFFF"/>
              <w:jc w:val="both"/>
              <w:rPr>
                <w:rFonts w:ascii="Palatino Linotype" w:hAnsi="Palatino Linotype"/>
                <w:sz w:val="20"/>
                <w:szCs w:val="20"/>
              </w:rPr>
            </w:pPr>
            <w:r w:rsidRPr="007C6D7E">
              <w:rPr>
                <w:rFonts w:ascii="Palatino Linotype" w:hAnsi="Palatino Linotype"/>
                <w:sz w:val="20"/>
                <w:szCs w:val="20"/>
              </w:rPr>
              <w:t>Section 12A (c) of SEBI Act, 1992 and Regulations 3(d) and Regulations 4(1), 4(2)(k)  of  PFUTP  Regulations, 2003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1D2B2050" w14:textId="77777777" w:rsidR="00F025AD" w:rsidRPr="007C6D7E" w:rsidRDefault="00F025AD" w:rsidP="00F025AD">
            <w:pPr>
              <w:jc w:val="right"/>
              <w:rPr>
                <w:rFonts w:ascii="Palatino Linotype" w:hAnsi="Palatino Linotype"/>
                <w:sz w:val="20"/>
                <w:szCs w:val="20"/>
              </w:rPr>
            </w:pPr>
            <w:r w:rsidRPr="007C6D7E">
              <w:rPr>
                <w:rFonts w:ascii="Palatino Linotype" w:hAnsi="Palatino Linotype"/>
                <w:sz w:val="20"/>
                <w:szCs w:val="20"/>
              </w:rPr>
              <w:t>-</w:t>
            </w:r>
          </w:p>
        </w:tc>
      </w:tr>
      <w:tr w:rsidR="00F025AD" w:rsidRPr="00B83873" w14:paraId="1195B3E1" w14:textId="77777777" w:rsidTr="00F025AD">
        <w:trPr>
          <w:trHeight w:val="300"/>
        </w:trPr>
        <w:tc>
          <w:tcPr>
            <w:tcW w:w="567" w:type="dxa"/>
            <w:tcBorders>
              <w:top w:val="single" w:sz="4" w:space="0" w:color="auto"/>
              <w:left w:val="single" w:sz="4" w:space="0" w:color="auto"/>
              <w:bottom w:val="single" w:sz="4" w:space="0" w:color="auto"/>
              <w:right w:val="single" w:sz="4" w:space="0" w:color="auto"/>
            </w:tcBorders>
          </w:tcPr>
          <w:p w14:paraId="3E6FE4DE" w14:textId="77777777" w:rsidR="00F025AD" w:rsidRPr="007C6D7E" w:rsidRDefault="00F025AD" w:rsidP="00F025AD">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t>5</w:t>
            </w:r>
          </w:p>
        </w:tc>
        <w:tc>
          <w:tcPr>
            <w:tcW w:w="1276" w:type="dxa"/>
            <w:tcBorders>
              <w:top w:val="single" w:sz="4" w:space="0" w:color="auto"/>
              <w:bottom w:val="single" w:sz="4" w:space="0" w:color="auto"/>
              <w:right w:val="single" w:sz="4" w:space="0" w:color="auto"/>
            </w:tcBorders>
            <w:shd w:val="clear" w:color="auto" w:fill="auto"/>
            <w:noWrap/>
          </w:tcPr>
          <w:p w14:paraId="65ABFEEC" w14:textId="77777777" w:rsidR="00F025AD" w:rsidRPr="007C6D7E" w:rsidRDefault="00F025AD" w:rsidP="00F025AD">
            <w:pPr>
              <w:jc w:val="both"/>
              <w:rPr>
                <w:rFonts w:ascii="Palatino Linotype" w:hAnsi="Palatino Linotype"/>
                <w:sz w:val="20"/>
                <w:szCs w:val="20"/>
              </w:rPr>
            </w:pPr>
            <w:r w:rsidRPr="007C6D7E">
              <w:rPr>
                <w:rFonts w:ascii="Palatino Linotype" w:hAnsi="Palatino Linotype"/>
                <w:sz w:val="20"/>
                <w:szCs w:val="20"/>
              </w:rPr>
              <w:t>03/06/2021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125FA19E" w14:textId="77777777" w:rsidR="00F025AD" w:rsidRPr="007C6D7E" w:rsidRDefault="00F025AD" w:rsidP="00F025AD">
            <w:pPr>
              <w:jc w:val="both"/>
              <w:rPr>
                <w:rFonts w:ascii="Palatino Linotype" w:hAnsi="Palatino Linotype"/>
                <w:sz w:val="20"/>
                <w:szCs w:val="20"/>
              </w:rPr>
            </w:pPr>
            <w:r w:rsidRPr="007C6D7E">
              <w:rPr>
                <w:rFonts w:ascii="Palatino Linotype" w:hAnsi="Palatino Linotype"/>
                <w:sz w:val="20"/>
                <w:szCs w:val="20"/>
              </w:rPr>
              <w:t>Future Investment</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79C7E3DE" w14:textId="77777777" w:rsidR="00F025AD" w:rsidRPr="007C6D7E" w:rsidRDefault="00F025AD" w:rsidP="00F025AD">
            <w:pPr>
              <w:jc w:val="both"/>
              <w:rPr>
                <w:rFonts w:ascii="Palatino Linotype" w:hAnsi="Palatino Linotype"/>
                <w:sz w:val="20"/>
                <w:szCs w:val="20"/>
              </w:rPr>
            </w:pPr>
            <w:r w:rsidRPr="007C6D7E">
              <w:rPr>
                <w:rFonts w:ascii="Palatino Linotype" w:hAnsi="Palatino Linotype"/>
                <w:sz w:val="20"/>
                <w:szCs w:val="20"/>
              </w:rPr>
              <w:t>11B</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047DA1B4" w14:textId="77777777" w:rsidR="00F025AD" w:rsidRPr="007C6D7E" w:rsidRDefault="00F025AD" w:rsidP="00F025AD">
            <w:pPr>
              <w:jc w:val="both"/>
              <w:rPr>
                <w:rFonts w:ascii="Palatino Linotype" w:hAnsi="Palatino Linotype"/>
                <w:sz w:val="20"/>
                <w:szCs w:val="20"/>
              </w:rPr>
            </w:pPr>
            <w:r w:rsidRPr="007C6D7E">
              <w:rPr>
                <w:rFonts w:ascii="Palatino Linotype" w:hAnsi="Palatino Linotype"/>
                <w:sz w:val="20"/>
                <w:szCs w:val="20"/>
              </w:rPr>
              <w:t>Pinky Kelva, Proprietor of Future Investment</w:t>
            </w:r>
          </w:p>
        </w:tc>
        <w:tc>
          <w:tcPr>
            <w:tcW w:w="2268" w:type="dxa"/>
            <w:tcBorders>
              <w:top w:val="single" w:sz="4" w:space="0" w:color="auto"/>
              <w:left w:val="single" w:sz="4" w:space="0" w:color="auto"/>
              <w:bottom w:val="single" w:sz="4" w:space="0" w:color="auto"/>
              <w:right w:val="single" w:sz="4" w:space="0" w:color="auto"/>
            </w:tcBorders>
            <w:shd w:val="clear" w:color="auto" w:fill="auto"/>
            <w:noWrap/>
          </w:tcPr>
          <w:p w14:paraId="62B13926" w14:textId="77777777" w:rsidR="00F025AD" w:rsidRPr="007C6D7E" w:rsidRDefault="00F025AD" w:rsidP="00F025AD">
            <w:pPr>
              <w:shd w:val="clear" w:color="auto" w:fill="FFFFFF"/>
              <w:jc w:val="both"/>
              <w:rPr>
                <w:rFonts w:ascii="Palatino Linotype" w:hAnsi="Palatino Linotype"/>
                <w:sz w:val="20"/>
                <w:szCs w:val="20"/>
              </w:rPr>
            </w:pPr>
            <w:r w:rsidRPr="007C6D7E">
              <w:rPr>
                <w:rFonts w:ascii="Palatino Linotype" w:hAnsi="Palatino Linotype"/>
                <w:sz w:val="20"/>
                <w:szCs w:val="20"/>
              </w:rPr>
              <w:t xml:space="preserve">Regulations 16 and 17 of the IA Regulations, 2013 and the provisions of PFUTP </w:t>
            </w:r>
            <w:r w:rsidRPr="007C6D7E">
              <w:rPr>
                <w:rFonts w:ascii="Palatino Linotype" w:hAnsi="Palatino Linotype"/>
                <w:sz w:val="20"/>
                <w:szCs w:val="20"/>
              </w:rPr>
              <w:lastRenderedPageBreak/>
              <w:t>Regulations, 2003, as outlined in the Interim Order</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43EA60F0" w14:textId="77777777" w:rsidR="00F025AD" w:rsidRPr="007C6D7E" w:rsidRDefault="00F025AD" w:rsidP="00F025AD">
            <w:pPr>
              <w:jc w:val="right"/>
              <w:rPr>
                <w:rFonts w:ascii="Palatino Linotype" w:hAnsi="Palatino Linotype"/>
                <w:sz w:val="20"/>
                <w:szCs w:val="20"/>
              </w:rPr>
            </w:pPr>
            <w:r w:rsidRPr="007C6D7E">
              <w:rPr>
                <w:rFonts w:ascii="Palatino Linotype" w:hAnsi="Palatino Linotype"/>
                <w:sz w:val="20"/>
                <w:szCs w:val="20"/>
              </w:rPr>
              <w:lastRenderedPageBreak/>
              <w:t>-</w:t>
            </w:r>
          </w:p>
        </w:tc>
      </w:tr>
      <w:tr w:rsidR="00F025AD" w:rsidRPr="00B83873" w14:paraId="4CC8FE04" w14:textId="77777777" w:rsidTr="00F025AD">
        <w:trPr>
          <w:trHeight w:val="300"/>
        </w:trPr>
        <w:tc>
          <w:tcPr>
            <w:tcW w:w="567" w:type="dxa"/>
            <w:tcBorders>
              <w:top w:val="single" w:sz="4" w:space="0" w:color="auto"/>
              <w:left w:val="single" w:sz="4" w:space="0" w:color="auto"/>
              <w:bottom w:val="single" w:sz="4" w:space="0" w:color="auto"/>
              <w:right w:val="single" w:sz="4" w:space="0" w:color="auto"/>
            </w:tcBorders>
          </w:tcPr>
          <w:p w14:paraId="3722664D" w14:textId="77777777" w:rsidR="00F025AD" w:rsidRPr="007C6D7E" w:rsidRDefault="00F025AD" w:rsidP="00F025AD">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lastRenderedPageBreak/>
              <w:t>6</w:t>
            </w:r>
          </w:p>
        </w:tc>
        <w:tc>
          <w:tcPr>
            <w:tcW w:w="1276" w:type="dxa"/>
            <w:tcBorders>
              <w:top w:val="single" w:sz="4" w:space="0" w:color="auto"/>
              <w:bottom w:val="single" w:sz="4" w:space="0" w:color="auto"/>
              <w:right w:val="single" w:sz="4" w:space="0" w:color="auto"/>
            </w:tcBorders>
            <w:shd w:val="clear" w:color="auto" w:fill="auto"/>
            <w:noWrap/>
          </w:tcPr>
          <w:p w14:paraId="3DBB6E37" w14:textId="77777777" w:rsidR="00F025AD" w:rsidRPr="007C6D7E" w:rsidRDefault="00F025AD" w:rsidP="00F025AD">
            <w:pPr>
              <w:jc w:val="both"/>
              <w:rPr>
                <w:rFonts w:ascii="Palatino Linotype" w:hAnsi="Palatino Linotype"/>
                <w:sz w:val="20"/>
                <w:szCs w:val="20"/>
              </w:rPr>
            </w:pPr>
            <w:r w:rsidRPr="007C6D7E">
              <w:rPr>
                <w:rFonts w:ascii="Palatino Linotype" w:hAnsi="Palatino Linotype"/>
                <w:sz w:val="20"/>
                <w:szCs w:val="20"/>
              </w:rPr>
              <w:t>04/06/2021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5A801071" w14:textId="77777777" w:rsidR="00F025AD" w:rsidRPr="007C6D7E" w:rsidRDefault="00F025AD" w:rsidP="00F025AD">
            <w:pPr>
              <w:jc w:val="both"/>
              <w:rPr>
                <w:rFonts w:ascii="Palatino Linotype" w:hAnsi="Palatino Linotype"/>
                <w:sz w:val="20"/>
                <w:szCs w:val="20"/>
              </w:rPr>
            </w:pPr>
            <w:r w:rsidRPr="007C6D7E">
              <w:rPr>
                <w:rFonts w:ascii="Palatino Linotype" w:hAnsi="Palatino Linotype"/>
                <w:sz w:val="20"/>
                <w:szCs w:val="20"/>
              </w:rPr>
              <w:t>Tips4Market  (Proprietor: Mahesh  Vaghajibhai Ramani)</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7E039E6E" w14:textId="77777777" w:rsidR="00F025AD" w:rsidRPr="007C6D7E" w:rsidRDefault="00F025AD" w:rsidP="00F025AD">
            <w:pPr>
              <w:jc w:val="both"/>
              <w:rPr>
                <w:rFonts w:ascii="Palatino Linotype" w:hAnsi="Palatino Linotype"/>
                <w:sz w:val="20"/>
                <w:szCs w:val="20"/>
              </w:rPr>
            </w:pPr>
            <w:r w:rsidRPr="007C6D7E">
              <w:rPr>
                <w:rFonts w:ascii="Palatino Linotype" w:hAnsi="Palatino Linotype"/>
                <w:sz w:val="20"/>
                <w:szCs w:val="20"/>
              </w:rPr>
              <w:t>11B</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6BE1EAED" w14:textId="77777777" w:rsidR="00F025AD" w:rsidRPr="007C6D7E" w:rsidRDefault="00F025AD" w:rsidP="00F025AD">
            <w:pPr>
              <w:jc w:val="both"/>
              <w:rPr>
                <w:rFonts w:ascii="Palatino Linotype" w:hAnsi="Palatino Linotype"/>
                <w:sz w:val="20"/>
                <w:szCs w:val="20"/>
              </w:rPr>
            </w:pPr>
            <w:r w:rsidRPr="007C6D7E">
              <w:rPr>
                <w:rFonts w:ascii="Palatino Linotype" w:hAnsi="Palatino Linotype"/>
                <w:sz w:val="20"/>
                <w:szCs w:val="20"/>
              </w:rPr>
              <w:t>Tips4Market  (Proprietor: Mahesh  Vaghajibhai Ramani)</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4FE87CC" w14:textId="77777777" w:rsidR="00F025AD" w:rsidRPr="007C6D7E" w:rsidRDefault="00F025AD" w:rsidP="00F025AD">
            <w:pPr>
              <w:shd w:val="clear" w:color="auto" w:fill="FFFFFF"/>
              <w:jc w:val="both"/>
              <w:rPr>
                <w:rFonts w:ascii="Palatino Linotype" w:hAnsi="Palatino Linotype"/>
                <w:sz w:val="20"/>
                <w:szCs w:val="20"/>
              </w:rPr>
            </w:pPr>
            <w:r w:rsidRPr="007C6D7E">
              <w:rPr>
                <w:rFonts w:ascii="Palatino Linotype" w:hAnsi="Palatino Linotype"/>
                <w:sz w:val="20"/>
                <w:szCs w:val="20"/>
              </w:rPr>
              <w:t>Section 12(1) of SEBI Act, 1992 read with Regulation 3(1) of the IA Regulations, 2013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43AC8722" w14:textId="77777777" w:rsidR="00F025AD" w:rsidRPr="007C6D7E" w:rsidRDefault="00F025AD" w:rsidP="00F025AD">
            <w:pPr>
              <w:jc w:val="right"/>
              <w:rPr>
                <w:rFonts w:ascii="Palatino Linotype" w:hAnsi="Palatino Linotype"/>
                <w:sz w:val="20"/>
                <w:szCs w:val="20"/>
              </w:rPr>
            </w:pPr>
            <w:r w:rsidRPr="007C6D7E">
              <w:rPr>
                <w:rFonts w:ascii="Palatino Linotype" w:hAnsi="Palatino Linotype"/>
                <w:sz w:val="20"/>
                <w:szCs w:val="20"/>
              </w:rPr>
              <w:t>-</w:t>
            </w:r>
          </w:p>
        </w:tc>
      </w:tr>
      <w:tr w:rsidR="00F025AD" w:rsidRPr="00B83873" w14:paraId="55B2D86C" w14:textId="77777777" w:rsidTr="00F025AD">
        <w:trPr>
          <w:trHeight w:val="300"/>
        </w:trPr>
        <w:tc>
          <w:tcPr>
            <w:tcW w:w="567" w:type="dxa"/>
            <w:tcBorders>
              <w:top w:val="single" w:sz="4" w:space="0" w:color="auto"/>
              <w:left w:val="single" w:sz="4" w:space="0" w:color="auto"/>
              <w:bottom w:val="single" w:sz="4" w:space="0" w:color="auto"/>
              <w:right w:val="single" w:sz="4" w:space="0" w:color="auto"/>
            </w:tcBorders>
          </w:tcPr>
          <w:p w14:paraId="55C5B10D" w14:textId="77777777" w:rsidR="00F025AD" w:rsidRPr="007C6D7E" w:rsidRDefault="00F025AD" w:rsidP="00F025AD">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t>7</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1C261225" w14:textId="77777777" w:rsidR="00F025AD" w:rsidRPr="007C6D7E" w:rsidRDefault="00F025AD" w:rsidP="00F025AD">
            <w:pPr>
              <w:jc w:val="both"/>
              <w:rPr>
                <w:rFonts w:ascii="Palatino Linotype" w:eastAsia="Calibri" w:hAnsi="Palatino Linotype" w:cs="Mangal"/>
                <w:sz w:val="20"/>
                <w:szCs w:val="20"/>
              </w:rPr>
            </w:pPr>
            <w:r w:rsidRPr="007C6D7E">
              <w:rPr>
                <w:rFonts w:ascii="Palatino Linotype" w:eastAsia="Calibri" w:hAnsi="Palatino Linotype" w:cs="Mangal"/>
                <w:sz w:val="20"/>
                <w:szCs w:val="20"/>
              </w:rPr>
              <w:t>07/06/2021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7B92E7C9" w14:textId="77777777" w:rsidR="00F025AD" w:rsidRPr="007C6D7E" w:rsidRDefault="00F025AD" w:rsidP="00F025AD">
            <w:pPr>
              <w:jc w:val="both"/>
              <w:rPr>
                <w:rFonts w:ascii="Palatino Linotype" w:eastAsia="Calibri" w:hAnsi="Palatino Linotype" w:cs="Mangal"/>
                <w:sz w:val="20"/>
                <w:szCs w:val="20"/>
              </w:rPr>
            </w:pPr>
            <w:r w:rsidRPr="007C6D7E">
              <w:rPr>
                <w:rFonts w:ascii="Palatino Linotype" w:eastAsia="Calibri" w:hAnsi="Palatino Linotype" w:cs="Mangal"/>
                <w:sz w:val="20"/>
                <w:szCs w:val="20"/>
              </w:rPr>
              <w:t>Front Running: Various Funds of Fidelity Group</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4DD2FBC3" w14:textId="77777777" w:rsidR="00F025AD" w:rsidRPr="007C6D7E" w:rsidRDefault="00F025AD" w:rsidP="00F025AD">
            <w:pPr>
              <w:jc w:val="both"/>
              <w:rPr>
                <w:rFonts w:ascii="Palatino Linotype" w:eastAsia="Calibri" w:hAnsi="Palatino Linotype" w:cs="Mangal"/>
                <w:sz w:val="20"/>
                <w:szCs w:val="20"/>
              </w:rPr>
            </w:pPr>
            <w:r w:rsidRPr="007C6D7E">
              <w:rPr>
                <w:rFonts w:ascii="Palatino Linotype" w:eastAsia="Calibri" w:hAnsi="Palatino Linotype" w:cs="Mangal"/>
                <w:sz w:val="20"/>
                <w:szCs w:val="20"/>
              </w:rPr>
              <w:t>11B</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3211377D" w14:textId="77777777" w:rsidR="00F025AD" w:rsidRPr="007C6D7E" w:rsidRDefault="00F025AD" w:rsidP="00F025AD">
            <w:pPr>
              <w:jc w:val="both"/>
              <w:rPr>
                <w:rFonts w:ascii="Palatino Linotype" w:eastAsia="Calibri" w:hAnsi="Palatino Linotype" w:cs="Mangal"/>
                <w:sz w:val="20"/>
                <w:szCs w:val="20"/>
              </w:rPr>
            </w:pPr>
            <w:r w:rsidRPr="007C6D7E">
              <w:rPr>
                <w:rFonts w:ascii="Palatino Linotype" w:eastAsia="Calibri" w:hAnsi="Palatino Linotype" w:cs="Mangal"/>
                <w:sz w:val="20"/>
                <w:szCs w:val="20"/>
              </w:rPr>
              <w:t>Vaibhav Dhadda (alias Avi Dhadda) and 10 Others</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98A9378" w14:textId="77777777" w:rsidR="00F025AD" w:rsidRPr="007C6D7E" w:rsidRDefault="00F025AD" w:rsidP="00F025AD">
            <w:pPr>
              <w:shd w:val="clear" w:color="auto" w:fill="FFFFFF"/>
              <w:jc w:val="both"/>
              <w:rPr>
                <w:rFonts w:ascii="Palatino Linotype" w:eastAsia="Calibri" w:hAnsi="Palatino Linotype" w:cs="Mangal"/>
                <w:sz w:val="20"/>
                <w:szCs w:val="20"/>
              </w:rPr>
            </w:pPr>
            <w:r w:rsidRPr="007C6D7E">
              <w:rPr>
                <w:rFonts w:ascii="Palatino Linotype" w:eastAsia="Calibri" w:hAnsi="Palatino Linotype" w:cs="Mangal"/>
                <w:sz w:val="20"/>
                <w:szCs w:val="20"/>
              </w:rPr>
              <w:t>Sections12A(a), 12A(b), and 12A(c) of SEBI Act, 1992 read with Regulation 3(a), 3(b), 3(c), 3(d), 4(1) and 4(2)(q) of SEBI PFUTP Regulations, 2003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3448535D" w14:textId="77777777" w:rsidR="00F025AD" w:rsidRPr="007C6D7E" w:rsidRDefault="00F025AD" w:rsidP="00F025AD">
            <w:pPr>
              <w:jc w:val="right"/>
              <w:rPr>
                <w:rFonts w:ascii="Palatino Linotype" w:eastAsia="Calibri" w:hAnsi="Palatino Linotype" w:cs="Mangal"/>
                <w:sz w:val="20"/>
                <w:szCs w:val="20"/>
              </w:rPr>
            </w:pPr>
            <w:r w:rsidRPr="007C6D7E">
              <w:rPr>
                <w:rFonts w:ascii="Palatino Linotype" w:eastAsia="Calibri" w:hAnsi="Palatino Linotype" w:cs="Mangal"/>
                <w:sz w:val="20"/>
                <w:szCs w:val="20"/>
              </w:rPr>
              <w:t>-</w:t>
            </w:r>
          </w:p>
        </w:tc>
      </w:tr>
      <w:tr w:rsidR="00F025AD" w:rsidRPr="00B83873" w14:paraId="0124F312" w14:textId="77777777" w:rsidTr="00F025AD">
        <w:trPr>
          <w:trHeight w:val="300"/>
        </w:trPr>
        <w:tc>
          <w:tcPr>
            <w:tcW w:w="567" w:type="dxa"/>
            <w:tcBorders>
              <w:top w:val="single" w:sz="4" w:space="0" w:color="auto"/>
              <w:left w:val="single" w:sz="4" w:space="0" w:color="auto"/>
              <w:bottom w:val="single" w:sz="4" w:space="0" w:color="auto"/>
              <w:right w:val="single" w:sz="4" w:space="0" w:color="auto"/>
            </w:tcBorders>
          </w:tcPr>
          <w:p w14:paraId="49258592" w14:textId="77777777" w:rsidR="00F025AD" w:rsidRPr="007C6D7E" w:rsidRDefault="00F025AD" w:rsidP="00F025AD">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t>8</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3F81FFD1" w14:textId="77777777" w:rsidR="00F025AD" w:rsidRPr="007C6D7E" w:rsidRDefault="00F025AD" w:rsidP="00F025AD">
            <w:pPr>
              <w:jc w:val="both"/>
              <w:rPr>
                <w:rFonts w:ascii="Palatino Linotype" w:eastAsia="Calibri" w:hAnsi="Palatino Linotype" w:cs="Mangal"/>
                <w:sz w:val="20"/>
                <w:szCs w:val="20"/>
              </w:rPr>
            </w:pPr>
            <w:r w:rsidRPr="007C6D7E">
              <w:rPr>
                <w:rFonts w:ascii="Palatino Linotype" w:eastAsia="Calibri" w:hAnsi="Palatino Linotype" w:cs="Mangal"/>
                <w:sz w:val="20"/>
                <w:szCs w:val="20"/>
              </w:rPr>
              <w:t>07/06/2021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793FBD3A" w14:textId="77777777" w:rsidR="00F025AD" w:rsidRPr="007C6D7E" w:rsidRDefault="00F025AD" w:rsidP="00F025AD">
            <w:pPr>
              <w:jc w:val="both"/>
              <w:rPr>
                <w:rFonts w:ascii="Palatino Linotype" w:eastAsia="Calibri" w:hAnsi="Palatino Linotype" w:cs="Mangal"/>
                <w:sz w:val="20"/>
                <w:szCs w:val="20"/>
              </w:rPr>
            </w:pPr>
            <w:r w:rsidRPr="007C6D7E">
              <w:rPr>
                <w:rFonts w:ascii="Palatino Linotype" w:eastAsia="Calibri" w:hAnsi="Palatino Linotype" w:cs="Mangal"/>
                <w:sz w:val="20"/>
                <w:szCs w:val="20"/>
              </w:rPr>
              <w:t>Franklin Templeton Asset Management Company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1D4B6524" w14:textId="77777777" w:rsidR="00F025AD" w:rsidRPr="007C6D7E" w:rsidRDefault="00F025AD" w:rsidP="00F025AD">
            <w:pPr>
              <w:jc w:val="both"/>
              <w:rPr>
                <w:rFonts w:ascii="Palatino Linotype" w:eastAsia="Calibri" w:hAnsi="Palatino Linotype" w:cs="Mangal"/>
                <w:sz w:val="20"/>
                <w:szCs w:val="20"/>
              </w:rPr>
            </w:pPr>
            <w:r w:rsidRPr="007C6D7E">
              <w:rPr>
                <w:rFonts w:ascii="Palatino Linotype" w:eastAsia="Calibri" w:hAnsi="Palatino Linotype" w:cs="Mangal"/>
                <w:sz w:val="20"/>
                <w:szCs w:val="20"/>
              </w:rPr>
              <w:t>11B</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7073CE59" w14:textId="77777777" w:rsidR="00F025AD" w:rsidRPr="007C6D7E" w:rsidRDefault="00F025AD" w:rsidP="00F025AD">
            <w:pPr>
              <w:jc w:val="both"/>
              <w:rPr>
                <w:rFonts w:ascii="Palatino Linotype" w:eastAsia="Calibri" w:hAnsi="Palatino Linotype" w:cs="Mangal"/>
                <w:sz w:val="20"/>
                <w:szCs w:val="20"/>
              </w:rPr>
            </w:pPr>
            <w:r w:rsidRPr="007C6D7E">
              <w:rPr>
                <w:rFonts w:ascii="Palatino Linotype" w:eastAsia="Calibri" w:hAnsi="Palatino Linotype" w:cs="Mangal"/>
                <w:sz w:val="20"/>
                <w:szCs w:val="20"/>
              </w:rPr>
              <w:t>Franklin Templeton asset management (India) Pvt ltd</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5C015FC" w14:textId="77777777" w:rsidR="00F025AD" w:rsidRPr="007C6D7E" w:rsidRDefault="00F025AD" w:rsidP="00F025AD">
            <w:pPr>
              <w:shd w:val="clear" w:color="auto" w:fill="FFFFFF"/>
              <w:jc w:val="both"/>
              <w:rPr>
                <w:rFonts w:ascii="Palatino Linotype" w:eastAsia="Calibri" w:hAnsi="Palatino Linotype" w:cs="Mangal"/>
                <w:sz w:val="20"/>
                <w:szCs w:val="20"/>
              </w:rPr>
            </w:pPr>
            <w:r w:rsidRPr="007C6D7E">
              <w:rPr>
                <w:rFonts w:ascii="Palatino Linotype" w:eastAsia="Calibri" w:hAnsi="Palatino Linotype" w:cs="Mangal"/>
                <w:sz w:val="20"/>
                <w:szCs w:val="20"/>
              </w:rPr>
              <w:t xml:space="preserve">Regulations </w:t>
            </w:r>
          </w:p>
          <w:p w14:paraId="55181C84" w14:textId="77777777" w:rsidR="00F025AD" w:rsidRPr="007C6D7E" w:rsidRDefault="00F025AD" w:rsidP="00F025AD">
            <w:pPr>
              <w:shd w:val="clear" w:color="auto" w:fill="FFFFFF"/>
              <w:jc w:val="both"/>
              <w:rPr>
                <w:rFonts w:ascii="Palatino Linotype" w:eastAsia="Calibri" w:hAnsi="Palatino Linotype" w:cs="Mangal"/>
                <w:sz w:val="20"/>
                <w:szCs w:val="20"/>
              </w:rPr>
            </w:pPr>
            <w:r w:rsidRPr="007C6D7E">
              <w:rPr>
                <w:rFonts w:ascii="Palatino Linotype" w:eastAsia="Calibri" w:hAnsi="Palatino Linotype" w:cs="Mangal"/>
                <w:sz w:val="20"/>
                <w:szCs w:val="20"/>
              </w:rPr>
              <w:t xml:space="preserve">25(1), 25(2), 25(3), 25(6A), 25(6B), 25(16), Clauses (2), (6), (8) and (9) of the Code of Conduct as specified in Fifth Schedule of the Mutual Fund Regulations and the SEBI Circular dated July </w:t>
            </w:r>
          </w:p>
          <w:p w14:paraId="190AE818" w14:textId="77777777" w:rsidR="00F025AD" w:rsidRPr="007C6D7E" w:rsidRDefault="00F025AD" w:rsidP="00F025AD">
            <w:pPr>
              <w:shd w:val="clear" w:color="auto" w:fill="FFFFFF"/>
              <w:jc w:val="both"/>
              <w:rPr>
                <w:rFonts w:ascii="Palatino Linotype" w:eastAsia="Calibri" w:hAnsi="Palatino Linotype" w:cs="Mangal"/>
                <w:sz w:val="20"/>
                <w:szCs w:val="20"/>
              </w:rPr>
            </w:pPr>
            <w:r w:rsidRPr="007C6D7E">
              <w:rPr>
                <w:rFonts w:ascii="Palatino Linotype" w:eastAsia="Calibri" w:hAnsi="Palatino Linotype" w:cs="Mangal"/>
                <w:sz w:val="20"/>
                <w:szCs w:val="20"/>
              </w:rPr>
              <w:t xml:space="preserve">27, 2000. </w:t>
            </w:r>
          </w:p>
          <w:p w14:paraId="5276A906" w14:textId="77777777" w:rsidR="00F025AD" w:rsidRPr="007C6D7E" w:rsidRDefault="00F025AD" w:rsidP="00F025AD">
            <w:pPr>
              <w:shd w:val="clear" w:color="auto" w:fill="FFFFFF"/>
              <w:rPr>
                <w:rFonts w:ascii="Palatino Linotype" w:eastAsia="Calibri" w:hAnsi="Palatino Linotype" w:cs="Mangal"/>
                <w:sz w:val="20"/>
                <w:szCs w:val="20"/>
              </w:rPr>
            </w:pPr>
          </w:p>
          <w:p w14:paraId="2D3F2FE3" w14:textId="77777777" w:rsidR="00F025AD" w:rsidRPr="007C6D7E" w:rsidRDefault="00F025AD" w:rsidP="00F025AD">
            <w:pPr>
              <w:shd w:val="clear" w:color="auto" w:fill="FFFFFF"/>
              <w:jc w:val="both"/>
              <w:rPr>
                <w:rFonts w:ascii="Palatino Linotype" w:eastAsia="Calibri" w:hAnsi="Palatino Linotype" w:cs="Mangal"/>
                <w:sz w:val="20"/>
                <w:szCs w:val="20"/>
              </w:rPr>
            </w:pPr>
            <w:r w:rsidRPr="007C6D7E">
              <w:rPr>
                <w:rFonts w:ascii="Palatino Linotype" w:eastAsia="Calibri" w:hAnsi="Palatino Linotype" w:cs="Mangal"/>
                <w:sz w:val="20"/>
                <w:szCs w:val="20"/>
              </w:rPr>
              <w:t xml:space="preserve">Regulation 39(2)(a) of the SEBI (Mutual Funds) Regulations, 1996 </w:t>
            </w:r>
          </w:p>
          <w:p w14:paraId="6C1CCFBC" w14:textId="77777777" w:rsidR="00F025AD" w:rsidRPr="007C6D7E" w:rsidRDefault="00F025AD" w:rsidP="00F025AD">
            <w:pPr>
              <w:shd w:val="clear" w:color="auto" w:fill="FFFFFF"/>
              <w:jc w:val="both"/>
              <w:rPr>
                <w:rFonts w:ascii="Palatino Linotype" w:eastAsia="Calibri" w:hAnsi="Palatino Linotype" w:cs="Mangal"/>
                <w:sz w:val="20"/>
                <w:szCs w:val="20"/>
              </w:rPr>
            </w:pPr>
          </w:p>
          <w:p w14:paraId="285A48F3" w14:textId="77777777" w:rsidR="00F025AD" w:rsidRPr="007C6D7E" w:rsidRDefault="00F025AD" w:rsidP="00F025AD">
            <w:pPr>
              <w:shd w:val="clear" w:color="auto" w:fill="FFFFFF"/>
              <w:jc w:val="both"/>
              <w:rPr>
                <w:rFonts w:ascii="Palatino Linotype" w:eastAsia="Calibri" w:hAnsi="Palatino Linotype" w:cs="Mangal"/>
                <w:sz w:val="20"/>
                <w:szCs w:val="20"/>
                <w:lang w:val="en-IN"/>
              </w:rPr>
            </w:pPr>
            <w:r w:rsidRPr="007C6D7E">
              <w:rPr>
                <w:rFonts w:ascii="Palatino Linotype" w:eastAsia="Calibri" w:hAnsi="Palatino Linotype" w:cs="Mangal"/>
                <w:sz w:val="20"/>
                <w:szCs w:val="20"/>
                <w:lang w:val="en-IN"/>
              </w:rPr>
              <w:t>SEBI</w:t>
            </w:r>
            <w:r w:rsidRPr="007C6D7E">
              <w:rPr>
                <w:rFonts w:ascii="Palatino Linotype" w:eastAsia="Calibri" w:hAnsi="Palatino Linotype" w:cs="Mangal"/>
                <w:sz w:val="20"/>
                <w:szCs w:val="20"/>
              </w:rPr>
              <w:t xml:space="preserve"> Circular no </w:t>
            </w:r>
            <w:r w:rsidRPr="007C6D7E">
              <w:rPr>
                <w:rFonts w:ascii="Palatino Linotype" w:eastAsia="Calibri" w:hAnsi="Palatino Linotype" w:cs="Mangal"/>
                <w:sz w:val="20"/>
                <w:szCs w:val="20"/>
                <w:lang w:val="en-IN"/>
              </w:rPr>
              <w:t xml:space="preserve">SEBI/HO/IMD/DF3/CIR/P/2017/114 </w:t>
            </w:r>
            <w:r w:rsidRPr="007C6D7E">
              <w:rPr>
                <w:rFonts w:ascii="Palatino Linotype" w:eastAsia="Calibri" w:hAnsi="Palatino Linotype" w:cs="Mangal"/>
                <w:sz w:val="20"/>
                <w:szCs w:val="20"/>
              </w:rPr>
              <w:t>dated</w:t>
            </w:r>
            <w:r w:rsidRPr="007C6D7E">
              <w:rPr>
                <w:rFonts w:ascii="Palatino Linotype" w:eastAsia="Calibri" w:hAnsi="Palatino Linotype" w:cs="Mangal"/>
                <w:sz w:val="20"/>
                <w:szCs w:val="20"/>
                <w:lang w:val="en-IN"/>
              </w:rPr>
              <w:t xml:space="preserve"> </w:t>
            </w:r>
            <w:r w:rsidRPr="007C6D7E">
              <w:rPr>
                <w:rFonts w:ascii="Palatino Linotype" w:eastAsia="Calibri" w:hAnsi="Palatino Linotype" w:cs="Mangal"/>
                <w:sz w:val="20"/>
                <w:szCs w:val="20"/>
              </w:rPr>
              <w:t xml:space="preserve"> October 6, 2017</w:t>
            </w:r>
          </w:p>
          <w:p w14:paraId="2AAD4A40" w14:textId="77777777" w:rsidR="00F025AD" w:rsidRPr="007C6D7E" w:rsidRDefault="00F025AD" w:rsidP="00F025AD">
            <w:pPr>
              <w:shd w:val="clear" w:color="auto" w:fill="FFFFFF"/>
              <w:jc w:val="both"/>
              <w:rPr>
                <w:rFonts w:ascii="Palatino Linotype" w:eastAsia="Calibri" w:hAnsi="Palatino Linotype" w:cs="Mangal"/>
                <w:sz w:val="20"/>
                <w:szCs w:val="20"/>
              </w:rPr>
            </w:pPr>
          </w:p>
          <w:p w14:paraId="55064706" w14:textId="77777777" w:rsidR="00F025AD" w:rsidRPr="007C6D7E" w:rsidRDefault="00F025AD" w:rsidP="00F025AD">
            <w:pPr>
              <w:shd w:val="clear" w:color="auto" w:fill="FFFFFF"/>
              <w:jc w:val="both"/>
              <w:rPr>
                <w:rFonts w:ascii="Palatino Linotype" w:eastAsia="Calibri" w:hAnsi="Palatino Linotype" w:cs="Mangal"/>
                <w:sz w:val="20"/>
                <w:szCs w:val="20"/>
              </w:rPr>
            </w:pPr>
            <w:r w:rsidRPr="007C6D7E">
              <w:rPr>
                <w:rFonts w:ascii="Palatino Linotype" w:eastAsia="Calibri" w:hAnsi="Palatino Linotype" w:cs="Mangal"/>
                <w:sz w:val="20"/>
                <w:szCs w:val="20"/>
              </w:rPr>
              <w:t>SEBI Circular no SEBI/HO/IMD/DF3/CIR/P/2017/126 dated  December 4, 2017</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6CDF9FD9" w14:textId="77777777" w:rsidR="00F025AD" w:rsidRPr="007C6D7E" w:rsidRDefault="00F025AD" w:rsidP="00F025AD">
            <w:pPr>
              <w:rPr>
                <w:rFonts w:ascii="Palatino Linotype" w:eastAsia="Calibri" w:hAnsi="Palatino Linotype" w:cs="Mangal"/>
                <w:sz w:val="20"/>
                <w:szCs w:val="20"/>
              </w:rPr>
            </w:pPr>
            <w:r w:rsidRPr="007C6D7E">
              <w:rPr>
                <w:rFonts w:ascii="Palatino Linotype" w:eastAsia="Calibri" w:hAnsi="Palatino Linotype" w:cs="Mangal"/>
                <w:b/>
                <w:sz w:val="20"/>
                <w:szCs w:val="20"/>
              </w:rPr>
              <w:t>Penalty</w:t>
            </w:r>
            <w:r w:rsidRPr="007C6D7E">
              <w:rPr>
                <w:rFonts w:ascii="Palatino Linotype" w:eastAsia="Calibri" w:hAnsi="Palatino Linotype" w:cs="Mangal"/>
                <w:sz w:val="20"/>
                <w:szCs w:val="20"/>
              </w:rPr>
              <w:t xml:space="preserve"> – Rs 5 crore</w:t>
            </w:r>
          </w:p>
          <w:p w14:paraId="5A042C89" w14:textId="77777777" w:rsidR="00F025AD" w:rsidRPr="007C6D7E" w:rsidRDefault="00F025AD" w:rsidP="00F025AD">
            <w:pPr>
              <w:shd w:val="clear" w:color="auto" w:fill="FFFFFF"/>
              <w:rPr>
                <w:rFonts w:ascii="Palatino Linotype" w:eastAsia="Calibri" w:hAnsi="Palatino Linotype" w:cs="Mangal"/>
                <w:sz w:val="20"/>
                <w:szCs w:val="20"/>
                <w:lang w:val="en-IN"/>
              </w:rPr>
            </w:pPr>
            <w:r w:rsidRPr="007C6D7E">
              <w:rPr>
                <w:rFonts w:ascii="Palatino Linotype" w:eastAsia="Calibri" w:hAnsi="Palatino Linotype" w:cs="Mangal"/>
                <w:b/>
                <w:sz w:val="20"/>
                <w:szCs w:val="20"/>
              </w:rPr>
              <w:t>Disgorgement</w:t>
            </w:r>
            <w:r w:rsidRPr="007C6D7E">
              <w:rPr>
                <w:rFonts w:ascii="Palatino Linotype" w:eastAsia="Calibri" w:hAnsi="Palatino Linotype" w:cs="Mangal"/>
                <w:sz w:val="20"/>
                <w:szCs w:val="20"/>
              </w:rPr>
              <w:t xml:space="preserve"> – Rs. </w:t>
            </w:r>
            <w:r w:rsidRPr="007C6D7E">
              <w:rPr>
                <w:rFonts w:ascii="Palatino Linotype" w:eastAsia="Calibri" w:hAnsi="Palatino Linotype" w:cs="Mangal"/>
                <w:sz w:val="20"/>
                <w:szCs w:val="20"/>
                <w:lang w:val="en-IN"/>
              </w:rPr>
              <w:t>512,50,92,534</w:t>
            </w:r>
          </w:p>
          <w:p w14:paraId="6D2D6267" w14:textId="77777777" w:rsidR="00F025AD" w:rsidRPr="007C6D7E" w:rsidRDefault="00F025AD" w:rsidP="00F025AD">
            <w:pPr>
              <w:rPr>
                <w:rFonts w:ascii="Palatino Linotype" w:eastAsia="Calibri" w:hAnsi="Palatino Linotype" w:cs="Mangal"/>
                <w:sz w:val="20"/>
                <w:szCs w:val="20"/>
              </w:rPr>
            </w:pPr>
          </w:p>
        </w:tc>
      </w:tr>
      <w:tr w:rsidR="00F025AD" w:rsidRPr="00B83873" w14:paraId="4B730AFF" w14:textId="77777777" w:rsidTr="00F025AD">
        <w:trPr>
          <w:trHeight w:val="300"/>
        </w:trPr>
        <w:tc>
          <w:tcPr>
            <w:tcW w:w="567" w:type="dxa"/>
            <w:tcBorders>
              <w:top w:val="single" w:sz="4" w:space="0" w:color="auto"/>
              <w:left w:val="single" w:sz="4" w:space="0" w:color="auto"/>
              <w:bottom w:val="single" w:sz="4" w:space="0" w:color="auto"/>
              <w:right w:val="single" w:sz="4" w:space="0" w:color="auto"/>
            </w:tcBorders>
          </w:tcPr>
          <w:p w14:paraId="018DB184" w14:textId="77777777" w:rsidR="00F025AD" w:rsidRPr="007C6D7E" w:rsidRDefault="00F025AD" w:rsidP="00F025AD">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t>9</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33DFBC5E" w14:textId="77777777" w:rsidR="00F025AD" w:rsidRPr="007C6D7E" w:rsidRDefault="00F025AD" w:rsidP="00F025AD">
            <w:pPr>
              <w:jc w:val="both"/>
              <w:rPr>
                <w:rFonts w:ascii="Palatino Linotype" w:eastAsia="Calibri" w:hAnsi="Palatino Linotype" w:cs="Mangal"/>
                <w:sz w:val="20"/>
                <w:szCs w:val="20"/>
              </w:rPr>
            </w:pPr>
            <w:r w:rsidRPr="007C6D7E">
              <w:rPr>
                <w:rFonts w:ascii="Palatino Linotype" w:eastAsia="Calibri" w:hAnsi="Palatino Linotype" w:cs="Mangal"/>
                <w:sz w:val="20"/>
                <w:szCs w:val="20"/>
              </w:rPr>
              <w:t>07/06/2021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294A35F5" w14:textId="77777777" w:rsidR="00F025AD" w:rsidRPr="007C6D7E" w:rsidRDefault="00F025AD" w:rsidP="00F025AD">
            <w:pPr>
              <w:jc w:val="both"/>
              <w:rPr>
                <w:rFonts w:ascii="Palatino Linotype" w:eastAsia="Calibri" w:hAnsi="Palatino Linotype" w:cs="Mangal"/>
                <w:sz w:val="20"/>
                <w:szCs w:val="20"/>
              </w:rPr>
            </w:pPr>
            <w:r w:rsidRPr="007C6D7E">
              <w:rPr>
                <w:rFonts w:ascii="Palatino Linotype" w:eastAsia="Calibri" w:hAnsi="Palatino Linotype" w:cs="Mangal"/>
                <w:sz w:val="20"/>
                <w:szCs w:val="20"/>
              </w:rPr>
              <w:t>Franklin Templeton Mutual Fund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1F04ADFE" w14:textId="77777777" w:rsidR="00F025AD" w:rsidRPr="007C6D7E" w:rsidRDefault="00F025AD" w:rsidP="00F025AD">
            <w:pPr>
              <w:jc w:val="both"/>
              <w:rPr>
                <w:rFonts w:ascii="Palatino Linotype" w:eastAsia="Calibri" w:hAnsi="Palatino Linotype" w:cs="Mangal"/>
                <w:sz w:val="20"/>
                <w:szCs w:val="20"/>
              </w:rPr>
            </w:pPr>
            <w:r w:rsidRPr="007C6D7E">
              <w:rPr>
                <w:rFonts w:ascii="Palatino Linotype" w:eastAsia="Calibri" w:hAnsi="Palatino Linotype" w:cs="Mangal"/>
                <w:sz w:val="20"/>
                <w:szCs w:val="20"/>
              </w:rPr>
              <w:t>11B</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1193AB07" w14:textId="77777777" w:rsidR="00F025AD" w:rsidRPr="007C6D7E" w:rsidRDefault="00F025AD" w:rsidP="00F025AD">
            <w:pPr>
              <w:jc w:val="both"/>
              <w:rPr>
                <w:rFonts w:ascii="Palatino Linotype" w:eastAsia="Calibri" w:hAnsi="Palatino Linotype" w:cs="Mangal"/>
                <w:sz w:val="20"/>
                <w:szCs w:val="20"/>
              </w:rPr>
            </w:pPr>
            <w:r w:rsidRPr="007C6D7E">
              <w:rPr>
                <w:rFonts w:ascii="Palatino Linotype" w:eastAsia="Calibri" w:hAnsi="Palatino Linotype" w:cs="Mangal"/>
                <w:sz w:val="20"/>
                <w:szCs w:val="20"/>
              </w:rPr>
              <w:t>Vivek Kudva Roopa Kudva Vasanthi Kudva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914DAC8" w14:textId="77777777" w:rsidR="00F025AD" w:rsidRPr="007C6D7E" w:rsidRDefault="00F025AD" w:rsidP="00F025AD">
            <w:pPr>
              <w:shd w:val="clear" w:color="auto" w:fill="FFFFFF"/>
              <w:jc w:val="both"/>
              <w:rPr>
                <w:rFonts w:ascii="Palatino Linotype" w:eastAsia="Calibri" w:hAnsi="Palatino Linotype" w:cs="Mangal"/>
                <w:sz w:val="20"/>
                <w:szCs w:val="20"/>
              </w:rPr>
            </w:pPr>
            <w:r w:rsidRPr="007C6D7E">
              <w:rPr>
                <w:rFonts w:ascii="Palatino Linotype" w:eastAsia="Calibri" w:hAnsi="Palatino Linotype" w:cs="Mangal"/>
                <w:sz w:val="20"/>
                <w:szCs w:val="20"/>
              </w:rPr>
              <w:t xml:space="preserve">Regulation  5(3)  of  the SEBI  (Investor  Protection  and Education Fund) Regulations, 2009 and Regulation 39(2)(a) of the SEBI (Mutual Funds) Regulations, 1996  </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601A2BCB" w14:textId="77777777" w:rsidR="00F025AD" w:rsidRPr="007C6D7E" w:rsidRDefault="00F025AD" w:rsidP="00F025AD">
            <w:pPr>
              <w:rPr>
                <w:rFonts w:ascii="Palatino Linotype" w:eastAsia="Calibri" w:hAnsi="Palatino Linotype" w:cs="Mangal"/>
                <w:sz w:val="20"/>
                <w:szCs w:val="20"/>
              </w:rPr>
            </w:pPr>
            <w:r w:rsidRPr="007C6D7E">
              <w:rPr>
                <w:rFonts w:ascii="Palatino Linotype" w:eastAsia="Calibri" w:hAnsi="Palatino Linotype" w:cs="Mangal"/>
                <w:b/>
                <w:sz w:val="20"/>
                <w:szCs w:val="20"/>
              </w:rPr>
              <w:t>Penalty</w:t>
            </w:r>
            <w:r w:rsidRPr="007C6D7E">
              <w:rPr>
                <w:rFonts w:ascii="Palatino Linotype" w:eastAsia="Calibri" w:hAnsi="Palatino Linotype" w:cs="Mangal"/>
                <w:sz w:val="20"/>
                <w:szCs w:val="20"/>
              </w:rPr>
              <w:t xml:space="preserve"> – Rs 7 crore</w:t>
            </w:r>
          </w:p>
          <w:p w14:paraId="670EF9F0" w14:textId="77777777" w:rsidR="00F025AD" w:rsidRPr="007C6D7E" w:rsidRDefault="00F025AD" w:rsidP="00F025AD">
            <w:pPr>
              <w:shd w:val="clear" w:color="auto" w:fill="FFFFFF"/>
              <w:jc w:val="both"/>
              <w:rPr>
                <w:rFonts w:ascii="Palatino Linotype" w:eastAsia="Calibri" w:hAnsi="Palatino Linotype" w:cs="Mangal"/>
                <w:b/>
                <w:sz w:val="20"/>
                <w:szCs w:val="20"/>
              </w:rPr>
            </w:pPr>
          </w:p>
          <w:p w14:paraId="44975B4E" w14:textId="77777777" w:rsidR="00F025AD" w:rsidRPr="007C6D7E" w:rsidRDefault="00F025AD" w:rsidP="00F025AD">
            <w:pPr>
              <w:shd w:val="clear" w:color="auto" w:fill="FFFFFF"/>
              <w:jc w:val="both"/>
              <w:rPr>
                <w:rFonts w:ascii="Palatino Linotype" w:eastAsia="Calibri" w:hAnsi="Palatino Linotype" w:cs="Mangal"/>
                <w:sz w:val="20"/>
                <w:szCs w:val="20"/>
              </w:rPr>
            </w:pPr>
            <w:r w:rsidRPr="007C6D7E">
              <w:rPr>
                <w:rFonts w:ascii="Palatino Linotype" w:eastAsia="Calibri" w:hAnsi="Palatino Linotype" w:cs="Mangal"/>
                <w:b/>
                <w:sz w:val="20"/>
                <w:szCs w:val="20"/>
              </w:rPr>
              <w:t>Refund to Escrow Account</w:t>
            </w:r>
            <w:r w:rsidRPr="007C6D7E">
              <w:rPr>
                <w:rFonts w:ascii="Palatino Linotype" w:eastAsia="Calibri" w:hAnsi="Palatino Linotype" w:cs="Mangal"/>
                <w:sz w:val="20"/>
                <w:szCs w:val="20"/>
              </w:rPr>
              <w:t>- Rs.  22,64,25,773 plus interest @12% p.a.</w:t>
            </w:r>
          </w:p>
          <w:p w14:paraId="7D96A77C" w14:textId="77777777" w:rsidR="00F025AD" w:rsidRPr="007C6D7E" w:rsidRDefault="00F025AD" w:rsidP="00F025AD">
            <w:pPr>
              <w:shd w:val="clear" w:color="auto" w:fill="FFFFFF"/>
              <w:jc w:val="both"/>
              <w:rPr>
                <w:rFonts w:ascii="Palatino Linotype" w:eastAsia="Calibri" w:hAnsi="Palatino Linotype" w:cs="Mangal"/>
                <w:sz w:val="20"/>
                <w:szCs w:val="20"/>
              </w:rPr>
            </w:pPr>
          </w:p>
          <w:p w14:paraId="17A42C52" w14:textId="77777777" w:rsidR="00F025AD" w:rsidRPr="007C6D7E" w:rsidRDefault="00F025AD" w:rsidP="00F025AD">
            <w:pPr>
              <w:shd w:val="clear" w:color="auto" w:fill="FFFFFF"/>
              <w:jc w:val="both"/>
              <w:rPr>
                <w:rFonts w:ascii="Palatino Linotype" w:eastAsia="Calibri" w:hAnsi="Palatino Linotype" w:cs="Mangal"/>
                <w:sz w:val="20"/>
                <w:szCs w:val="20"/>
              </w:rPr>
            </w:pPr>
          </w:p>
          <w:p w14:paraId="10450B67" w14:textId="77777777" w:rsidR="00F025AD" w:rsidRPr="007C6D7E" w:rsidRDefault="00F025AD" w:rsidP="00F025AD">
            <w:pPr>
              <w:shd w:val="clear" w:color="auto" w:fill="FFFFFF"/>
              <w:jc w:val="both"/>
              <w:rPr>
                <w:rFonts w:ascii="Palatino Linotype" w:eastAsia="Calibri" w:hAnsi="Palatino Linotype" w:cs="Mangal"/>
                <w:sz w:val="20"/>
                <w:szCs w:val="20"/>
              </w:rPr>
            </w:pPr>
          </w:p>
          <w:p w14:paraId="43D31814" w14:textId="77777777" w:rsidR="00F025AD" w:rsidRPr="007C6D7E" w:rsidRDefault="00F025AD" w:rsidP="00F025AD">
            <w:pPr>
              <w:rPr>
                <w:rFonts w:ascii="Palatino Linotype" w:eastAsia="Calibri" w:hAnsi="Palatino Linotype" w:cs="Mangal"/>
                <w:sz w:val="20"/>
                <w:szCs w:val="20"/>
              </w:rPr>
            </w:pPr>
          </w:p>
          <w:p w14:paraId="144F90CF" w14:textId="77777777" w:rsidR="00F025AD" w:rsidRPr="007C6D7E" w:rsidRDefault="00F025AD" w:rsidP="00F025AD">
            <w:pPr>
              <w:jc w:val="right"/>
              <w:rPr>
                <w:rFonts w:ascii="Palatino Linotype" w:eastAsia="Calibri" w:hAnsi="Palatino Linotype" w:cs="Mangal"/>
                <w:sz w:val="20"/>
                <w:szCs w:val="20"/>
              </w:rPr>
            </w:pPr>
            <w:r w:rsidRPr="007C6D7E">
              <w:rPr>
                <w:rFonts w:ascii="Palatino Linotype" w:eastAsia="Calibri" w:hAnsi="Palatino Linotype" w:cs="Mangal"/>
                <w:sz w:val="20"/>
                <w:szCs w:val="20"/>
              </w:rPr>
              <w:t>-</w:t>
            </w:r>
          </w:p>
        </w:tc>
      </w:tr>
      <w:tr w:rsidR="00F025AD" w:rsidRPr="00B83873" w14:paraId="49606ED9" w14:textId="77777777" w:rsidTr="00F025AD">
        <w:trPr>
          <w:trHeight w:val="300"/>
        </w:trPr>
        <w:tc>
          <w:tcPr>
            <w:tcW w:w="567" w:type="dxa"/>
            <w:tcBorders>
              <w:top w:val="single" w:sz="4" w:space="0" w:color="auto"/>
              <w:left w:val="single" w:sz="4" w:space="0" w:color="auto"/>
              <w:bottom w:val="single" w:sz="4" w:space="0" w:color="auto"/>
              <w:right w:val="single" w:sz="4" w:space="0" w:color="auto"/>
            </w:tcBorders>
          </w:tcPr>
          <w:p w14:paraId="1779C283" w14:textId="77777777" w:rsidR="00F025AD" w:rsidRPr="007C6D7E" w:rsidRDefault="00F025AD" w:rsidP="00F025AD">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lastRenderedPageBreak/>
              <w:t>10</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3527E851" w14:textId="77777777" w:rsidR="00F025AD" w:rsidRPr="007C6D7E" w:rsidRDefault="00F025AD" w:rsidP="00F025AD">
            <w:pPr>
              <w:jc w:val="both"/>
              <w:rPr>
                <w:rFonts w:ascii="Palatino Linotype" w:eastAsia="Calibri" w:hAnsi="Palatino Linotype" w:cs="Mangal"/>
                <w:sz w:val="20"/>
                <w:szCs w:val="20"/>
              </w:rPr>
            </w:pPr>
            <w:r w:rsidRPr="007C6D7E">
              <w:rPr>
                <w:rFonts w:ascii="Palatino Linotype" w:eastAsia="Calibri" w:hAnsi="Palatino Linotype" w:cs="Mangal"/>
                <w:sz w:val="20"/>
                <w:szCs w:val="20"/>
              </w:rPr>
              <w:t>07/06/2021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57084544" w14:textId="77777777" w:rsidR="00F025AD" w:rsidRPr="007C6D7E" w:rsidRDefault="00F025AD" w:rsidP="00F025AD">
            <w:pPr>
              <w:jc w:val="both"/>
              <w:rPr>
                <w:rFonts w:ascii="Palatino Linotype" w:eastAsia="Calibri" w:hAnsi="Palatino Linotype" w:cs="Mangal"/>
                <w:sz w:val="20"/>
                <w:szCs w:val="20"/>
              </w:rPr>
            </w:pPr>
            <w:r w:rsidRPr="007C6D7E">
              <w:rPr>
                <w:rFonts w:ascii="Palatino Linotype" w:eastAsia="Calibri" w:hAnsi="Palatino Linotype" w:cs="Mangal"/>
                <w:sz w:val="20"/>
                <w:szCs w:val="20"/>
              </w:rPr>
              <w:t>Rushabh Research (Proprietor: Nitin Nanalal Dedhia)</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7356135F" w14:textId="77777777" w:rsidR="00F025AD" w:rsidRPr="007C6D7E" w:rsidRDefault="00F025AD" w:rsidP="00F025AD">
            <w:pPr>
              <w:jc w:val="both"/>
              <w:rPr>
                <w:rFonts w:ascii="Palatino Linotype" w:eastAsia="Calibri" w:hAnsi="Palatino Linotype" w:cs="Mangal"/>
                <w:sz w:val="20"/>
                <w:szCs w:val="20"/>
              </w:rPr>
            </w:pPr>
            <w:r w:rsidRPr="007C6D7E">
              <w:rPr>
                <w:rFonts w:ascii="Palatino Linotype" w:eastAsia="Calibri" w:hAnsi="Palatino Linotype" w:cs="Mangal"/>
                <w:sz w:val="20"/>
                <w:szCs w:val="20"/>
              </w:rPr>
              <w:t>11B</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48322344" w14:textId="77777777" w:rsidR="00F025AD" w:rsidRPr="007C6D7E" w:rsidRDefault="00F025AD" w:rsidP="00F025AD">
            <w:pPr>
              <w:jc w:val="both"/>
              <w:rPr>
                <w:rFonts w:ascii="Palatino Linotype" w:eastAsia="Calibri" w:hAnsi="Palatino Linotype" w:cs="Mangal"/>
                <w:sz w:val="20"/>
                <w:szCs w:val="20"/>
              </w:rPr>
            </w:pPr>
            <w:r w:rsidRPr="007C6D7E">
              <w:rPr>
                <w:rFonts w:ascii="Palatino Linotype" w:eastAsia="Calibri" w:hAnsi="Palatino Linotype" w:cs="Mangal"/>
                <w:sz w:val="20"/>
                <w:szCs w:val="20"/>
              </w:rPr>
              <w:t>Rushabh Research (Proprietor: Nitin Nanalal Dedhia)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67FB601" w14:textId="77777777" w:rsidR="00F025AD" w:rsidRPr="007C6D7E" w:rsidRDefault="00F025AD" w:rsidP="00F025AD">
            <w:pPr>
              <w:shd w:val="clear" w:color="auto" w:fill="FFFFFF"/>
              <w:jc w:val="both"/>
              <w:rPr>
                <w:rFonts w:ascii="Palatino Linotype" w:eastAsia="Calibri" w:hAnsi="Palatino Linotype" w:cs="Mangal"/>
                <w:sz w:val="20"/>
                <w:szCs w:val="20"/>
              </w:rPr>
            </w:pPr>
            <w:r w:rsidRPr="007C6D7E">
              <w:rPr>
                <w:rFonts w:ascii="Palatino Linotype" w:eastAsia="Calibri" w:hAnsi="Palatino Linotype" w:cs="Mangal"/>
                <w:sz w:val="20"/>
                <w:szCs w:val="20"/>
              </w:rPr>
              <w:t>Section 12A  (c)  of SEBI Act,  1992 and Regulations Regulation 2(1)(c) 3(d) and 4(1) of 4(2)(k)  of  PFUTP  Regulations, 2003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2C761716" w14:textId="77777777" w:rsidR="00F025AD" w:rsidRPr="007C6D7E" w:rsidRDefault="00F025AD" w:rsidP="00F025AD">
            <w:pPr>
              <w:jc w:val="right"/>
              <w:rPr>
                <w:rFonts w:ascii="Palatino Linotype" w:eastAsia="Calibri" w:hAnsi="Palatino Linotype" w:cs="Mangal"/>
                <w:sz w:val="20"/>
                <w:szCs w:val="20"/>
              </w:rPr>
            </w:pPr>
            <w:r w:rsidRPr="007C6D7E">
              <w:rPr>
                <w:rFonts w:ascii="Palatino Linotype" w:eastAsia="Calibri" w:hAnsi="Palatino Linotype" w:cs="Mangal"/>
                <w:sz w:val="20"/>
                <w:szCs w:val="20"/>
              </w:rPr>
              <w:t>-</w:t>
            </w:r>
          </w:p>
        </w:tc>
      </w:tr>
      <w:tr w:rsidR="00F025AD" w:rsidRPr="00B83873" w14:paraId="3E67F2C6" w14:textId="77777777" w:rsidTr="00F025AD">
        <w:trPr>
          <w:trHeight w:val="300"/>
        </w:trPr>
        <w:tc>
          <w:tcPr>
            <w:tcW w:w="567" w:type="dxa"/>
            <w:tcBorders>
              <w:top w:val="single" w:sz="4" w:space="0" w:color="auto"/>
              <w:left w:val="single" w:sz="4" w:space="0" w:color="auto"/>
              <w:bottom w:val="single" w:sz="4" w:space="0" w:color="auto"/>
              <w:right w:val="single" w:sz="4" w:space="0" w:color="auto"/>
            </w:tcBorders>
          </w:tcPr>
          <w:p w14:paraId="13895C18" w14:textId="77777777" w:rsidR="00F025AD" w:rsidRPr="007C6D7E" w:rsidRDefault="00F025AD" w:rsidP="00F025AD">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t>11</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179EAF5B" w14:textId="77777777" w:rsidR="00F025AD" w:rsidRPr="007C6D7E" w:rsidRDefault="00F025AD" w:rsidP="00F025AD">
            <w:pPr>
              <w:jc w:val="both"/>
              <w:rPr>
                <w:rFonts w:ascii="Palatino Linotype" w:eastAsia="Calibri" w:hAnsi="Palatino Linotype" w:cs="Mangal"/>
                <w:sz w:val="20"/>
                <w:szCs w:val="20"/>
              </w:rPr>
            </w:pPr>
            <w:r w:rsidRPr="007C6D7E">
              <w:rPr>
                <w:rFonts w:ascii="Palatino Linotype" w:eastAsia="Calibri" w:hAnsi="Palatino Linotype" w:cs="Mangal"/>
                <w:sz w:val="20"/>
                <w:szCs w:val="20"/>
              </w:rPr>
              <w:t>11/06/2021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3DB9F719" w14:textId="77777777" w:rsidR="00F025AD" w:rsidRPr="007C6D7E" w:rsidRDefault="00F025AD" w:rsidP="00F025AD">
            <w:pPr>
              <w:jc w:val="both"/>
              <w:rPr>
                <w:rFonts w:ascii="Palatino Linotype" w:eastAsia="Calibri" w:hAnsi="Palatino Linotype" w:cs="Mangal"/>
                <w:sz w:val="20"/>
                <w:szCs w:val="20"/>
              </w:rPr>
            </w:pPr>
            <w:r w:rsidRPr="007C6D7E">
              <w:rPr>
                <w:rFonts w:ascii="Palatino Linotype" w:eastAsia="Calibri" w:hAnsi="Palatino Linotype" w:cs="Mangal"/>
                <w:sz w:val="20"/>
                <w:szCs w:val="20"/>
              </w:rPr>
              <w:t>Capital Money Mantra (Proprietor: Gaurav Yadav)</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22494709" w14:textId="77777777" w:rsidR="00F025AD" w:rsidRPr="007C6D7E" w:rsidRDefault="00F025AD" w:rsidP="00F025AD">
            <w:pPr>
              <w:jc w:val="both"/>
              <w:rPr>
                <w:rFonts w:ascii="Palatino Linotype" w:eastAsia="Calibri" w:hAnsi="Palatino Linotype" w:cs="Mangal"/>
                <w:sz w:val="20"/>
                <w:szCs w:val="20"/>
              </w:rPr>
            </w:pPr>
            <w:r w:rsidRPr="007C6D7E">
              <w:rPr>
                <w:rFonts w:ascii="Palatino Linotype" w:eastAsia="Calibri" w:hAnsi="Palatino Linotype" w:cs="Mangal"/>
                <w:sz w:val="20"/>
                <w:szCs w:val="20"/>
              </w:rPr>
              <w:t>11B</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7036ECA6" w14:textId="77777777" w:rsidR="00F025AD" w:rsidRPr="007C6D7E" w:rsidRDefault="00F025AD" w:rsidP="00F025AD">
            <w:pPr>
              <w:jc w:val="both"/>
              <w:rPr>
                <w:rFonts w:ascii="Palatino Linotype" w:eastAsia="Calibri" w:hAnsi="Palatino Linotype" w:cs="Mangal"/>
                <w:sz w:val="20"/>
                <w:szCs w:val="20"/>
              </w:rPr>
            </w:pPr>
            <w:r w:rsidRPr="007C6D7E">
              <w:rPr>
                <w:rFonts w:ascii="Palatino Linotype" w:eastAsia="Calibri" w:hAnsi="Palatino Linotype" w:cs="Mangal"/>
                <w:sz w:val="20"/>
                <w:szCs w:val="20"/>
              </w:rPr>
              <w:t>Capital Money Mantra (Proprietor: Gaurav Yadav)</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62187FB" w14:textId="77777777" w:rsidR="00F025AD" w:rsidRPr="007C6D7E" w:rsidRDefault="00F025AD" w:rsidP="00F025AD">
            <w:pPr>
              <w:shd w:val="clear" w:color="auto" w:fill="FFFFFF"/>
              <w:jc w:val="both"/>
              <w:rPr>
                <w:rFonts w:ascii="Palatino Linotype" w:eastAsia="Calibri" w:hAnsi="Palatino Linotype" w:cs="Mangal"/>
                <w:sz w:val="20"/>
                <w:szCs w:val="20"/>
              </w:rPr>
            </w:pPr>
            <w:r w:rsidRPr="007C6D7E">
              <w:rPr>
                <w:rFonts w:ascii="Palatino Linotype" w:eastAsia="Calibri" w:hAnsi="Palatino Linotype" w:cs="Mangal"/>
                <w:sz w:val="20"/>
                <w:szCs w:val="20"/>
              </w:rPr>
              <w:t>Section  12(1)  of SEBI  Act,  1992  read  with  Regulation 3(1) of SEBI (Investment Advisers) Regulations, 2013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4F6A5C68" w14:textId="77777777" w:rsidR="00F025AD" w:rsidRPr="007C6D7E" w:rsidRDefault="00F025AD" w:rsidP="00F025AD">
            <w:pPr>
              <w:jc w:val="right"/>
              <w:rPr>
                <w:rFonts w:ascii="Palatino Linotype" w:eastAsia="Calibri" w:hAnsi="Palatino Linotype" w:cs="Mangal"/>
                <w:sz w:val="20"/>
                <w:szCs w:val="20"/>
              </w:rPr>
            </w:pPr>
            <w:r w:rsidRPr="007C6D7E">
              <w:rPr>
                <w:rFonts w:ascii="Palatino Linotype" w:eastAsia="Calibri" w:hAnsi="Palatino Linotype" w:cs="Mangal"/>
                <w:sz w:val="20"/>
                <w:szCs w:val="20"/>
              </w:rPr>
              <w:t>-</w:t>
            </w:r>
          </w:p>
        </w:tc>
      </w:tr>
      <w:tr w:rsidR="00F025AD" w:rsidRPr="00B83873" w14:paraId="52182AB1" w14:textId="77777777" w:rsidTr="00F025AD">
        <w:trPr>
          <w:trHeight w:val="300"/>
        </w:trPr>
        <w:tc>
          <w:tcPr>
            <w:tcW w:w="567" w:type="dxa"/>
            <w:tcBorders>
              <w:top w:val="single" w:sz="4" w:space="0" w:color="auto"/>
              <w:left w:val="single" w:sz="4" w:space="0" w:color="auto"/>
              <w:bottom w:val="single" w:sz="4" w:space="0" w:color="auto"/>
              <w:right w:val="single" w:sz="4" w:space="0" w:color="auto"/>
            </w:tcBorders>
          </w:tcPr>
          <w:p w14:paraId="34D96C79" w14:textId="77777777" w:rsidR="00F025AD" w:rsidRPr="007C6D7E" w:rsidRDefault="00F025AD" w:rsidP="00F025AD">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t>12</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14232FEE" w14:textId="77777777" w:rsidR="00F025AD" w:rsidRPr="007C6D7E" w:rsidRDefault="00F025AD" w:rsidP="00F025AD">
            <w:pPr>
              <w:jc w:val="both"/>
              <w:rPr>
                <w:rFonts w:ascii="Palatino Linotype" w:eastAsia="Calibri" w:hAnsi="Palatino Linotype" w:cs="Mangal"/>
                <w:sz w:val="20"/>
                <w:szCs w:val="20"/>
              </w:rPr>
            </w:pPr>
            <w:r w:rsidRPr="007C6D7E">
              <w:rPr>
                <w:rFonts w:ascii="Palatino Linotype" w:eastAsia="Calibri" w:hAnsi="Palatino Linotype" w:cs="Mangal"/>
                <w:sz w:val="20"/>
                <w:szCs w:val="20"/>
              </w:rPr>
              <w:t>11/06/2021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24F28C5D" w14:textId="77777777" w:rsidR="00F025AD" w:rsidRPr="007C6D7E" w:rsidRDefault="00F025AD" w:rsidP="00F025AD">
            <w:pPr>
              <w:jc w:val="both"/>
              <w:rPr>
                <w:rFonts w:ascii="Palatino Linotype" w:eastAsia="Calibri" w:hAnsi="Palatino Linotype" w:cs="Mangal"/>
                <w:sz w:val="20"/>
                <w:szCs w:val="20"/>
              </w:rPr>
            </w:pPr>
            <w:r w:rsidRPr="007C6D7E">
              <w:rPr>
                <w:rFonts w:ascii="Palatino Linotype" w:eastAsia="Calibri" w:hAnsi="Palatino Linotype" w:cs="Mangal"/>
                <w:sz w:val="20"/>
                <w:szCs w:val="20"/>
              </w:rPr>
              <w:t>Computech Sharecap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07FF8988" w14:textId="77777777" w:rsidR="00F025AD" w:rsidRPr="007C6D7E" w:rsidRDefault="00F025AD" w:rsidP="00F025AD">
            <w:pPr>
              <w:jc w:val="both"/>
              <w:rPr>
                <w:rFonts w:ascii="Palatino Linotype" w:eastAsia="Calibri" w:hAnsi="Palatino Linotype" w:cs="Mangal"/>
                <w:sz w:val="20"/>
                <w:szCs w:val="20"/>
              </w:rPr>
            </w:pPr>
            <w:r w:rsidRPr="007C6D7E">
              <w:rPr>
                <w:rFonts w:ascii="Palatino Linotype" w:eastAsia="Calibri" w:hAnsi="Palatino Linotype" w:cs="Mangal"/>
                <w:sz w:val="20"/>
                <w:szCs w:val="20"/>
              </w:rPr>
              <w:t>11B</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714BCD4B" w14:textId="77777777" w:rsidR="00F025AD" w:rsidRPr="007C6D7E" w:rsidRDefault="00F025AD" w:rsidP="00F025AD">
            <w:pPr>
              <w:jc w:val="both"/>
              <w:rPr>
                <w:rFonts w:ascii="Palatino Linotype" w:eastAsia="Calibri" w:hAnsi="Palatino Linotype" w:cs="Mangal"/>
                <w:sz w:val="20"/>
                <w:szCs w:val="20"/>
              </w:rPr>
            </w:pPr>
            <w:r w:rsidRPr="007C6D7E">
              <w:rPr>
                <w:rFonts w:ascii="Palatino Linotype" w:eastAsia="Calibri" w:hAnsi="Palatino Linotype" w:cs="Mangal"/>
                <w:sz w:val="20"/>
                <w:szCs w:val="20"/>
              </w:rPr>
              <w:t>Computech Sharecap Limited</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40F9A81" w14:textId="77777777" w:rsidR="00F025AD" w:rsidRPr="007C6D7E" w:rsidRDefault="00F025AD" w:rsidP="00F025AD">
            <w:pPr>
              <w:shd w:val="clear" w:color="auto" w:fill="FFFFFF"/>
              <w:jc w:val="both"/>
              <w:rPr>
                <w:rFonts w:ascii="Palatino Linotype" w:eastAsia="Calibri" w:hAnsi="Palatino Linotype" w:cs="Mangal"/>
                <w:sz w:val="20"/>
                <w:szCs w:val="20"/>
              </w:rPr>
            </w:pPr>
            <w:r w:rsidRPr="007C6D7E">
              <w:rPr>
                <w:rFonts w:ascii="Palatino Linotype" w:eastAsia="Calibri" w:hAnsi="Palatino Linotype" w:cs="Mangal"/>
                <w:sz w:val="20"/>
                <w:szCs w:val="20"/>
              </w:rPr>
              <w:t>Regulation  30A(8)(c)  of  the  SEBI (Intermediaries  Regulations), 2008 and  shall ensure compliance with Clause 23 of the Code of Conduct for RTAs specified in Schedule III read with Regulation 13 of the SEBI (RTA) Regulations</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65A6FBD6" w14:textId="77777777" w:rsidR="00F025AD" w:rsidRPr="007C6D7E" w:rsidRDefault="00F025AD" w:rsidP="00F025AD">
            <w:pPr>
              <w:jc w:val="right"/>
              <w:rPr>
                <w:rFonts w:ascii="Palatino Linotype" w:eastAsia="Calibri" w:hAnsi="Palatino Linotype" w:cs="Mangal"/>
                <w:sz w:val="20"/>
                <w:szCs w:val="20"/>
              </w:rPr>
            </w:pPr>
            <w:r w:rsidRPr="007C6D7E">
              <w:rPr>
                <w:rFonts w:ascii="Palatino Linotype" w:eastAsia="Calibri" w:hAnsi="Palatino Linotype" w:cs="Mangal"/>
                <w:sz w:val="20"/>
                <w:szCs w:val="20"/>
              </w:rPr>
              <w:t>-</w:t>
            </w:r>
          </w:p>
        </w:tc>
      </w:tr>
      <w:tr w:rsidR="00F025AD" w:rsidRPr="00B83873" w14:paraId="1CA6C421" w14:textId="77777777" w:rsidTr="00F025AD">
        <w:trPr>
          <w:trHeight w:val="300"/>
        </w:trPr>
        <w:tc>
          <w:tcPr>
            <w:tcW w:w="567" w:type="dxa"/>
            <w:tcBorders>
              <w:top w:val="single" w:sz="4" w:space="0" w:color="auto"/>
              <w:left w:val="single" w:sz="4" w:space="0" w:color="auto"/>
              <w:bottom w:val="single" w:sz="4" w:space="0" w:color="auto"/>
              <w:right w:val="single" w:sz="4" w:space="0" w:color="auto"/>
            </w:tcBorders>
          </w:tcPr>
          <w:p w14:paraId="042A9C00" w14:textId="77777777" w:rsidR="00F025AD" w:rsidRPr="007C6D7E" w:rsidRDefault="00F025AD" w:rsidP="00F025AD">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t>13</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71AF5B5A" w14:textId="77777777" w:rsidR="00F025AD" w:rsidRPr="007C6D7E" w:rsidRDefault="00F025AD" w:rsidP="00F025AD">
            <w:pPr>
              <w:jc w:val="both"/>
              <w:rPr>
                <w:rFonts w:ascii="Palatino Linotype" w:eastAsia="Calibri" w:hAnsi="Palatino Linotype" w:cs="Mangal"/>
                <w:sz w:val="20"/>
                <w:szCs w:val="20"/>
              </w:rPr>
            </w:pPr>
            <w:r w:rsidRPr="007C6D7E">
              <w:rPr>
                <w:rFonts w:ascii="Palatino Linotype" w:eastAsia="Calibri" w:hAnsi="Palatino Linotype" w:cs="Mangal"/>
                <w:sz w:val="20"/>
                <w:szCs w:val="20"/>
              </w:rPr>
              <w:t>11/06/2021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6F50841A" w14:textId="77777777" w:rsidR="00F025AD" w:rsidRPr="007C6D7E" w:rsidRDefault="00F025AD" w:rsidP="00F025AD">
            <w:pPr>
              <w:jc w:val="both"/>
              <w:rPr>
                <w:rFonts w:ascii="Palatino Linotype" w:eastAsia="Calibri" w:hAnsi="Palatino Linotype" w:cs="Mangal"/>
                <w:sz w:val="20"/>
                <w:szCs w:val="20"/>
              </w:rPr>
            </w:pPr>
            <w:r w:rsidRPr="007C6D7E">
              <w:rPr>
                <w:rFonts w:ascii="Palatino Linotype" w:eastAsia="Calibri" w:hAnsi="Palatino Linotype" w:cs="Mangal"/>
                <w:sz w:val="20"/>
                <w:szCs w:val="20"/>
              </w:rPr>
              <w:t>Majestic Auto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7EE8D5BF" w14:textId="77777777" w:rsidR="00F025AD" w:rsidRPr="007C6D7E" w:rsidRDefault="00F025AD" w:rsidP="00F025AD">
            <w:pPr>
              <w:jc w:val="both"/>
              <w:rPr>
                <w:rFonts w:ascii="Palatino Linotype" w:eastAsia="Calibri" w:hAnsi="Palatino Linotype" w:cs="Mangal"/>
                <w:sz w:val="20"/>
                <w:szCs w:val="20"/>
              </w:rPr>
            </w:pPr>
            <w:r w:rsidRPr="007C6D7E">
              <w:rPr>
                <w:rFonts w:ascii="Palatino Linotype" w:eastAsia="Calibri" w:hAnsi="Palatino Linotype" w:cs="Mangal"/>
                <w:sz w:val="20"/>
                <w:szCs w:val="20"/>
              </w:rPr>
              <w:t>11B</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455D0DC7" w14:textId="77777777" w:rsidR="00F025AD" w:rsidRPr="007C6D7E" w:rsidRDefault="00F025AD" w:rsidP="00F025AD">
            <w:pPr>
              <w:jc w:val="both"/>
              <w:rPr>
                <w:rFonts w:ascii="Palatino Linotype" w:eastAsia="Calibri" w:hAnsi="Palatino Linotype" w:cs="Mangal"/>
                <w:sz w:val="20"/>
                <w:szCs w:val="20"/>
              </w:rPr>
            </w:pPr>
            <w:r w:rsidRPr="007C6D7E">
              <w:rPr>
                <w:rFonts w:ascii="Palatino Linotype" w:eastAsia="Calibri" w:hAnsi="Palatino Linotype" w:cs="Mangal"/>
                <w:sz w:val="20"/>
                <w:szCs w:val="20"/>
              </w:rPr>
              <w:t>Majestic Auto Limited</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DE65BD8" w14:textId="77777777" w:rsidR="00F025AD" w:rsidRPr="007C6D7E" w:rsidRDefault="00F025AD" w:rsidP="00F025AD">
            <w:pPr>
              <w:shd w:val="clear" w:color="auto" w:fill="FFFFFF"/>
              <w:jc w:val="both"/>
              <w:rPr>
                <w:rFonts w:ascii="Palatino Linotype" w:eastAsia="Calibri" w:hAnsi="Palatino Linotype" w:cs="Mangal"/>
                <w:sz w:val="20"/>
                <w:szCs w:val="20"/>
              </w:rPr>
            </w:pPr>
            <w:r w:rsidRPr="007C6D7E">
              <w:rPr>
                <w:rFonts w:ascii="Palatino Linotype" w:eastAsia="Calibri" w:hAnsi="Palatino Linotype" w:cs="Mangal"/>
                <w:sz w:val="20"/>
                <w:szCs w:val="20"/>
              </w:rPr>
              <w:t>Regulation 98 of SEBI (Listing Obligations  and  Disclosure  Requirements) Regulations,  2015</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295E2B10" w14:textId="77777777" w:rsidR="00F025AD" w:rsidRPr="007C6D7E" w:rsidRDefault="00F025AD" w:rsidP="00F025AD">
            <w:pPr>
              <w:jc w:val="right"/>
              <w:rPr>
                <w:rFonts w:ascii="Palatino Linotype" w:eastAsia="Calibri" w:hAnsi="Palatino Linotype" w:cs="Mangal"/>
                <w:sz w:val="20"/>
                <w:szCs w:val="20"/>
              </w:rPr>
            </w:pPr>
            <w:r w:rsidRPr="007C6D7E">
              <w:rPr>
                <w:rFonts w:ascii="Palatino Linotype" w:eastAsia="Calibri" w:hAnsi="Palatino Linotype" w:cs="Mangal"/>
                <w:sz w:val="20"/>
                <w:szCs w:val="20"/>
              </w:rPr>
              <w:t>-</w:t>
            </w:r>
          </w:p>
        </w:tc>
      </w:tr>
      <w:tr w:rsidR="00F025AD" w:rsidRPr="00B83873" w14:paraId="3CB49DC2" w14:textId="77777777" w:rsidTr="00F025AD">
        <w:trPr>
          <w:trHeight w:val="300"/>
        </w:trPr>
        <w:tc>
          <w:tcPr>
            <w:tcW w:w="567" w:type="dxa"/>
            <w:tcBorders>
              <w:top w:val="single" w:sz="4" w:space="0" w:color="auto"/>
              <w:left w:val="single" w:sz="4" w:space="0" w:color="auto"/>
              <w:bottom w:val="single" w:sz="4" w:space="0" w:color="auto"/>
              <w:right w:val="single" w:sz="4" w:space="0" w:color="auto"/>
            </w:tcBorders>
          </w:tcPr>
          <w:p w14:paraId="44BEEC1F" w14:textId="77777777" w:rsidR="00F025AD" w:rsidRPr="007C6D7E" w:rsidRDefault="00F025AD" w:rsidP="00F025AD">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t>14</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6B753BB3" w14:textId="77777777" w:rsidR="00F025AD" w:rsidRPr="007C6D7E" w:rsidRDefault="00F025AD" w:rsidP="00F025AD">
            <w:pPr>
              <w:jc w:val="both"/>
              <w:rPr>
                <w:rFonts w:ascii="Palatino Linotype" w:eastAsia="Calibri" w:hAnsi="Palatino Linotype" w:cs="Mangal"/>
                <w:sz w:val="20"/>
                <w:szCs w:val="20"/>
              </w:rPr>
            </w:pPr>
            <w:r w:rsidRPr="007C6D7E">
              <w:rPr>
                <w:rFonts w:ascii="Palatino Linotype" w:eastAsia="Calibri" w:hAnsi="Palatino Linotype" w:cs="Mangal"/>
                <w:sz w:val="20"/>
                <w:szCs w:val="20"/>
              </w:rPr>
              <w:t>11/06/2021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0B802516" w14:textId="77777777" w:rsidR="00F025AD" w:rsidRPr="007C6D7E" w:rsidRDefault="00F025AD" w:rsidP="00F025AD">
            <w:pPr>
              <w:jc w:val="both"/>
              <w:rPr>
                <w:rFonts w:ascii="Palatino Linotype" w:eastAsia="Calibri" w:hAnsi="Palatino Linotype" w:cs="Mangal"/>
                <w:sz w:val="20"/>
                <w:szCs w:val="20"/>
              </w:rPr>
            </w:pPr>
            <w:r w:rsidRPr="007C6D7E">
              <w:rPr>
                <w:rFonts w:ascii="Palatino Linotype" w:eastAsia="Calibri" w:hAnsi="Palatino Linotype" w:cs="Mangal"/>
                <w:sz w:val="20"/>
                <w:szCs w:val="20"/>
              </w:rPr>
              <w:t>Max India Research (Proprietor: Abhishek Gupta)</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4E1B7590" w14:textId="77777777" w:rsidR="00F025AD" w:rsidRPr="007C6D7E" w:rsidRDefault="00F025AD" w:rsidP="00F025AD">
            <w:pPr>
              <w:jc w:val="both"/>
              <w:rPr>
                <w:rFonts w:ascii="Palatino Linotype" w:eastAsia="Calibri" w:hAnsi="Palatino Linotype" w:cs="Mangal"/>
                <w:sz w:val="20"/>
                <w:szCs w:val="20"/>
              </w:rPr>
            </w:pPr>
            <w:r w:rsidRPr="007C6D7E">
              <w:rPr>
                <w:rFonts w:ascii="Palatino Linotype" w:eastAsia="Calibri" w:hAnsi="Palatino Linotype" w:cs="Mangal"/>
                <w:sz w:val="20"/>
                <w:szCs w:val="20"/>
              </w:rPr>
              <w:t>11B</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0E79F47A" w14:textId="77777777" w:rsidR="00F025AD" w:rsidRPr="007C6D7E" w:rsidRDefault="00F025AD" w:rsidP="00F025AD">
            <w:pPr>
              <w:jc w:val="both"/>
              <w:rPr>
                <w:rFonts w:ascii="Palatino Linotype" w:eastAsia="Calibri" w:hAnsi="Palatino Linotype" w:cs="Mangal"/>
                <w:sz w:val="20"/>
                <w:szCs w:val="20"/>
              </w:rPr>
            </w:pPr>
            <w:r w:rsidRPr="007C6D7E">
              <w:rPr>
                <w:rFonts w:ascii="Palatino Linotype" w:eastAsia="Calibri" w:hAnsi="Palatino Linotype" w:cs="Mangal"/>
                <w:sz w:val="20"/>
                <w:szCs w:val="20"/>
              </w:rPr>
              <w:t>Max India Research (Proprietor: Abhishek Gupta)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7A493A8" w14:textId="77777777" w:rsidR="00F025AD" w:rsidRPr="007C6D7E" w:rsidRDefault="00F025AD" w:rsidP="00F025AD">
            <w:pPr>
              <w:shd w:val="clear" w:color="auto" w:fill="FFFFFF"/>
              <w:jc w:val="both"/>
              <w:rPr>
                <w:rFonts w:ascii="Palatino Linotype" w:eastAsia="Calibri" w:hAnsi="Palatino Linotype" w:cs="Mangal"/>
                <w:sz w:val="20"/>
                <w:szCs w:val="20"/>
              </w:rPr>
            </w:pPr>
            <w:r w:rsidRPr="007C6D7E">
              <w:rPr>
                <w:rFonts w:ascii="Palatino Linotype" w:eastAsia="Calibri" w:hAnsi="Palatino Linotype" w:cs="Mangal"/>
                <w:sz w:val="20"/>
                <w:szCs w:val="20"/>
              </w:rPr>
              <w:t>Section 12(1) of the SEBI Act, 1992 read with Regulation 3(1) of the IA Regulations, 2013and Section 12A(a), (b) and (c) of the SEBI Act, 1992 read with Regulation 3(a), (b), (c) and (d) of the PFUTP Regulations, 2003.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7FC17BBA" w14:textId="77777777" w:rsidR="00F025AD" w:rsidRPr="007C6D7E" w:rsidRDefault="00F025AD" w:rsidP="00F025AD">
            <w:pPr>
              <w:jc w:val="right"/>
              <w:rPr>
                <w:rFonts w:ascii="Palatino Linotype" w:eastAsia="Calibri" w:hAnsi="Palatino Linotype" w:cs="Mangal"/>
                <w:sz w:val="20"/>
                <w:szCs w:val="20"/>
              </w:rPr>
            </w:pPr>
            <w:r w:rsidRPr="007C6D7E">
              <w:rPr>
                <w:rFonts w:ascii="Palatino Linotype" w:eastAsia="Calibri" w:hAnsi="Palatino Linotype" w:cs="Mangal"/>
                <w:sz w:val="20"/>
                <w:szCs w:val="20"/>
              </w:rPr>
              <w:t>1,00,000</w:t>
            </w:r>
          </w:p>
        </w:tc>
      </w:tr>
      <w:tr w:rsidR="00F025AD" w:rsidRPr="00B83873" w14:paraId="7555593F" w14:textId="77777777" w:rsidTr="00F025AD">
        <w:trPr>
          <w:trHeight w:val="300"/>
        </w:trPr>
        <w:tc>
          <w:tcPr>
            <w:tcW w:w="567" w:type="dxa"/>
            <w:tcBorders>
              <w:top w:val="single" w:sz="4" w:space="0" w:color="auto"/>
              <w:left w:val="single" w:sz="4" w:space="0" w:color="auto"/>
              <w:bottom w:val="single" w:sz="4" w:space="0" w:color="auto"/>
              <w:right w:val="single" w:sz="4" w:space="0" w:color="auto"/>
            </w:tcBorders>
          </w:tcPr>
          <w:p w14:paraId="7814F9CF" w14:textId="77777777" w:rsidR="00F025AD" w:rsidRPr="007C6D7E" w:rsidRDefault="00F025AD" w:rsidP="00F025AD">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t>15</w:t>
            </w:r>
          </w:p>
        </w:tc>
        <w:tc>
          <w:tcPr>
            <w:tcW w:w="1276" w:type="dxa"/>
            <w:tcBorders>
              <w:top w:val="single" w:sz="4" w:space="0" w:color="auto"/>
              <w:bottom w:val="single" w:sz="4" w:space="0" w:color="auto"/>
              <w:right w:val="single" w:sz="4" w:space="0" w:color="auto"/>
            </w:tcBorders>
            <w:shd w:val="clear" w:color="auto" w:fill="auto"/>
            <w:noWrap/>
          </w:tcPr>
          <w:p w14:paraId="57C06E56" w14:textId="77777777" w:rsidR="00F025AD" w:rsidRPr="007C6D7E" w:rsidRDefault="00F025AD" w:rsidP="00F025AD">
            <w:pPr>
              <w:jc w:val="both"/>
              <w:rPr>
                <w:rFonts w:ascii="Palatino Linotype" w:hAnsi="Palatino Linotype"/>
                <w:sz w:val="20"/>
                <w:szCs w:val="20"/>
              </w:rPr>
            </w:pPr>
            <w:r w:rsidRPr="007C6D7E">
              <w:rPr>
                <w:rFonts w:ascii="Palatino Linotype" w:hAnsi="Palatino Linotype"/>
                <w:sz w:val="20"/>
                <w:szCs w:val="20"/>
              </w:rPr>
              <w:t>14/06/2021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0C55C811" w14:textId="77777777" w:rsidR="00F025AD" w:rsidRPr="007C6D7E" w:rsidRDefault="00F025AD" w:rsidP="00F025AD">
            <w:pPr>
              <w:jc w:val="both"/>
              <w:rPr>
                <w:rFonts w:ascii="Palatino Linotype" w:hAnsi="Palatino Linotype"/>
                <w:sz w:val="20"/>
                <w:szCs w:val="20"/>
              </w:rPr>
            </w:pPr>
            <w:r w:rsidRPr="007C6D7E">
              <w:rPr>
                <w:rFonts w:ascii="Palatino Linotype" w:hAnsi="Palatino Linotype"/>
                <w:sz w:val="20"/>
                <w:szCs w:val="20"/>
              </w:rPr>
              <w:t>Zylog Systems Ltd.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51E8DA17" w14:textId="77777777" w:rsidR="00F025AD" w:rsidRPr="007C6D7E" w:rsidRDefault="00F025AD" w:rsidP="00F025AD">
            <w:pPr>
              <w:jc w:val="both"/>
              <w:rPr>
                <w:rFonts w:ascii="Palatino Linotype" w:hAnsi="Palatino Linotype"/>
                <w:sz w:val="20"/>
                <w:szCs w:val="20"/>
              </w:rPr>
            </w:pPr>
            <w:r w:rsidRPr="007C6D7E">
              <w:rPr>
                <w:rFonts w:ascii="Palatino Linotype" w:hAnsi="Palatino Linotype"/>
                <w:sz w:val="20"/>
                <w:szCs w:val="20"/>
              </w:rPr>
              <w:t>11B</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6D037ABF" w14:textId="77777777" w:rsidR="00F025AD" w:rsidRPr="007C6D7E" w:rsidRDefault="00F025AD" w:rsidP="00F025AD">
            <w:pPr>
              <w:jc w:val="both"/>
              <w:rPr>
                <w:rFonts w:ascii="Palatino Linotype" w:hAnsi="Palatino Linotype"/>
                <w:sz w:val="20"/>
                <w:szCs w:val="20"/>
              </w:rPr>
            </w:pPr>
            <w:r w:rsidRPr="007C6D7E">
              <w:rPr>
                <w:rFonts w:ascii="Palatino Linotype" w:hAnsi="Palatino Linotype"/>
                <w:sz w:val="20"/>
                <w:szCs w:val="20"/>
              </w:rPr>
              <w:t>Zylog Systems Limited and 12 Others</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988DBC9" w14:textId="77777777" w:rsidR="00F025AD" w:rsidRPr="007C6D7E" w:rsidRDefault="00F025AD" w:rsidP="00F025AD">
            <w:pPr>
              <w:shd w:val="clear" w:color="auto" w:fill="FFFFFF"/>
              <w:jc w:val="both"/>
              <w:rPr>
                <w:rFonts w:ascii="Palatino Linotype" w:hAnsi="Palatino Linotype"/>
                <w:sz w:val="20"/>
                <w:szCs w:val="20"/>
              </w:rPr>
            </w:pPr>
            <w:r w:rsidRPr="007C6D7E">
              <w:rPr>
                <w:rFonts w:ascii="Palatino Linotype" w:hAnsi="Palatino Linotype"/>
                <w:sz w:val="20"/>
                <w:szCs w:val="20"/>
              </w:rPr>
              <w:t>Regulations  3(1),  3(2)  and  4  of  the  SEBI (Substantial   Acquisition   of   Shares   and   Takeover)   Regulations,   2011</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52648529" w14:textId="77777777" w:rsidR="00F025AD" w:rsidRPr="007C6D7E" w:rsidRDefault="00F025AD" w:rsidP="00F025AD">
            <w:pPr>
              <w:jc w:val="right"/>
              <w:rPr>
                <w:rFonts w:ascii="Palatino Linotype" w:hAnsi="Palatino Linotype"/>
                <w:sz w:val="20"/>
                <w:szCs w:val="20"/>
              </w:rPr>
            </w:pPr>
            <w:r w:rsidRPr="007C6D7E">
              <w:rPr>
                <w:rFonts w:ascii="Palatino Linotype" w:hAnsi="Palatino Linotype"/>
                <w:sz w:val="20"/>
                <w:szCs w:val="20"/>
              </w:rPr>
              <w:t>-</w:t>
            </w:r>
          </w:p>
        </w:tc>
      </w:tr>
      <w:tr w:rsidR="00F025AD" w:rsidRPr="00B83873" w14:paraId="3314E41A" w14:textId="77777777" w:rsidTr="00F025AD">
        <w:trPr>
          <w:trHeight w:val="300"/>
        </w:trPr>
        <w:tc>
          <w:tcPr>
            <w:tcW w:w="567" w:type="dxa"/>
            <w:tcBorders>
              <w:top w:val="single" w:sz="4" w:space="0" w:color="auto"/>
              <w:left w:val="single" w:sz="4" w:space="0" w:color="auto"/>
              <w:bottom w:val="single" w:sz="4" w:space="0" w:color="auto"/>
              <w:right w:val="single" w:sz="4" w:space="0" w:color="auto"/>
            </w:tcBorders>
          </w:tcPr>
          <w:p w14:paraId="664DC08B" w14:textId="77777777" w:rsidR="00F025AD" w:rsidRPr="007C6D7E" w:rsidRDefault="00F025AD" w:rsidP="00F025AD">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lastRenderedPageBreak/>
              <w:t>16</w:t>
            </w:r>
          </w:p>
        </w:tc>
        <w:tc>
          <w:tcPr>
            <w:tcW w:w="1276" w:type="dxa"/>
            <w:tcBorders>
              <w:top w:val="single" w:sz="4" w:space="0" w:color="auto"/>
              <w:bottom w:val="single" w:sz="4" w:space="0" w:color="auto"/>
              <w:right w:val="single" w:sz="4" w:space="0" w:color="auto"/>
            </w:tcBorders>
            <w:shd w:val="clear" w:color="auto" w:fill="auto"/>
            <w:noWrap/>
          </w:tcPr>
          <w:p w14:paraId="4FE07BAC" w14:textId="77777777" w:rsidR="00F025AD" w:rsidRPr="007C6D7E" w:rsidRDefault="00F025AD" w:rsidP="00F025AD">
            <w:pPr>
              <w:jc w:val="both"/>
              <w:rPr>
                <w:rFonts w:ascii="Palatino Linotype" w:hAnsi="Palatino Linotype"/>
                <w:sz w:val="20"/>
                <w:szCs w:val="20"/>
              </w:rPr>
            </w:pPr>
            <w:r w:rsidRPr="007C6D7E">
              <w:rPr>
                <w:rFonts w:ascii="Palatino Linotype" w:hAnsi="Palatino Linotype"/>
                <w:sz w:val="20"/>
                <w:szCs w:val="20"/>
              </w:rPr>
              <w:t>14/06/2021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71F553E4" w14:textId="77777777" w:rsidR="00F025AD" w:rsidRPr="007C6D7E" w:rsidRDefault="00F025AD" w:rsidP="00F025AD">
            <w:pPr>
              <w:jc w:val="both"/>
              <w:rPr>
                <w:rFonts w:ascii="Palatino Linotype" w:hAnsi="Palatino Linotype"/>
                <w:sz w:val="20"/>
                <w:szCs w:val="20"/>
              </w:rPr>
            </w:pPr>
            <w:r w:rsidRPr="007C6D7E">
              <w:rPr>
                <w:rFonts w:ascii="Palatino Linotype" w:hAnsi="Palatino Linotype"/>
                <w:sz w:val="20"/>
                <w:szCs w:val="20"/>
              </w:rPr>
              <w:t>Prowise Capital</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6BA04CEF" w14:textId="77777777" w:rsidR="00F025AD" w:rsidRPr="007C6D7E" w:rsidRDefault="00F025AD" w:rsidP="00F025AD">
            <w:pPr>
              <w:jc w:val="both"/>
              <w:rPr>
                <w:rFonts w:ascii="Palatino Linotype" w:hAnsi="Palatino Linotype"/>
                <w:sz w:val="20"/>
                <w:szCs w:val="20"/>
              </w:rPr>
            </w:pPr>
            <w:r w:rsidRPr="007C6D7E">
              <w:rPr>
                <w:rFonts w:ascii="Palatino Linotype" w:hAnsi="Palatino Linotype"/>
                <w:sz w:val="20"/>
                <w:szCs w:val="20"/>
              </w:rPr>
              <w:t>11B</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7FB45772" w14:textId="77777777" w:rsidR="00F025AD" w:rsidRPr="007C6D7E" w:rsidRDefault="00F025AD" w:rsidP="00F025AD">
            <w:pPr>
              <w:jc w:val="both"/>
              <w:rPr>
                <w:rFonts w:ascii="Palatino Linotype" w:hAnsi="Palatino Linotype"/>
                <w:sz w:val="20"/>
                <w:szCs w:val="20"/>
              </w:rPr>
            </w:pPr>
            <w:r w:rsidRPr="007C6D7E">
              <w:rPr>
                <w:rFonts w:ascii="Palatino Linotype" w:hAnsi="Palatino Linotype"/>
                <w:sz w:val="20"/>
                <w:szCs w:val="20"/>
              </w:rPr>
              <w:t xml:space="preserve">Prowise Capital, Prowise Consultancy, Yogendra Gangrade, Swati Purwar, Vaibhav Patil, Arun Jatav </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48B9C89" w14:textId="77777777" w:rsidR="00F025AD" w:rsidRPr="007C6D7E" w:rsidRDefault="00F025AD" w:rsidP="00F025AD">
            <w:pPr>
              <w:shd w:val="clear" w:color="auto" w:fill="FFFFFF"/>
              <w:jc w:val="both"/>
              <w:rPr>
                <w:rFonts w:ascii="Palatino Linotype" w:hAnsi="Palatino Linotype"/>
                <w:sz w:val="20"/>
                <w:szCs w:val="20"/>
              </w:rPr>
            </w:pPr>
            <w:r w:rsidRPr="007C6D7E">
              <w:rPr>
                <w:rFonts w:ascii="Palatino Linotype" w:hAnsi="Palatino Linotype"/>
                <w:sz w:val="20"/>
                <w:szCs w:val="20"/>
              </w:rPr>
              <w:t>Section 19 of the SEBI Act, 1992 and Regulations  4(2)(k)  of  PFUTP Regulations, 2003 and Regulation 2(1) (m) of the SEBI (Investment Advisors) Regulations, 2013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3B0111CE" w14:textId="77777777" w:rsidR="00F025AD" w:rsidRPr="007C6D7E" w:rsidRDefault="00F025AD" w:rsidP="00F025AD">
            <w:pPr>
              <w:jc w:val="right"/>
              <w:rPr>
                <w:rFonts w:ascii="Palatino Linotype" w:hAnsi="Palatino Linotype"/>
                <w:sz w:val="20"/>
                <w:szCs w:val="20"/>
              </w:rPr>
            </w:pPr>
            <w:r w:rsidRPr="007C6D7E">
              <w:rPr>
                <w:rFonts w:ascii="Palatino Linotype" w:hAnsi="Palatino Linotype"/>
                <w:sz w:val="20"/>
                <w:szCs w:val="20"/>
              </w:rPr>
              <w:t>-</w:t>
            </w:r>
          </w:p>
        </w:tc>
      </w:tr>
      <w:tr w:rsidR="00F025AD" w:rsidRPr="00B83873" w14:paraId="6AC5BE5C" w14:textId="77777777" w:rsidTr="00F025AD">
        <w:trPr>
          <w:trHeight w:val="300"/>
        </w:trPr>
        <w:tc>
          <w:tcPr>
            <w:tcW w:w="567" w:type="dxa"/>
            <w:tcBorders>
              <w:top w:val="single" w:sz="4" w:space="0" w:color="auto"/>
              <w:left w:val="single" w:sz="4" w:space="0" w:color="auto"/>
              <w:bottom w:val="single" w:sz="4" w:space="0" w:color="auto"/>
              <w:right w:val="single" w:sz="4" w:space="0" w:color="auto"/>
            </w:tcBorders>
          </w:tcPr>
          <w:p w14:paraId="437F923C" w14:textId="77777777" w:rsidR="00F025AD" w:rsidRPr="007C6D7E" w:rsidRDefault="00F025AD" w:rsidP="00F025AD">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t>17</w:t>
            </w:r>
          </w:p>
        </w:tc>
        <w:tc>
          <w:tcPr>
            <w:tcW w:w="1276" w:type="dxa"/>
            <w:tcBorders>
              <w:top w:val="single" w:sz="4" w:space="0" w:color="auto"/>
              <w:bottom w:val="single" w:sz="4" w:space="0" w:color="auto"/>
              <w:right w:val="single" w:sz="4" w:space="0" w:color="auto"/>
            </w:tcBorders>
            <w:shd w:val="clear" w:color="auto" w:fill="auto"/>
            <w:noWrap/>
          </w:tcPr>
          <w:p w14:paraId="1019EB01" w14:textId="77777777" w:rsidR="00F025AD" w:rsidRPr="007C6D7E" w:rsidRDefault="00F025AD" w:rsidP="00F025AD">
            <w:pPr>
              <w:jc w:val="both"/>
              <w:rPr>
                <w:rFonts w:ascii="Palatino Linotype" w:hAnsi="Palatino Linotype"/>
                <w:sz w:val="20"/>
                <w:szCs w:val="20"/>
              </w:rPr>
            </w:pPr>
            <w:r w:rsidRPr="007C6D7E">
              <w:rPr>
                <w:rFonts w:ascii="Palatino Linotype" w:hAnsi="Palatino Linotype"/>
                <w:sz w:val="20"/>
                <w:szCs w:val="20"/>
              </w:rPr>
              <w:t>15/06/2021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4D594BB8" w14:textId="77777777" w:rsidR="00F025AD" w:rsidRPr="007C6D7E" w:rsidRDefault="00F025AD" w:rsidP="00F025AD">
            <w:pPr>
              <w:jc w:val="both"/>
              <w:rPr>
                <w:rFonts w:ascii="Palatino Linotype" w:hAnsi="Palatino Linotype"/>
                <w:sz w:val="20"/>
                <w:szCs w:val="20"/>
              </w:rPr>
            </w:pPr>
            <w:r w:rsidRPr="007C6D7E">
              <w:rPr>
                <w:rFonts w:ascii="Palatino Linotype" w:hAnsi="Palatino Linotype"/>
                <w:sz w:val="20"/>
                <w:szCs w:val="20"/>
              </w:rPr>
              <w:t>Mehul Johnson</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75BAC12F" w14:textId="77777777" w:rsidR="00F025AD" w:rsidRPr="007C6D7E" w:rsidRDefault="00F025AD" w:rsidP="00F025AD">
            <w:pPr>
              <w:jc w:val="both"/>
              <w:rPr>
                <w:rFonts w:ascii="Palatino Linotype" w:hAnsi="Palatino Linotype"/>
                <w:sz w:val="20"/>
                <w:szCs w:val="20"/>
              </w:rPr>
            </w:pPr>
            <w:r w:rsidRPr="007C6D7E">
              <w:rPr>
                <w:rFonts w:ascii="Palatino Linotype" w:hAnsi="Palatino Linotype"/>
                <w:sz w:val="20"/>
                <w:szCs w:val="20"/>
              </w:rPr>
              <w:t>11B</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18922522" w14:textId="77777777" w:rsidR="00F025AD" w:rsidRPr="007C6D7E" w:rsidRDefault="00F025AD" w:rsidP="00F025AD">
            <w:pPr>
              <w:jc w:val="both"/>
              <w:rPr>
                <w:rFonts w:ascii="Palatino Linotype" w:hAnsi="Palatino Linotype"/>
                <w:sz w:val="20"/>
                <w:szCs w:val="20"/>
              </w:rPr>
            </w:pPr>
            <w:r w:rsidRPr="007C6D7E">
              <w:rPr>
                <w:rFonts w:ascii="Palatino Linotype" w:hAnsi="Palatino Linotype"/>
                <w:sz w:val="20"/>
                <w:szCs w:val="20"/>
              </w:rPr>
              <w:t>Mehul Johnson</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9A742F9" w14:textId="77777777" w:rsidR="00F025AD" w:rsidRPr="007C6D7E" w:rsidRDefault="00F025AD" w:rsidP="00F025AD">
            <w:pPr>
              <w:shd w:val="clear" w:color="auto" w:fill="FFFFFF"/>
              <w:jc w:val="both"/>
              <w:rPr>
                <w:rFonts w:ascii="Palatino Linotype" w:hAnsi="Palatino Linotype"/>
                <w:sz w:val="20"/>
                <w:szCs w:val="20"/>
              </w:rPr>
            </w:pPr>
            <w:r w:rsidRPr="007C6D7E">
              <w:rPr>
                <w:rFonts w:ascii="Palatino Linotype" w:hAnsi="Palatino Linotype"/>
                <w:sz w:val="20"/>
                <w:szCs w:val="20"/>
              </w:rPr>
              <w:t>Regulations 9 of SEBI PIT  Regulations,  2015</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60C11815" w14:textId="77777777" w:rsidR="00F025AD" w:rsidRPr="007C6D7E" w:rsidRDefault="00F025AD" w:rsidP="00F025AD">
            <w:pPr>
              <w:jc w:val="right"/>
              <w:rPr>
                <w:rFonts w:ascii="Palatino Linotype" w:hAnsi="Palatino Linotype"/>
                <w:sz w:val="20"/>
                <w:szCs w:val="20"/>
              </w:rPr>
            </w:pPr>
            <w:r w:rsidRPr="007C6D7E">
              <w:rPr>
                <w:rFonts w:ascii="Palatino Linotype" w:hAnsi="Palatino Linotype"/>
                <w:sz w:val="20"/>
                <w:szCs w:val="20"/>
              </w:rPr>
              <w:t>-</w:t>
            </w:r>
          </w:p>
        </w:tc>
      </w:tr>
      <w:tr w:rsidR="00F025AD" w:rsidRPr="00B83873" w14:paraId="0028A3A4" w14:textId="77777777" w:rsidTr="00F025AD">
        <w:trPr>
          <w:trHeight w:val="300"/>
        </w:trPr>
        <w:tc>
          <w:tcPr>
            <w:tcW w:w="567" w:type="dxa"/>
            <w:tcBorders>
              <w:top w:val="single" w:sz="4" w:space="0" w:color="auto"/>
              <w:left w:val="single" w:sz="4" w:space="0" w:color="auto"/>
              <w:bottom w:val="single" w:sz="4" w:space="0" w:color="auto"/>
              <w:right w:val="single" w:sz="4" w:space="0" w:color="auto"/>
            </w:tcBorders>
          </w:tcPr>
          <w:p w14:paraId="3F24BC5E" w14:textId="77777777" w:rsidR="00F025AD" w:rsidRPr="007C6D7E" w:rsidRDefault="00F025AD" w:rsidP="00F025AD">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t>18</w:t>
            </w:r>
          </w:p>
        </w:tc>
        <w:tc>
          <w:tcPr>
            <w:tcW w:w="1276" w:type="dxa"/>
            <w:tcBorders>
              <w:top w:val="single" w:sz="4" w:space="0" w:color="auto"/>
              <w:bottom w:val="single" w:sz="4" w:space="0" w:color="auto"/>
              <w:right w:val="single" w:sz="4" w:space="0" w:color="auto"/>
            </w:tcBorders>
            <w:shd w:val="clear" w:color="auto" w:fill="auto"/>
            <w:noWrap/>
          </w:tcPr>
          <w:p w14:paraId="7F5B402E" w14:textId="77777777" w:rsidR="00F025AD" w:rsidRPr="007C6D7E" w:rsidRDefault="00F025AD" w:rsidP="00F025AD">
            <w:pPr>
              <w:jc w:val="both"/>
              <w:rPr>
                <w:rFonts w:ascii="Palatino Linotype" w:hAnsi="Palatino Linotype"/>
                <w:sz w:val="20"/>
                <w:szCs w:val="20"/>
              </w:rPr>
            </w:pPr>
            <w:r w:rsidRPr="007C6D7E">
              <w:rPr>
                <w:rFonts w:ascii="Palatino Linotype" w:hAnsi="Palatino Linotype"/>
                <w:sz w:val="20"/>
                <w:szCs w:val="20"/>
              </w:rPr>
              <w:t>15/06/2021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6ABA2356" w14:textId="77777777" w:rsidR="00F025AD" w:rsidRPr="007C6D7E" w:rsidRDefault="00F025AD" w:rsidP="00F025AD">
            <w:pPr>
              <w:jc w:val="both"/>
              <w:rPr>
                <w:rFonts w:ascii="Palatino Linotype" w:hAnsi="Palatino Linotype"/>
                <w:sz w:val="20"/>
                <w:szCs w:val="20"/>
              </w:rPr>
            </w:pPr>
            <w:r w:rsidRPr="007C6D7E">
              <w:rPr>
                <w:rFonts w:ascii="Palatino Linotype" w:hAnsi="Palatino Linotype"/>
                <w:sz w:val="20"/>
                <w:szCs w:val="20"/>
              </w:rPr>
              <w:t>Inter Globe Finance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01EA998D" w14:textId="77777777" w:rsidR="00F025AD" w:rsidRPr="007C6D7E" w:rsidRDefault="00F025AD" w:rsidP="00F025AD">
            <w:pPr>
              <w:jc w:val="both"/>
              <w:rPr>
                <w:rFonts w:ascii="Palatino Linotype" w:hAnsi="Palatino Linotype"/>
                <w:sz w:val="20"/>
                <w:szCs w:val="20"/>
              </w:rPr>
            </w:pPr>
            <w:r w:rsidRPr="007C6D7E">
              <w:rPr>
                <w:rFonts w:ascii="Palatino Linotype" w:hAnsi="Palatino Linotype"/>
                <w:sz w:val="20"/>
                <w:szCs w:val="20"/>
              </w:rPr>
              <w:t>11B</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20115AA4" w14:textId="77777777" w:rsidR="00F025AD" w:rsidRPr="007C6D7E" w:rsidRDefault="00F025AD" w:rsidP="00F025AD">
            <w:pPr>
              <w:jc w:val="both"/>
              <w:rPr>
                <w:rFonts w:ascii="Palatino Linotype" w:hAnsi="Palatino Linotype"/>
                <w:sz w:val="20"/>
                <w:szCs w:val="20"/>
              </w:rPr>
            </w:pPr>
            <w:r w:rsidRPr="007C6D7E">
              <w:rPr>
                <w:rFonts w:ascii="Palatino Linotype" w:hAnsi="Palatino Linotype"/>
                <w:sz w:val="20"/>
                <w:szCs w:val="20"/>
              </w:rPr>
              <w:t xml:space="preserve">Inter Globe Finance Limited, Navin Jain, Pritam Kumar Choudhary, Seema Gupta, Anirban Dutta, Vikash Kedia </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4CF03B2" w14:textId="77777777" w:rsidR="00F025AD" w:rsidRPr="007C6D7E" w:rsidRDefault="00F025AD" w:rsidP="00F025AD">
            <w:pPr>
              <w:shd w:val="clear" w:color="auto" w:fill="FFFFFF"/>
              <w:jc w:val="both"/>
              <w:rPr>
                <w:rFonts w:ascii="Palatino Linotype" w:hAnsi="Palatino Linotype"/>
                <w:sz w:val="20"/>
                <w:szCs w:val="20"/>
              </w:rPr>
            </w:pPr>
            <w:r w:rsidRPr="007C6D7E">
              <w:rPr>
                <w:rFonts w:ascii="Palatino Linotype" w:hAnsi="Palatino Linotype"/>
                <w:sz w:val="20"/>
                <w:szCs w:val="20"/>
              </w:rPr>
              <w:t>Section  12A(1)  and  12A(2)  read  with Section  23E  and  23H of  Securities  Contracts  (Regulations)  Act,  1956 and Regulations 4(2)(f)(iii)(3),  4(2)(f)(iii)(6) of SEBI   (Listing   Obligation   and   Disclosure Requirements) Regulation, 2015 (LODR  Regulations)</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24CDA466" w14:textId="77777777" w:rsidR="00F025AD" w:rsidRPr="007C6D7E" w:rsidRDefault="00F025AD" w:rsidP="00F025AD">
            <w:pPr>
              <w:jc w:val="right"/>
              <w:rPr>
                <w:rFonts w:ascii="Palatino Linotype" w:hAnsi="Palatino Linotype"/>
                <w:sz w:val="20"/>
                <w:szCs w:val="20"/>
              </w:rPr>
            </w:pPr>
            <w:r w:rsidRPr="007C6D7E">
              <w:rPr>
                <w:rFonts w:ascii="Palatino Linotype" w:hAnsi="Palatino Linotype"/>
                <w:sz w:val="20"/>
                <w:szCs w:val="20"/>
              </w:rPr>
              <w:t>36,00,000</w:t>
            </w:r>
          </w:p>
        </w:tc>
      </w:tr>
      <w:tr w:rsidR="00F025AD" w:rsidRPr="00B83873" w14:paraId="0A037E71" w14:textId="77777777" w:rsidTr="00F025AD">
        <w:trPr>
          <w:trHeight w:val="300"/>
        </w:trPr>
        <w:tc>
          <w:tcPr>
            <w:tcW w:w="567" w:type="dxa"/>
            <w:tcBorders>
              <w:top w:val="single" w:sz="4" w:space="0" w:color="auto"/>
              <w:left w:val="single" w:sz="4" w:space="0" w:color="auto"/>
              <w:bottom w:val="single" w:sz="4" w:space="0" w:color="auto"/>
              <w:right w:val="single" w:sz="4" w:space="0" w:color="auto"/>
            </w:tcBorders>
          </w:tcPr>
          <w:p w14:paraId="321A821A" w14:textId="77777777" w:rsidR="00F025AD" w:rsidRPr="007C6D7E" w:rsidRDefault="00F025AD" w:rsidP="00F025AD">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t>19</w:t>
            </w:r>
          </w:p>
        </w:tc>
        <w:tc>
          <w:tcPr>
            <w:tcW w:w="1276" w:type="dxa"/>
            <w:tcBorders>
              <w:top w:val="single" w:sz="4" w:space="0" w:color="auto"/>
              <w:bottom w:val="single" w:sz="4" w:space="0" w:color="auto"/>
              <w:right w:val="single" w:sz="4" w:space="0" w:color="auto"/>
            </w:tcBorders>
            <w:shd w:val="clear" w:color="auto" w:fill="auto"/>
            <w:noWrap/>
          </w:tcPr>
          <w:p w14:paraId="3DFDE9C7" w14:textId="77777777" w:rsidR="00F025AD" w:rsidRPr="007C6D7E" w:rsidRDefault="00F025AD" w:rsidP="00F025AD">
            <w:pPr>
              <w:jc w:val="both"/>
              <w:rPr>
                <w:rFonts w:ascii="Palatino Linotype" w:hAnsi="Palatino Linotype"/>
                <w:sz w:val="20"/>
                <w:szCs w:val="20"/>
              </w:rPr>
            </w:pPr>
            <w:r w:rsidRPr="007C6D7E">
              <w:rPr>
                <w:rFonts w:ascii="Palatino Linotype" w:hAnsi="Palatino Linotype"/>
                <w:sz w:val="20"/>
                <w:szCs w:val="20"/>
              </w:rPr>
              <w:t>16/06/2021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50FE4059" w14:textId="77777777" w:rsidR="00F025AD" w:rsidRPr="007C6D7E" w:rsidRDefault="00F025AD" w:rsidP="00F025AD">
            <w:pPr>
              <w:jc w:val="both"/>
              <w:rPr>
                <w:rFonts w:ascii="Palatino Linotype" w:hAnsi="Palatino Linotype"/>
                <w:sz w:val="20"/>
                <w:szCs w:val="20"/>
              </w:rPr>
            </w:pPr>
            <w:r w:rsidRPr="007C6D7E">
              <w:rPr>
                <w:rFonts w:ascii="Palatino Linotype" w:hAnsi="Palatino Linotype"/>
                <w:sz w:val="20"/>
                <w:szCs w:val="20"/>
              </w:rPr>
              <w:t>Research Services (Proprietor: Mr. Gourav Kumar Gour)</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44F773FE" w14:textId="77777777" w:rsidR="00F025AD" w:rsidRPr="007C6D7E" w:rsidRDefault="00F025AD" w:rsidP="00F025AD">
            <w:pPr>
              <w:jc w:val="both"/>
              <w:rPr>
                <w:rFonts w:ascii="Palatino Linotype" w:hAnsi="Palatino Linotype"/>
                <w:sz w:val="20"/>
                <w:szCs w:val="20"/>
              </w:rPr>
            </w:pPr>
            <w:r w:rsidRPr="007C6D7E">
              <w:rPr>
                <w:rFonts w:ascii="Palatino Linotype" w:hAnsi="Palatino Linotype"/>
                <w:sz w:val="20"/>
                <w:szCs w:val="20"/>
              </w:rPr>
              <w:t>11B</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6429B30F" w14:textId="77777777" w:rsidR="00F025AD" w:rsidRPr="007C6D7E" w:rsidRDefault="00F025AD" w:rsidP="00F025AD">
            <w:pPr>
              <w:jc w:val="both"/>
              <w:rPr>
                <w:rFonts w:ascii="Palatino Linotype" w:hAnsi="Palatino Linotype"/>
                <w:sz w:val="20"/>
                <w:szCs w:val="20"/>
              </w:rPr>
            </w:pPr>
            <w:r w:rsidRPr="007C6D7E">
              <w:rPr>
                <w:rFonts w:ascii="Palatino Linotype" w:hAnsi="Palatino Linotype"/>
                <w:sz w:val="20"/>
                <w:szCs w:val="20"/>
              </w:rPr>
              <w:t>Research Services (Proprietor: Mr. Gourav Kumar Gour)</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EC733D9" w14:textId="77777777" w:rsidR="00F025AD" w:rsidRPr="007C6D7E" w:rsidRDefault="00F025AD" w:rsidP="00F025AD">
            <w:pPr>
              <w:shd w:val="clear" w:color="auto" w:fill="FFFFFF"/>
              <w:jc w:val="both"/>
              <w:rPr>
                <w:rFonts w:ascii="Palatino Linotype" w:hAnsi="Palatino Linotype"/>
                <w:sz w:val="20"/>
                <w:szCs w:val="20"/>
              </w:rPr>
            </w:pPr>
            <w:r w:rsidRPr="007C6D7E">
              <w:rPr>
                <w:rFonts w:ascii="Palatino Linotype" w:hAnsi="Palatino Linotype"/>
                <w:sz w:val="20"/>
                <w:szCs w:val="20"/>
              </w:rPr>
              <w:t>Section 12(1) of the SEBI Act, 1992 read with Regulation 3(1) of the IA Regulations, 2013 and Section 12A(a), (b)  and  (c)  of  the  SEBI  Act, 1992  read  with  Regulation  3(a),  (b),  (c)  and  (d)  of  the PFUTP Regulations, 2003.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2B1CC6CD" w14:textId="77777777" w:rsidR="00F025AD" w:rsidRPr="007C6D7E" w:rsidRDefault="00F025AD" w:rsidP="00F025AD">
            <w:pPr>
              <w:jc w:val="right"/>
              <w:rPr>
                <w:rFonts w:ascii="Palatino Linotype" w:hAnsi="Palatino Linotype"/>
                <w:sz w:val="20"/>
                <w:szCs w:val="20"/>
              </w:rPr>
            </w:pPr>
            <w:r w:rsidRPr="007C6D7E">
              <w:rPr>
                <w:rFonts w:ascii="Palatino Linotype" w:hAnsi="Palatino Linotype"/>
                <w:sz w:val="20"/>
                <w:szCs w:val="20"/>
              </w:rPr>
              <w:t>-</w:t>
            </w:r>
          </w:p>
        </w:tc>
      </w:tr>
      <w:tr w:rsidR="00F025AD" w:rsidRPr="00B83873" w14:paraId="1FD82633" w14:textId="77777777" w:rsidTr="00F025AD">
        <w:trPr>
          <w:trHeight w:val="300"/>
        </w:trPr>
        <w:tc>
          <w:tcPr>
            <w:tcW w:w="567" w:type="dxa"/>
            <w:tcBorders>
              <w:top w:val="single" w:sz="4" w:space="0" w:color="auto"/>
              <w:left w:val="single" w:sz="4" w:space="0" w:color="auto"/>
              <w:bottom w:val="single" w:sz="4" w:space="0" w:color="auto"/>
              <w:right w:val="single" w:sz="4" w:space="0" w:color="auto"/>
            </w:tcBorders>
          </w:tcPr>
          <w:p w14:paraId="431671F8" w14:textId="77777777" w:rsidR="00F025AD" w:rsidRPr="007C6D7E" w:rsidRDefault="00F025AD" w:rsidP="00F025AD">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t>20</w:t>
            </w:r>
          </w:p>
        </w:tc>
        <w:tc>
          <w:tcPr>
            <w:tcW w:w="1276" w:type="dxa"/>
            <w:tcBorders>
              <w:top w:val="single" w:sz="4" w:space="0" w:color="auto"/>
              <w:bottom w:val="single" w:sz="4" w:space="0" w:color="auto"/>
              <w:right w:val="single" w:sz="4" w:space="0" w:color="auto"/>
            </w:tcBorders>
            <w:shd w:val="clear" w:color="auto" w:fill="auto"/>
            <w:noWrap/>
          </w:tcPr>
          <w:p w14:paraId="4F1F046B" w14:textId="77777777" w:rsidR="00F025AD" w:rsidRPr="007C6D7E" w:rsidRDefault="00F025AD" w:rsidP="00F025AD">
            <w:pPr>
              <w:jc w:val="both"/>
              <w:rPr>
                <w:rFonts w:ascii="Palatino Linotype" w:hAnsi="Palatino Linotype"/>
                <w:sz w:val="20"/>
                <w:szCs w:val="20"/>
              </w:rPr>
            </w:pPr>
            <w:r w:rsidRPr="007C6D7E">
              <w:rPr>
                <w:rFonts w:ascii="Palatino Linotype" w:hAnsi="Palatino Linotype"/>
                <w:sz w:val="20"/>
                <w:szCs w:val="20"/>
              </w:rPr>
              <w:t>17/06/2021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73F96817" w14:textId="77777777" w:rsidR="00F025AD" w:rsidRPr="007C6D7E" w:rsidRDefault="00F025AD" w:rsidP="00F025AD">
            <w:pPr>
              <w:jc w:val="both"/>
              <w:rPr>
                <w:rFonts w:ascii="Palatino Linotype" w:hAnsi="Palatino Linotype"/>
                <w:sz w:val="20"/>
                <w:szCs w:val="20"/>
              </w:rPr>
            </w:pPr>
            <w:r w:rsidRPr="007C6D7E">
              <w:rPr>
                <w:rFonts w:ascii="Palatino Linotype" w:hAnsi="Palatino Linotype"/>
                <w:sz w:val="20"/>
                <w:szCs w:val="20"/>
              </w:rPr>
              <w:t xml:space="preserve">Atlas Jewellery India Limited     </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421B37C9" w14:textId="77777777" w:rsidR="00F025AD" w:rsidRPr="007C6D7E" w:rsidRDefault="00F025AD" w:rsidP="00F025AD">
            <w:pPr>
              <w:jc w:val="both"/>
              <w:rPr>
                <w:rFonts w:ascii="Palatino Linotype" w:hAnsi="Palatino Linotype"/>
                <w:sz w:val="20"/>
                <w:szCs w:val="20"/>
              </w:rPr>
            </w:pPr>
            <w:r w:rsidRPr="007C6D7E">
              <w:rPr>
                <w:rFonts w:ascii="Palatino Linotype" w:hAnsi="Palatino Linotype"/>
                <w:sz w:val="20"/>
                <w:szCs w:val="20"/>
              </w:rPr>
              <w:t>11B</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2937F68F" w14:textId="77777777" w:rsidR="00F025AD" w:rsidRPr="007C6D7E" w:rsidRDefault="00F025AD" w:rsidP="00F025AD">
            <w:pPr>
              <w:jc w:val="both"/>
              <w:rPr>
                <w:rFonts w:ascii="Palatino Linotype" w:hAnsi="Palatino Linotype"/>
                <w:sz w:val="20"/>
                <w:szCs w:val="20"/>
              </w:rPr>
            </w:pPr>
            <w:r w:rsidRPr="007C6D7E">
              <w:rPr>
                <w:rFonts w:ascii="Palatino Linotype" w:hAnsi="Palatino Linotype"/>
                <w:sz w:val="20"/>
                <w:szCs w:val="20"/>
              </w:rPr>
              <w:t xml:space="preserve">Atlas Jewellery India Limited and 6 others   </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2FA8BF0" w14:textId="77777777" w:rsidR="00F025AD" w:rsidRPr="007C6D7E" w:rsidRDefault="00F025AD" w:rsidP="00F025AD">
            <w:pPr>
              <w:shd w:val="clear" w:color="auto" w:fill="FFFFFF"/>
              <w:jc w:val="both"/>
              <w:rPr>
                <w:rFonts w:ascii="Palatino Linotype" w:hAnsi="Palatino Linotype"/>
                <w:sz w:val="20"/>
                <w:szCs w:val="20"/>
              </w:rPr>
            </w:pPr>
            <w:r w:rsidRPr="007C6D7E">
              <w:rPr>
                <w:rFonts w:ascii="Palatino Linotype" w:hAnsi="Palatino Linotype"/>
                <w:sz w:val="20"/>
                <w:szCs w:val="20"/>
              </w:rPr>
              <w:t>Regulation 25 (1) of Takeover Regulations read  with  regulation  25  (5)  of  Takeover  Regulations and clause 35 of the Listing Agreement and regulation 72 (1)(c) of ICDR Regulations</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40D754AC" w14:textId="77777777" w:rsidR="00F025AD" w:rsidRPr="007C6D7E" w:rsidRDefault="00F025AD" w:rsidP="00F025AD">
            <w:pPr>
              <w:jc w:val="right"/>
              <w:rPr>
                <w:rFonts w:ascii="Palatino Linotype" w:hAnsi="Palatino Linotype"/>
                <w:sz w:val="20"/>
                <w:szCs w:val="20"/>
              </w:rPr>
            </w:pPr>
            <w:r w:rsidRPr="007C6D7E">
              <w:rPr>
                <w:rFonts w:ascii="Palatino Linotype" w:hAnsi="Palatino Linotype"/>
                <w:sz w:val="20"/>
                <w:szCs w:val="20"/>
              </w:rPr>
              <w:t>-</w:t>
            </w:r>
          </w:p>
        </w:tc>
      </w:tr>
      <w:tr w:rsidR="00F025AD" w:rsidRPr="00B83873" w14:paraId="628D15A4" w14:textId="77777777" w:rsidTr="00F025AD">
        <w:trPr>
          <w:trHeight w:val="300"/>
        </w:trPr>
        <w:tc>
          <w:tcPr>
            <w:tcW w:w="567" w:type="dxa"/>
            <w:tcBorders>
              <w:top w:val="single" w:sz="4" w:space="0" w:color="auto"/>
              <w:left w:val="single" w:sz="4" w:space="0" w:color="auto"/>
              <w:bottom w:val="single" w:sz="4" w:space="0" w:color="auto"/>
              <w:right w:val="single" w:sz="4" w:space="0" w:color="auto"/>
            </w:tcBorders>
          </w:tcPr>
          <w:p w14:paraId="423E3297" w14:textId="77777777" w:rsidR="00F025AD" w:rsidRPr="007C6D7E" w:rsidRDefault="00F025AD" w:rsidP="00F025AD">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t>21</w:t>
            </w:r>
          </w:p>
        </w:tc>
        <w:tc>
          <w:tcPr>
            <w:tcW w:w="1276" w:type="dxa"/>
            <w:tcBorders>
              <w:top w:val="single" w:sz="4" w:space="0" w:color="auto"/>
              <w:bottom w:val="single" w:sz="4" w:space="0" w:color="auto"/>
              <w:right w:val="single" w:sz="4" w:space="0" w:color="auto"/>
            </w:tcBorders>
            <w:shd w:val="clear" w:color="auto" w:fill="auto"/>
            <w:noWrap/>
          </w:tcPr>
          <w:p w14:paraId="6727B04E" w14:textId="77777777" w:rsidR="00F025AD" w:rsidRPr="007C6D7E" w:rsidRDefault="00F025AD" w:rsidP="00F025AD">
            <w:pPr>
              <w:jc w:val="both"/>
              <w:rPr>
                <w:rFonts w:ascii="Palatino Linotype" w:hAnsi="Palatino Linotype"/>
                <w:sz w:val="20"/>
                <w:szCs w:val="20"/>
              </w:rPr>
            </w:pPr>
            <w:r w:rsidRPr="007C6D7E">
              <w:rPr>
                <w:rFonts w:ascii="Palatino Linotype" w:hAnsi="Palatino Linotype"/>
                <w:sz w:val="20"/>
                <w:szCs w:val="20"/>
              </w:rPr>
              <w:t>18/06/2021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78A39E4A" w14:textId="77777777" w:rsidR="00F025AD" w:rsidRPr="007C6D7E" w:rsidRDefault="00F025AD" w:rsidP="00F025AD">
            <w:pPr>
              <w:jc w:val="both"/>
              <w:rPr>
                <w:rFonts w:ascii="Palatino Linotype" w:hAnsi="Palatino Linotype"/>
                <w:sz w:val="20"/>
                <w:szCs w:val="20"/>
              </w:rPr>
            </w:pPr>
            <w:r w:rsidRPr="007C6D7E">
              <w:rPr>
                <w:rFonts w:ascii="Palatino Linotype" w:hAnsi="Palatino Linotype"/>
                <w:sz w:val="20"/>
                <w:szCs w:val="20"/>
              </w:rPr>
              <w:t>Moongipa Investments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37FC63AF" w14:textId="77777777" w:rsidR="00F025AD" w:rsidRPr="007C6D7E" w:rsidRDefault="00F025AD" w:rsidP="00F025AD">
            <w:pPr>
              <w:jc w:val="both"/>
              <w:rPr>
                <w:rFonts w:ascii="Palatino Linotype" w:hAnsi="Palatino Linotype"/>
                <w:sz w:val="20"/>
                <w:szCs w:val="20"/>
              </w:rPr>
            </w:pPr>
            <w:r w:rsidRPr="007C6D7E">
              <w:rPr>
                <w:rFonts w:ascii="Palatino Linotype" w:hAnsi="Palatino Linotype"/>
                <w:sz w:val="20"/>
                <w:szCs w:val="20"/>
              </w:rPr>
              <w:t>11B</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68891281" w14:textId="77777777" w:rsidR="00F025AD" w:rsidRPr="007C6D7E" w:rsidRDefault="00F025AD" w:rsidP="00F025AD">
            <w:pPr>
              <w:jc w:val="both"/>
              <w:rPr>
                <w:rFonts w:ascii="Palatino Linotype" w:hAnsi="Palatino Linotype"/>
                <w:sz w:val="20"/>
                <w:szCs w:val="20"/>
              </w:rPr>
            </w:pPr>
            <w:r w:rsidRPr="007C6D7E">
              <w:rPr>
                <w:rFonts w:ascii="Palatino Linotype" w:hAnsi="Palatino Linotype"/>
                <w:sz w:val="20"/>
                <w:szCs w:val="20"/>
              </w:rPr>
              <w:t>Moongipa Investments Limited</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D97C836" w14:textId="77777777" w:rsidR="00F025AD" w:rsidRPr="007C6D7E" w:rsidRDefault="00F025AD" w:rsidP="00F025AD">
            <w:pPr>
              <w:shd w:val="clear" w:color="auto" w:fill="FFFFFF"/>
              <w:jc w:val="both"/>
              <w:rPr>
                <w:rFonts w:ascii="Palatino Linotype" w:hAnsi="Palatino Linotype"/>
                <w:sz w:val="20"/>
                <w:szCs w:val="20"/>
              </w:rPr>
            </w:pPr>
            <w:r w:rsidRPr="007C6D7E">
              <w:rPr>
                <w:rFonts w:ascii="Palatino Linotype" w:hAnsi="Palatino Linotype"/>
                <w:sz w:val="20"/>
                <w:szCs w:val="20"/>
              </w:rPr>
              <w:t xml:space="preserve">Regulation 8(3)(f) of the SCRR, Regulation 9 read with Clause A(2) and A(5) of the Code of Conduct under the Stock Broker Regulations and SEBI circulars dated </w:t>
            </w:r>
            <w:r w:rsidRPr="007C6D7E">
              <w:rPr>
                <w:rFonts w:ascii="Palatino Linotype" w:hAnsi="Palatino Linotype"/>
                <w:sz w:val="20"/>
                <w:szCs w:val="20"/>
              </w:rPr>
              <w:lastRenderedPageBreak/>
              <w:t>November 18, 1993, December 03, 2009 and August 22, 2011</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72E8A84A" w14:textId="77777777" w:rsidR="00F025AD" w:rsidRPr="007C6D7E" w:rsidRDefault="00F025AD" w:rsidP="00F025AD">
            <w:pPr>
              <w:jc w:val="right"/>
              <w:rPr>
                <w:rFonts w:ascii="Palatino Linotype" w:hAnsi="Palatino Linotype"/>
                <w:sz w:val="20"/>
                <w:szCs w:val="20"/>
              </w:rPr>
            </w:pPr>
            <w:r w:rsidRPr="007C6D7E">
              <w:rPr>
                <w:rFonts w:ascii="Palatino Linotype" w:hAnsi="Palatino Linotype"/>
                <w:sz w:val="20"/>
                <w:szCs w:val="20"/>
              </w:rPr>
              <w:lastRenderedPageBreak/>
              <w:t>-</w:t>
            </w:r>
          </w:p>
        </w:tc>
      </w:tr>
      <w:tr w:rsidR="00F025AD" w:rsidRPr="00B83873" w14:paraId="479B1410" w14:textId="77777777" w:rsidTr="00F025AD">
        <w:trPr>
          <w:trHeight w:val="300"/>
        </w:trPr>
        <w:tc>
          <w:tcPr>
            <w:tcW w:w="567" w:type="dxa"/>
            <w:tcBorders>
              <w:top w:val="single" w:sz="4" w:space="0" w:color="auto"/>
              <w:left w:val="single" w:sz="4" w:space="0" w:color="auto"/>
              <w:bottom w:val="single" w:sz="4" w:space="0" w:color="auto"/>
              <w:right w:val="single" w:sz="4" w:space="0" w:color="auto"/>
            </w:tcBorders>
          </w:tcPr>
          <w:p w14:paraId="59843108" w14:textId="77777777" w:rsidR="00F025AD" w:rsidRPr="007C6D7E" w:rsidRDefault="00F025AD" w:rsidP="00F025AD">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lastRenderedPageBreak/>
              <w:t>22</w:t>
            </w:r>
          </w:p>
        </w:tc>
        <w:tc>
          <w:tcPr>
            <w:tcW w:w="1276" w:type="dxa"/>
            <w:tcBorders>
              <w:top w:val="single" w:sz="4" w:space="0" w:color="auto"/>
              <w:bottom w:val="single" w:sz="4" w:space="0" w:color="auto"/>
              <w:right w:val="single" w:sz="4" w:space="0" w:color="auto"/>
            </w:tcBorders>
            <w:shd w:val="clear" w:color="auto" w:fill="auto"/>
            <w:noWrap/>
          </w:tcPr>
          <w:p w14:paraId="3F59F4CB" w14:textId="77777777" w:rsidR="00F025AD" w:rsidRPr="007C6D7E" w:rsidRDefault="00F025AD" w:rsidP="00F025AD">
            <w:pPr>
              <w:jc w:val="both"/>
              <w:rPr>
                <w:rFonts w:ascii="Palatino Linotype" w:hAnsi="Palatino Linotype"/>
                <w:sz w:val="20"/>
                <w:szCs w:val="20"/>
              </w:rPr>
            </w:pPr>
            <w:r w:rsidRPr="007C6D7E">
              <w:rPr>
                <w:rFonts w:ascii="Palatino Linotype" w:hAnsi="Palatino Linotype"/>
                <w:sz w:val="20"/>
                <w:szCs w:val="20"/>
              </w:rPr>
              <w:t>18/06/2021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7910F75E" w14:textId="77777777" w:rsidR="00F025AD" w:rsidRPr="007C6D7E" w:rsidRDefault="00F025AD" w:rsidP="00F025AD">
            <w:pPr>
              <w:jc w:val="both"/>
              <w:rPr>
                <w:rFonts w:ascii="Palatino Linotype" w:hAnsi="Palatino Linotype"/>
                <w:sz w:val="20"/>
                <w:szCs w:val="20"/>
              </w:rPr>
            </w:pPr>
            <w:r w:rsidRPr="007C6D7E">
              <w:rPr>
                <w:rFonts w:ascii="Palatino Linotype" w:hAnsi="Palatino Linotype"/>
                <w:sz w:val="20"/>
                <w:szCs w:val="20"/>
              </w:rPr>
              <w:t>Blue Bird (India)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1AEED95F" w14:textId="77777777" w:rsidR="00F025AD" w:rsidRPr="007C6D7E" w:rsidRDefault="00F025AD" w:rsidP="00F025AD">
            <w:pPr>
              <w:jc w:val="both"/>
              <w:rPr>
                <w:rFonts w:ascii="Palatino Linotype" w:hAnsi="Palatino Linotype"/>
                <w:sz w:val="20"/>
                <w:szCs w:val="20"/>
              </w:rPr>
            </w:pPr>
            <w:r w:rsidRPr="007C6D7E">
              <w:rPr>
                <w:rFonts w:ascii="Palatino Linotype" w:hAnsi="Palatino Linotype"/>
                <w:sz w:val="20"/>
                <w:szCs w:val="20"/>
              </w:rPr>
              <w:t>11B</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5815CDAE" w14:textId="77777777" w:rsidR="00F025AD" w:rsidRPr="007C6D7E" w:rsidRDefault="00F025AD" w:rsidP="00F025AD">
            <w:pPr>
              <w:jc w:val="both"/>
              <w:rPr>
                <w:rFonts w:ascii="Palatino Linotype" w:hAnsi="Palatino Linotype"/>
                <w:sz w:val="20"/>
                <w:szCs w:val="20"/>
              </w:rPr>
            </w:pPr>
            <w:r w:rsidRPr="007C6D7E">
              <w:rPr>
                <w:rFonts w:ascii="Palatino Linotype" w:hAnsi="Palatino Linotype"/>
                <w:sz w:val="20"/>
                <w:szCs w:val="20"/>
              </w:rPr>
              <w:t xml:space="preserve">Blue Bird (India) Limited and 10 Others </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7806094" w14:textId="77777777" w:rsidR="00F025AD" w:rsidRPr="007C6D7E" w:rsidRDefault="00F025AD" w:rsidP="00F025AD">
            <w:pPr>
              <w:shd w:val="clear" w:color="auto" w:fill="FFFFFF"/>
              <w:jc w:val="both"/>
              <w:rPr>
                <w:rFonts w:ascii="Palatino Linotype" w:hAnsi="Palatino Linotype"/>
                <w:sz w:val="20"/>
                <w:szCs w:val="20"/>
              </w:rPr>
            </w:pPr>
            <w:r w:rsidRPr="007C6D7E">
              <w:rPr>
                <w:rFonts w:ascii="Palatino Linotype" w:hAnsi="Palatino Linotype"/>
                <w:sz w:val="20"/>
                <w:szCs w:val="20"/>
              </w:rPr>
              <w:t>Section 12A (b) of the SEBI Act, 1992, Regulations3 (c), 4(1) and 4(2) (f) of PFUTP Regulations, 2003.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7305FBD5" w14:textId="77777777" w:rsidR="00F025AD" w:rsidRPr="007C6D7E" w:rsidRDefault="00F025AD" w:rsidP="00F025AD">
            <w:pPr>
              <w:jc w:val="right"/>
              <w:rPr>
                <w:rFonts w:ascii="Palatino Linotype" w:hAnsi="Palatino Linotype"/>
                <w:sz w:val="20"/>
                <w:szCs w:val="20"/>
              </w:rPr>
            </w:pPr>
            <w:r w:rsidRPr="007C6D7E">
              <w:rPr>
                <w:rFonts w:ascii="Palatino Linotype" w:hAnsi="Palatino Linotype"/>
                <w:sz w:val="20"/>
                <w:szCs w:val="20"/>
              </w:rPr>
              <w:t>-</w:t>
            </w:r>
          </w:p>
        </w:tc>
      </w:tr>
      <w:tr w:rsidR="00F025AD" w:rsidRPr="00B83873" w14:paraId="4E174A12" w14:textId="77777777" w:rsidTr="00F025AD">
        <w:trPr>
          <w:trHeight w:val="300"/>
        </w:trPr>
        <w:tc>
          <w:tcPr>
            <w:tcW w:w="567" w:type="dxa"/>
            <w:tcBorders>
              <w:top w:val="single" w:sz="4" w:space="0" w:color="auto"/>
              <w:left w:val="single" w:sz="4" w:space="0" w:color="auto"/>
              <w:bottom w:val="single" w:sz="4" w:space="0" w:color="auto"/>
              <w:right w:val="single" w:sz="4" w:space="0" w:color="auto"/>
            </w:tcBorders>
          </w:tcPr>
          <w:p w14:paraId="235D830E" w14:textId="77777777" w:rsidR="00F025AD" w:rsidRPr="007C6D7E" w:rsidRDefault="00F025AD" w:rsidP="00F025AD">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t>23</w:t>
            </w:r>
          </w:p>
        </w:tc>
        <w:tc>
          <w:tcPr>
            <w:tcW w:w="1276" w:type="dxa"/>
            <w:tcBorders>
              <w:top w:val="single" w:sz="4" w:space="0" w:color="auto"/>
              <w:bottom w:val="single" w:sz="4" w:space="0" w:color="auto"/>
              <w:right w:val="single" w:sz="4" w:space="0" w:color="auto"/>
            </w:tcBorders>
            <w:shd w:val="clear" w:color="auto" w:fill="auto"/>
            <w:noWrap/>
          </w:tcPr>
          <w:p w14:paraId="55797060" w14:textId="77777777" w:rsidR="00F025AD" w:rsidRPr="007C6D7E" w:rsidRDefault="00F025AD" w:rsidP="00F025AD">
            <w:pPr>
              <w:jc w:val="both"/>
              <w:rPr>
                <w:rFonts w:ascii="Palatino Linotype" w:hAnsi="Palatino Linotype"/>
                <w:sz w:val="20"/>
                <w:szCs w:val="20"/>
              </w:rPr>
            </w:pPr>
            <w:r w:rsidRPr="007C6D7E">
              <w:rPr>
                <w:rFonts w:ascii="Palatino Linotype" w:hAnsi="Palatino Linotype"/>
                <w:sz w:val="20"/>
                <w:szCs w:val="20"/>
              </w:rPr>
              <w:t>18/06/2021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2ED8E6DF" w14:textId="77777777" w:rsidR="00F025AD" w:rsidRPr="007C6D7E" w:rsidRDefault="00F025AD" w:rsidP="00F025AD">
            <w:pPr>
              <w:jc w:val="both"/>
              <w:rPr>
                <w:rFonts w:ascii="Palatino Linotype" w:hAnsi="Palatino Linotype"/>
                <w:sz w:val="20"/>
                <w:szCs w:val="20"/>
              </w:rPr>
            </w:pPr>
            <w:r w:rsidRPr="007C6D7E">
              <w:rPr>
                <w:rFonts w:ascii="Palatino Linotype" w:hAnsi="Palatino Linotype"/>
                <w:sz w:val="20"/>
                <w:szCs w:val="20"/>
              </w:rPr>
              <w:t>Atlas Jewellery  India Limited</w:t>
            </w:r>
          </w:p>
          <w:p w14:paraId="521DC43D" w14:textId="77777777" w:rsidR="00F025AD" w:rsidRPr="007C6D7E" w:rsidRDefault="00F025AD" w:rsidP="00F025AD">
            <w:pPr>
              <w:jc w:val="both"/>
              <w:rPr>
                <w:rFonts w:ascii="Palatino Linotype" w:hAnsi="Palatino Linotype"/>
                <w:sz w:val="20"/>
                <w:szCs w:val="20"/>
              </w:rPr>
            </w:pPr>
            <w:r w:rsidRPr="007C6D7E">
              <w:rPr>
                <w:rFonts w:ascii="Palatino Linotype" w:hAnsi="Palatino Linotype"/>
                <w:sz w:val="20"/>
                <w:szCs w:val="20"/>
              </w:rPr>
              <w:t>Corrigendum to the order dated june 17, 2021</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5AFE4016" w14:textId="77777777" w:rsidR="00F025AD" w:rsidRPr="007C6D7E" w:rsidRDefault="00F025AD" w:rsidP="00F025AD">
            <w:pPr>
              <w:jc w:val="both"/>
              <w:rPr>
                <w:rFonts w:ascii="Palatino Linotype" w:hAnsi="Palatino Linotype"/>
                <w:sz w:val="20"/>
                <w:szCs w:val="20"/>
              </w:rPr>
            </w:pPr>
            <w:r w:rsidRPr="007C6D7E">
              <w:rPr>
                <w:rFonts w:ascii="Palatino Linotype" w:hAnsi="Palatino Linotype"/>
                <w:sz w:val="20"/>
                <w:szCs w:val="20"/>
              </w:rPr>
              <w:t>11B</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66ED635B" w14:textId="77777777" w:rsidR="00F025AD" w:rsidRPr="007C6D7E" w:rsidRDefault="00F025AD" w:rsidP="00F025AD">
            <w:pPr>
              <w:jc w:val="both"/>
              <w:rPr>
                <w:rFonts w:ascii="Palatino Linotype" w:hAnsi="Palatino Linotype"/>
                <w:sz w:val="20"/>
                <w:szCs w:val="20"/>
              </w:rPr>
            </w:pPr>
            <w:r w:rsidRPr="007C6D7E">
              <w:rPr>
                <w:rFonts w:ascii="Palatino Linotype" w:hAnsi="Palatino Linotype"/>
                <w:sz w:val="20"/>
                <w:szCs w:val="20"/>
              </w:rPr>
              <w:t>Atlas Jewellery  India Limited</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C099252" w14:textId="77777777" w:rsidR="00F025AD" w:rsidRPr="007C6D7E" w:rsidRDefault="00F025AD" w:rsidP="00F025AD">
            <w:pPr>
              <w:shd w:val="clear" w:color="auto" w:fill="FFFFFF"/>
              <w:jc w:val="both"/>
              <w:rPr>
                <w:rFonts w:ascii="Palatino Linotype" w:hAnsi="Palatino Linotype"/>
                <w:sz w:val="20"/>
                <w:szCs w:val="20"/>
              </w:rPr>
            </w:pPr>
            <w:r w:rsidRPr="007C6D7E">
              <w:rPr>
                <w:rFonts w:ascii="Palatino Linotype" w:hAnsi="Palatino Linotype"/>
                <w:sz w:val="20"/>
                <w:szCs w:val="20"/>
              </w:rPr>
              <w:t>Clause 35 of the Listing Agreement and regulation 72 (1)(c) of ICDR Regulations</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563F1BB8" w14:textId="77777777" w:rsidR="00F025AD" w:rsidRPr="007C6D7E" w:rsidRDefault="00F025AD" w:rsidP="00F025AD">
            <w:pPr>
              <w:jc w:val="right"/>
              <w:rPr>
                <w:rFonts w:ascii="Palatino Linotype" w:hAnsi="Palatino Linotype"/>
                <w:sz w:val="20"/>
                <w:szCs w:val="20"/>
              </w:rPr>
            </w:pPr>
            <w:r w:rsidRPr="007C6D7E">
              <w:rPr>
                <w:rFonts w:ascii="Palatino Linotype" w:hAnsi="Palatino Linotype"/>
                <w:sz w:val="20"/>
                <w:szCs w:val="20"/>
              </w:rPr>
              <w:t>-</w:t>
            </w:r>
          </w:p>
        </w:tc>
      </w:tr>
      <w:tr w:rsidR="00F025AD" w:rsidRPr="00B83873" w14:paraId="2A9048D0" w14:textId="77777777" w:rsidTr="00F025AD">
        <w:trPr>
          <w:trHeight w:val="300"/>
        </w:trPr>
        <w:tc>
          <w:tcPr>
            <w:tcW w:w="567" w:type="dxa"/>
            <w:tcBorders>
              <w:top w:val="single" w:sz="4" w:space="0" w:color="auto"/>
              <w:left w:val="single" w:sz="4" w:space="0" w:color="auto"/>
              <w:bottom w:val="single" w:sz="4" w:space="0" w:color="auto"/>
              <w:right w:val="single" w:sz="4" w:space="0" w:color="auto"/>
            </w:tcBorders>
          </w:tcPr>
          <w:p w14:paraId="6E81616A" w14:textId="77777777" w:rsidR="00F025AD" w:rsidRPr="007C6D7E" w:rsidRDefault="00F025AD" w:rsidP="00F025AD">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t>24</w:t>
            </w:r>
          </w:p>
        </w:tc>
        <w:tc>
          <w:tcPr>
            <w:tcW w:w="1276" w:type="dxa"/>
            <w:tcBorders>
              <w:top w:val="single" w:sz="4" w:space="0" w:color="auto"/>
              <w:bottom w:val="single" w:sz="4" w:space="0" w:color="auto"/>
              <w:right w:val="single" w:sz="4" w:space="0" w:color="auto"/>
            </w:tcBorders>
            <w:shd w:val="clear" w:color="auto" w:fill="auto"/>
            <w:noWrap/>
          </w:tcPr>
          <w:p w14:paraId="74830748" w14:textId="77777777" w:rsidR="00F025AD" w:rsidRPr="007C6D7E" w:rsidRDefault="00F025AD" w:rsidP="00F025AD">
            <w:pPr>
              <w:jc w:val="both"/>
              <w:rPr>
                <w:rFonts w:ascii="Palatino Linotype" w:hAnsi="Palatino Linotype"/>
                <w:sz w:val="20"/>
                <w:szCs w:val="20"/>
              </w:rPr>
            </w:pPr>
            <w:r w:rsidRPr="007C6D7E">
              <w:rPr>
                <w:rFonts w:ascii="Palatino Linotype" w:hAnsi="Palatino Linotype"/>
                <w:sz w:val="20"/>
                <w:szCs w:val="20"/>
              </w:rPr>
              <w:t>18/06/2021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61BB4506" w14:textId="77777777" w:rsidR="00F025AD" w:rsidRPr="007C6D7E" w:rsidRDefault="00F025AD" w:rsidP="00F025AD">
            <w:pPr>
              <w:jc w:val="both"/>
              <w:rPr>
                <w:rFonts w:ascii="Palatino Linotype" w:hAnsi="Palatino Linotype"/>
                <w:sz w:val="20"/>
                <w:szCs w:val="20"/>
              </w:rPr>
            </w:pPr>
            <w:r w:rsidRPr="007C6D7E">
              <w:rPr>
                <w:rFonts w:ascii="Palatino Linotype" w:hAnsi="Palatino Linotype"/>
                <w:sz w:val="20"/>
                <w:szCs w:val="20"/>
              </w:rPr>
              <w:t>Alchemist Holdings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6853D85C" w14:textId="77777777" w:rsidR="00F025AD" w:rsidRPr="007C6D7E" w:rsidRDefault="00F025AD" w:rsidP="00F025AD">
            <w:pPr>
              <w:jc w:val="both"/>
              <w:rPr>
                <w:rFonts w:ascii="Palatino Linotype" w:hAnsi="Palatino Linotype"/>
                <w:sz w:val="20"/>
                <w:szCs w:val="20"/>
              </w:rPr>
            </w:pPr>
            <w:r w:rsidRPr="007C6D7E">
              <w:rPr>
                <w:rFonts w:ascii="Palatino Linotype" w:hAnsi="Palatino Linotype"/>
                <w:sz w:val="20"/>
                <w:szCs w:val="20"/>
              </w:rPr>
              <w:t>11B</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73A031D0" w14:textId="77777777" w:rsidR="00F025AD" w:rsidRPr="007C6D7E" w:rsidRDefault="00F025AD" w:rsidP="00F025AD">
            <w:pPr>
              <w:jc w:val="both"/>
              <w:rPr>
                <w:rFonts w:ascii="Palatino Linotype" w:hAnsi="Palatino Linotype"/>
                <w:sz w:val="20"/>
                <w:szCs w:val="20"/>
              </w:rPr>
            </w:pPr>
            <w:r w:rsidRPr="007C6D7E">
              <w:rPr>
                <w:rFonts w:ascii="Palatino Linotype" w:hAnsi="Palatino Linotype"/>
                <w:sz w:val="20"/>
                <w:szCs w:val="20"/>
              </w:rPr>
              <w:t>Balvir Singh, Sukrit Sood, Ashima Sood, Sunil Kanti Kar</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3A3E415" w14:textId="77777777" w:rsidR="00F025AD" w:rsidRPr="007C6D7E" w:rsidRDefault="00F025AD" w:rsidP="00F025AD">
            <w:pPr>
              <w:shd w:val="clear" w:color="auto" w:fill="FFFFFF"/>
              <w:jc w:val="both"/>
              <w:rPr>
                <w:rFonts w:ascii="Palatino Linotype" w:hAnsi="Palatino Linotype"/>
                <w:sz w:val="20"/>
                <w:szCs w:val="20"/>
              </w:rPr>
            </w:pPr>
            <w:r w:rsidRPr="007C6D7E">
              <w:rPr>
                <w:rFonts w:ascii="Palatino Linotype" w:hAnsi="Palatino Linotype"/>
                <w:sz w:val="20"/>
                <w:szCs w:val="20"/>
              </w:rPr>
              <w:t>Sections 56(1), 56(3) and 60 of the Companies Act, 1956</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2171ECA5" w14:textId="77777777" w:rsidR="00F025AD" w:rsidRPr="007C6D7E" w:rsidRDefault="00F025AD" w:rsidP="00F025AD">
            <w:pPr>
              <w:jc w:val="right"/>
              <w:rPr>
                <w:rFonts w:ascii="Palatino Linotype" w:hAnsi="Palatino Linotype"/>
                <w:sz w:val="20"/>
                <w:szCs w:val="20"/>
              </w:rPr>
            </w:pPr>
            <w:r w:rsidRPr="007C6D7E">
              <w:rPr>
                <w:rFonts w:ascii="Palatino Linotype" w:hAnsi="Palatino Linotype"/>
                <w:sz w:val="20"/>
                <w:szCs w:val="20"/>
              </w:rPr>
              <w:t>-</w:t>
            </w:r>
          </w:p>
        </w:tc>
      </w:tr>
      <w:tr w:rsidR="00F025AD" w:rsidRPr="00B83873" w14:paraId="66A7864B" w14:textId="77777777" w:rsidTr="00F025AD">
        <w:trPr>
          <w:trHeight w:val="300"/>
        </w:trPr>
        <w:tc>
          <w:tcPr>
            <w:tcW w:w="567" w:type="dxa"/>
            <w:tcBorders>
              <w:top w:val="single" w:sz="4" w:space="0" w:color="auto"/>
              <w:left w:val="single" w:sz="4" w:space="0" w:color="auto"/>
              <w:bottom w:val="single" w:sz="4" w:space="0" w:color="auto"/>
              <w:right w:val="single" w:sz="4" w:space="0" w:color="auto"/>
            </w:tcBorders>
          </w:tcPr>
          <w:p w14:paraId="7C46295A" w14:textId="77777777" w:rsidR="00F025AD" w:rsidRPr="007C6D7E" w:rsidRDefault="00F025AD" w:rsidP="00F025AD">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t>25</w:t>
            </w:r>
          </w:p>
        </w:tc>
        <w:tc>
          <w:tcPr>
            <w:tcW w:w="1276" w:type="dxa"/>
            <w:tcBorders>
              <w:top w:val="single" w:sz="4" w:space="0" w:color="auto"/>
              <w:bottom w:val="single" w:sz="4" w:space="0" w:color="auto"/>
              <w:right w:val="single" w:sz="4" w:space="0" w:color="auto"/>
            </w:tcBorders>
            <w:shd w:val="clear" w:color="auto" w:fill="auto"/>
            <w:noWrap/>
          </w:tcPr>
          <w:p w14:paraId="2AAD6113" w14:textId="77777777" w:rsidR="00F025AD" w:rsidRPr="007C6D7E" w:rsidRDefault="00F025AD" w:rsidP="00F025AD">
            <w:pPr>
              <w:jc w:val="both"/>
              <w:rPr>
                <w:rFonts w:ascii="Palatino Linotype" w:eastAsia="Calibri" w:hAnsi="Palatino Linotype"/>
                <w:sz w:val="20"/>
                <w:szCs w:val="20"/>
                <w:lang w:val="en-IN"/>
              </w:rPr>
            </w:pPr>
            <w:r w:rsidRPr="007C6D7E">
              <w:rPr>
                <w:rFonts w:ascii="Palatino Linotype" w:eastAsia="Calibri" w:hAnsi="Palatino Linotype"/>
                <w:sz w:val="20"/>
                <w:szCs w:val="20"/>
                <w:lang w:val="en-IN"/>
              </w:rPr>
              <w:t>22/06/2021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5871E7A6" w14:textId="77777777" w:rsidR="00F025AD" w:rsidRPr="007C6D7E" w:rsidRDefault="00F025AD" w:rsidP="00F025AD">
            <w:pPr>
              <w:jc w:val="both"/>
              <w:rPr>
                <w:rFonts w:ascii="Palatino Linotype" w:eastAsia="Calibri" w:hAnsi="Palatino Linotype"/>
                <w:sz w:val="20"/>
                <w:szCs w:val="20"/>
                <w:lang w:val="en-IN"/>
              </w:rPr>
            </w:pPr>
            <w:r w:rsidRPr="007C6D7E">
              <w:rPr>
                <w:rFonts w:ascii="Palatino Linotype" w:eastAsia="Calibri" w:hAnsi="Palatino Linotype"/>
                <w:sz w:val="20"/>
                <w:szCs w:val="20"/>
                <w:lang w:val="en-IN"/>
              </w:rPr>
              <w:t>GDR Issue of Sterling Biotech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24D0ABAA" w14:textId="77777777" w:rsidR="00F025AD" w:rsidRPr="007C6D7E" w:rsidRDefault="00F025AD" w:rsidP="00F025AD">
            <w:pPr>
              <w:jc w:val="both"/>
              <w:rPr>
                <w:rFonts w:ascii="Palatino Linotype" w:eastAsia="Calibri" w:hAnsi="Palatino Linotype"/>
                <w:sz w:val="20"/>
                <w:szCs w:val="20"/>
                <w:lang w:val="en-IN"/>
              </w:rPr>
            </w:pPr>
            <w:r w:rsidRPr="007C6D7E">
              <w:rPr>
                <w:rFonts w:ascii="Palatino Linotype" w:eastAsia="Calibri" w:hAnsi="Palatino Linotype"/>
                <w:sz w:val="20"/>
                <w:szCs w:val="20"/>
                <w:lang w:val="en-IN"/>
              </w:rPr>
              <w:t>11B</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745662DC" w14:textId="77777777" w:rsidR="00F025AD" w:rsidRPr="007C6D7E" w:rsidRDefault="00F025AD" w:rsidP="00F025AD">
            <w:pPr>
              <w:jc w:val="both"/>
              <w:rPr>
                <w:rFonts w:ascii="Palatino Linotype" w:eastAsia="Calibri" w:hAnsi="Palatino Linotype"/>
                <w:sz w:val="20"/>
                <w:szCs w:val="20"/>
                <w:lang w:val="en-IN"/>
              </w:rPr>
            </w:pPr>
            <w:r w:rsidRPr="007C6D7E">
              <w:rPr>
                <w:rFonts w:ascii="Palatino Linotype" w:eastAsia="Calibri" w:hAnsi="Palatino Linotype"/>
                <w:sz w:val="20"/>
                <w:szCs w:val="20"/>
                <w:lang w:val="en-IN"/>
              </w:rPr>
              <w:t xml:space="preserve">Sterling Biotech Limited (In Liquidation) and 7 Others. </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11B846A" w14:textId="77777777" w:rsidR="00F025AD" w:rsidRPr="007C6D7E" w:rsidRDefault="00F025AD" w:rsidP="00F025AD">
            <w:pPr>
              <w:jc w:val="both"/>
              <w:rPr>
                <w:rFonts w:ascii="Palatino Linotype" w:hAnsi="Palatino Linotype"/>
                <w:sz w:val="20"/>
                <w:szCs w:val="20"/>
                <w:lang w:val="en-IN" w:eastAsia="en-IN" w:bidi="hi-IN"/>
              </w:rPr>
            </w:pPr>
            <w:r w:rsidRPr="007C6D7E">
              <w:rPr>
                <w:rFonts w:ascii="Palatino Linotype" w:hAnsi="Palatino Linotype"/>
                <w:sz w:val="20"/>
                <w:szCs w:val="20"/>
                <w:lang w:val="en-IN" w:eastAsia="en-IN" w:bidi="hi-IN"/>
              </w:rPr>
              <w:t>Section 12A(a), 12A(b), 12A(c)of SEBI Act 1992 r/w Regulations 3(a), (b), (c), (d) &amp; 4(1) of SEBI</w:t>
            </w:r>
          </w:p>
          <w:p w14:paraId="07B39EF8" w14:textId="77777777" w:rsidR="00F025AD" w:rsidRPr="007C6D7E" w:rsidRDefault="00F025AD" w:rsidP="00F025AD">
            <w:pPr>
              <w:jc w:val="both"/>
              <w:rPr>
                <w:rFonts w:ascii="Palatino Linotype" w:hAnsi="Palatino Linotype"/>
                <w:sz w:val="20"/>
                <w:szCs w:val="20"/>
                <w:lang w:val="en-IN" w:eastAsia="en-IN" w:bidi="hi-IN"/>
              </w:rPr>
            </w:pPr>
            <w:r w:rsidRPr="007C6D7E">
              <w:rPr>
                <w:rFonts w:ascii="Palatino Linotype" w:hAnsi="Palatino Linotype"/>
                <w:sz w:val="20"/>
                <w:szCs w:val="20"/>
                <w:lang w:val="en-IN" w:eastAsia="en-IN" w:bidi="hi-IN"/>
              </w:rPr>
              <w:t>(PFUTP) Regulations, 2003</w:t>
            </w:r>
          </w:p>
          <w:p w14:paraId="10E63603" w14:textId="77777777" w:rsidR="00F025AD" w:rsidRPr="007C6D7E" w:rsidRDefault="00F025AD" w:rsidP="00F025AD">
            <w:pPr>
              <w:shd w:val="clear" w:color="auto" w:fill="FFFFFF"/>
              <w:jc w:val="both"/>
              <w:rPr>
                <w:rFonts w:ascii="Palatino Linotype" w:eastAsia="Calibri" w:hAnsi="Palatino Linotype"/>
                <w:sz w:val="20"/>
                <w:szCs w:val="20"/>
                <w:lang w:val="en-IN"/>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6AB2C11E" w14:textId="77777777" w:rsidR="00F025AD" w:rsidRPr="007C6D7E" w:rsidRDefault="00F025AD" w:rsidP="00F025AD">
            <w:pPr>
              <w:jc w:val="right"/>
              <w:rPr>
                <w:rFonts w:ascii="Palatino Linotype" w:eastAsia="Calibri" w:hAnsi="Palatino Linotype"/>
                <w:sz w:val="20"/>
                <w:szCs w:val="20"/>
                <w:lang w:val="en-IN"/>
              </w:rPr>
            </w:pPr>
            <w:r w:rsidRPr="007C6D7E">
              <w:rPr>
                <w:rFonts w:ascii="Palatino Linotype" w:eastAsia="Calibri" w:hAnsi="Palatino Linotype"/>
                <w:sz w:val="20"/>
                <w:szCs w:val="20"/>
                <w:lang w:val="en-IN"/>
              </w:rPr>
              <w:t>-</w:t>
            </w:r>
          </w:p>
        </w:tc>
      </w:tr>
      <w:tr w:rsidR="00F025AD" w:rsidRPr="00B83873" w14:paraId="4E3FC48D" w14:textId="77777777" w:rsidTr="00F025AD">
        <w:trPr>
          <w:trHeight w:val="300"/>
        </w:trPr>
        <w:tc>
          <w:tcPr>
            <w:tcW w:w="567" w:type="dxa"/>
            <w:tcBorders>
              <w:top w:val="single" w:sz="4" w:space="0" w:color="auto"/>
              <w:left w:val="single" w:sz="4" w:space="0" w:color="auto"/>
              <w:bottom w:val="single" w:sz="4" w:space="0" w:color="auto"/>
              <w:right w:val="single" w:sz="4" w:space="0" w:color="auto"/>
            </w:tcBorders>
          </w:tcPr>
          <w:p w14:paraId="43D7E8C0" w14:textId="77777777" w:rsidR="00F025AD" w:rsidRPr="007C6D7E" w:rsidRDefault="00F025AD" w:rsidP="00F025AD">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t>26</w:t>
            </w:r>
          </w:p>
        </w:tc>
        <w:tc>
          <w:tcPr>
            <w:tcW w:w="1276" w:type="dxa"/>
            <w:tcBorders>
              <w:top w:val="single" w:sz="4" w:space="0" w:color="auto"/>
              <w:bottom w:val="single" w:sz="4" w:space="0" w:color="auto"/>
              <w:right w:val="single" w:sz="4" w:space="0" w:color="auto"/>
            </w:tcBorders>
            <w:shd w:val="clear" w:color="auto" w:fill="auto"/>
            <w:noWrap/>
          </w:tcPr>
          <w:p w14:paraId="4D08F11B" w14:textId="77777777" w:rsidR="00F025AD" w:rsidRPr="007C6D7E" w:rsidRDefault="00F025AD" w:rsidP="00F025AD">
            <w:pPr>
              <w:jc w:val="both"/>
              <w:rPr>
                <w:rFonts w:ascii="Palatino Linotype" w:eastAsia="Calibri" w:hAnsi="Palatino Linotype"/>
                <w:sz w:val="20"/>
                <w:szCs w:val="20"/>
                <w:lang w:val="en-IN"/>
              </w:rPr>
            </w:pPr>
            <w:r w:rsidRPr="007C6D7E">
              <w:rPr>
                <w:rFonts w:ascii="Palatino Linotype" w:eastAsia="Calibri" w:hAnsi="Palatino Linotype"/>
                <w:sz w:val="20"/>
                <w:szCs w:val="20"/>
                <w:lang w:val="en-IN"/>
              </w:rPr>
              <w:t>22/06/2021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6B166D1A" w14:textId="77777777" w:rsidR="00F025AD" w:rsidRPr="007C6D7E" w:rsidRDefault="00F025AD" w:rsidP="00F025AD">
            <w:pPr>
              <w:jc w:val="both"/>
              <w:rPr>
                <w:rFonts w:ascii="Palatino Linotype" w:eastAsia="Calibri" w:hAnsi="Palatino Linotype"/>
                <w:sz w:val="20"/>
                <w:szCs w:val="20"/>
                <w:lang w:val="en-IN"/>
              </w:rPr>
            </w:pPr>
            <w:r w:rsidRPr="007C6D7E">
              <w:rPr>
                <w:rFonts w:ascii="Palatino Linotype" w:eastAsia="Calibri" w:hAnsi="Palatino Linotype"/>
                <w:sz w:val="20"/>
                <w:szCs w:val="20"/>
                <w:lang w:val="en-IN"/>
              </w:rPr>
              <w:t>Vishwas   Stocks   Research   Private   Limited,   Dalal   Stocks Advisory Private Limited and Devki Stocks Private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5664658C" w14:textId="77777777" w:rsidR="00F025AD" w:rsidRPr="007C6D7E" w:rsidRDefault="00F025AD" w:rsidP="00F025AD">
            <w:pPr>
              <w:jc w:val="both"/>
              <w:rPr>
                <w:rFonts w:ascii="Palatino Linotype" w:eastAsia="Calibri" w:hAnsi="Palatino Linotype"/>
                <w:sz w:val="20"/>
                <w:szCs w:val="20"/>
                <w:lang w:val="en-IN"/>
              </w:rPr>
            </w:pPr>
            <w:r w:rsidRPr="007C6D7E">
              <w:rPr>
                <w:rFonts w:ascii="Palatino Linotype" w:eastAsia="Calibri" w:hAnsi="Palatino Linotype"/>
                <w:sz w:val="20"/>
                <w:szCs w:val="20"/>
                <w:lang w:val="en-IN"/>
              </w:rPr>
              <w:t>11B</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6498834C" w14:textId="77777777" w:rsidR="00F025AD" w:rsidRPr="007C6D7E" w:rsidRDefault="00F025AD" w:rsidP="00F025AD">
            <w:pPr>
              <w:jc w:val="both"/>
              <w:rPr>
                <w:rFonts w:ascii="Palatino Linotype" w:eastAsia="Calibri" w:hAnsi="Palatino Linotype"/>
                <w:sz w:val="20"/>
                <w:szCs w:val="20"/>
                <w:lang w:val="en-IN"/>
              </w:rPr>
            </w:pPr>
            <w:r w:rsidRPr="007C6D7E">
              <w:rPr>
                <w:rFonts w:ascii="Palatino Linotype" w:eastAsia="Calibri" w:hAnsi="Palatino Linotype"/>
                <w:sz w:val="20"/>
                <w:szCs w:val="20"/>
                <w:lang w:val="en-IN"/>
              </w:rPr>
              <w:t xml:space="preserve">Dalal Merchandise Advisory Pvt. Ltd. And 7 Others. </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9F1F9D6" w14:textId="77777777" w:rsidR="00F025AD" w:rsidRPr="007C6D7E" w:rsidRDefault="00F025AD" w:rsidP="00F025AD">
            <w:pPr>
              <w:jc w:val="both"/>
              <w:rPr>
                <w:rFonts w:ascii="Palatino Linotype" w:eastAsia="Calibri" w:hAnsi="Palatino Linotype"/>
                <w:sz w:val="20"/>
                <w:szCs w:val="20"/>
                <w:lang w:val="en-IN"/>
              </w:rPr>
            </w:pPr>
            <w:r w:rsidRPr="007C6D7E">
              <w:rPr>
                <w:rFonts w:ascii="Palatino Linotype" w:eastAsia="Calibri" w:hAnsi="Palatino Linotype"/>
                <w:sz w:val="20"/>
                <w:szCs w:val="20"/>
                <w:lang w:val="en-IN"/>
              </w:rPr>
              <w:t xml:space="preserve">SEBI Act, 1992, relevant regulations of </w:t>
            </w:r>
          </w:p>
          <w:p w14:paraId="630A70EA" w14:textId="77777777" w:rsidR="00F025AD" w:rsidRPr="007C6D7E" w:rsidRDefault="00F025AD" w:rsidP="00F025AD">
            <w:pPr>
              <w:jc w:val="both"/>
              <w:rPr>
                <w:rFonts w:ascii="Palatino Linotype" w:eastAsia="Calibri" w:hAnsi="Palatino Linotype"/>
                <w:sz w:val="20"/>
                <w:szCs w:val="20"/>
                <w:lang w:val="en-IN"/>
              </w:rPr>
            </w:pPr>
            <w:r w:rsidRPr="007C6D7E">
              <w:rPr>
                <w:rFonts w:ascii="Palatino Linotype" w:eastAsia="Calibri" w:hAnsi="Palatino Linotype"/>
                <w:sz w:val="20"/>
                <w:szCs w:val="20"/>
                <w:lang w:val="en-IN"/>
              </w:rPr>
              <w:t>PFUTP Regulations, 2003 and the relevant</w:t>
            </w:r>
          </w:p>
          <w:p w14:paraId="229AA99C" w14:textId="77777777" w:rsidR="00F025AD" w:rsidRPr="007C6D7E" w:rsidRDefault="00F025AD" w:rsidP="00F025AD">
            <w:pPr>
              <w:jc w:val="both"/>
              <w:rPr>
                <w:rFonts w:ascii="Palatino Linotype" w:eastAsia="Calibri" w:hAnsi="Palatino Linotype"/>
                <w:sz w:val="20"/>
                <w:szCs w:val="20"/>
                <w:lang w:val="en-IN"/>
              </w:rPr>
            </w:pPr>
            <w:r w:rsidRPr="007C6D7E">
              <w:rPr>
                <w:rFonts w:ascii="Palatino Linotype" w:eastAsia="Calibri" w:hAnsi="Palatino Linotype"/>
                <w:sz w:val="20"/>
                <w:szCs w:val="20"/>
                <w:lang w:val="en-IN"/>
              </w:rPr>
              <w:t>provisions of</w:t>
            </w:r>
          </w:p>
          <w:p w14:paraId="22698F07" w14:textId="77777777" w:rsidR="00F025AD" w:rsidRPr="007C6D7E" w:rsidRDefault="00F025AD" w:rsidP="00F025AD">
            <w:pPr>
              <w:jc w:val="both"/>
              <w:rPr>
                <w:rFonts w:ascii="Palatino Linotype" w:eastAsia="Calibri" w:hAnsi="Palatino Linotype"/>
                <w:sz w:val="20"/>
                <w:szCs w:val="20"/>
                <w:lang w:val="en-IN"/>
              </w:rPr>
            </w:pPr>
            <w:r w:rsidRPr="007C6D7E">
              <w:rPr>
                <w:rFonts w:ascii="Palatino Linotype" w:eastAsia="Calibri" w:hAnsi="Palatino Linotype"/>
                <w:sz w:val="20"/>
                <w:szCs w:val="20"/>
                <w:lang w:val="en-IN"/>
              </w:rPr>
              <w:t>SEBI Investment Adviser Regulations, 2013</w:t>
            </w:r>
          </w:p>
          <w:p w14:paraId="46A0D2B7" w14:textId="77777777" w:rsidR="00F025AD" w:rsidRPr="007C6D7E" w:rsidRDefault="00F025AD" w:rsidP="00F025AD">
            <w:pPr>
              <w:shd w:val="clear" w:color="auto" w:fill="FFFFFF"/>
              <w:jc w:val="both"/>
              <w:rPr>
                <w:rFonts w:ascii="Palatino Linotype" w:eastAsia="Calibri" w:hAnsi="Palatino Linotype"/>
                <w:sz w:val="20"/>
                <w:szCs w:val="20"/>
                <w:lang w:val="en-IN"/>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22C081C9" w14:textId="77777777" w:rsidR="00F025AD" w:rsidRPr="007C6D7E" w:rsidRDefault="00F025AD" w:rsidP="00F025AD">
            <w:pPr>
              <w:jc w:val="right"/>
              <w:rPr>
                <w:rFonts w:ascii="Palatino Linotype" w:eastAsia="Calibri" w:hAnsi="Palatino Linotype"/>
                <w:sz w:val="20"/>
                <w:szCs w:val="20"/>
                <w:lang w:val="en-IN"/>
              </w:rPr>
            </w:pPr>
            <w:r w:rsidRPr="007C6D7E">
              <w:rPr>
                <w:rFonts w:ascii="Palatino Linotype" w:eastAsia="Calibri" w:hAnsi="Palatino Linotype"/>
                <w:sz w:val="20"/>
                <w:szCs w:val="20"/>
                <w:lang w:val="en-IN"/>
              </w:rPr>
              <w:t>-</w:t>
            </w:r>
          </w:p>
        </w:tc>
      </w:tr>
      <w:tr w:rsidR="00F025AD" w:rsidRPr="00B83873" w14:paraId="4F6344F8" w14:textId="77777777" w:rsidTr="00F025AD">
        <w:trPr>
          <w:trHeight w:val="300"/>
        </w:trPr>
        <w:tc>
          <w:tcPr>
            <w:tcW w:w="567" w:type="dxa"/>
            <w:tcBorders>
              <w:top w:val="single" w:sz="4" w:space="0" w:color="auto"/>
              <w:left w:val="single" w:sz="4" w:space="0" w:color="auto"/>
              <w:bottom w:val="single" w:sz="4" w:space="0" w:color="auto"/>
              <w:right w:val="single" w:sz="4" w:space="0" w:color="auto"/>
            </w:tcBorders>
          </w:tcPr>
          <w:p w14:paraId="7F642877" w14:textId="77777777" w:rsidR="00F025AD" w:rsidRPr="007C6D7E" w:rsidRDefault="00F025AD" w:rsidP="00F025AD">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t>27</w:t>
            </w:r>
          </w:p>
        </w:tc>
        <w:tc>
          <w:tcPr>
            <w:tcW w:w="1276" w:type="dxa"/>
            <w:tcBorders>
              <w:top w:val="single" w:sz="4" w:space="0" w:color="auto"/>
              <w:bottom w:val="single" w:sz="4" w:space="0" w:color="auto"/>
              <w:right w:val="single" w:sz="4" w:space="0" w:color="auto"/>
            </w:tcBorders>
            <w:shd w:val="clear" w:color="auto" w:fill="auto"/>
            <w:noWrap/>
          </w:tcPr>
          <w:p w14:paraId="407155DE" w14:textId="77777777" w:rsidR="00F025AD" w:rsidRPr="007C6D7E" w:rsidRDefault="00F025AD" w:rsidP="00F025AD">
            <w:pPr>
              <w:jc w:val="both"/>
              <w:rPr>
                <w:rFonts w:ascii="Palatino Linotype" w:eastAsia="Calibri" w:hAnsi="Palatino Linotype"/>
                <w:sz w:val="20"/>
                <w:szCs w:val="20"/>
                <w:lang w:val="en-IN"/>
              </w:rPr>
            </w:pPr>
            <w:r w:rsidRPr="007C6D7E">
              <w:rPr>
                <w:rFonts w:ascii="Palatino Linotype" w:eastAsia="Calibri" w:hAnsi="Palatino Linotype"/>
                <w:sz w:val="20"/>
                <w:szCs w:val="20"/>
                <w:lang w:val="en-IN"/>
              </w:rPr>
              <w:t>23/06/2021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56F7EA35" w14:textId="77777777" w:rsidR="00F025AD" w:rsidRPr="007C6D7E" w:rsidRDefault="00F025AD" w:rsidP="00F025AD">
            <w:pPr>
              <w:jc w:val="both"/>
              <w:rPr>
                <w:rFonts w:ascii="Palatino Linotype" w:eastAsia="Calibri" w:hAnsi="Palatino Linotype"/>
                <w:sz w:val="20"/>
                <w:szCs w:val="20"/>
                <w:lang w:val="en-IN"/>
              </w:rPr>
            </w:pPr>
            <w:r w:rsidRPr="007C6D7E">
              <w:rPr>
                <w:rFonts w:ascii="Palatino Linotype" w:eastAsia="Calibri" w:hAnsi="Palatino Linotype"/>
                <w:sz w:val="20"/>
                <w:szCs w:val="20"/>
                <w:lang w:val="en-IN"/>
              </w:rPr>
              <w:t>Unickon Securities Private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7FE0D4CF" w14:textId="77777777" w:rsidR="00F025AD" w:rsidRPr="007C6D7E" w:rsidRDefault="00F025AD" w:rsidP="00F025AD">
            <w:pPr>
              <w:jc w:val="both"/>
              <w:rPr>
                <w:rFonts w:ascii="Palatino Linotype" w:eastAsia="Calibri" w:hAnsi="Palatino Linotype"/>
                <w:sz w:val="20"/>
                <w:szCs w:val="20"/>
                <w:lang w:val="en-IN"/>
              </w:rPr>
            </w:pPr>
            <w:r w:rsidRPr="007C6D7E">
              <w:rPr>
                <w:rFonts w:ascii="Palatino Linotype" w:eastAsia="Calibri" w:hAnsi="Palatino Linotype"/>
                <w:sz w:val="20"/>
                <w:szCs w:val="20"/>
                <w:lang w:val="en-IN"/>
              </w:rPr>
              <w:t>11B</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6F50F611" w14:textId="77777777" w:rsidR="00F025AD" w:rsidRPr="007C6D7E" w:rsidRDefault="00F025AD" w:rsidP="00F025AD">
            <w:pPr>
              <w:jc w:val="both"/>
              <w:rPr>
                <w:rFonts w:ascii="Palatino Linotype" w:eastAsia="Calibri" w:hAnsi="Palatino Linotype"/>
                <w:sz w:val="20"/>
                <w:szCs w:val="20"/>
                <w:lang w:val="en-IN"/>
              </w:rPr>
            </w:pPr>
            <w:r w:rsidRPr="007C6D7E">
              <w:rPr>
                <w:rFonts w:ascii="Palatino Linotype" w:eastAsia="Calibri" w:hAnsi="Palatino Linotype"/>
                <w:sz w:val="20"/>
                <w:szCs w:val="20"/>
                <w:lang w:val="en-IN"/>
              </w:rPr>
              <w:t>Unickon Securities Private Limited</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FFCE789" w14:textId="77777777" w:rsidR="00F025AD" w:rsidRPr="007C6D7E" w:rsidRDefault="00F025AD" w:rsidP="00F025AD">
            <w:pPr>
              <w:jc w:val="both"/>
              <w:rPr>
                <w:rFonts w:ascii="Palatino Linotype" w:eastAsia="Calibri" w:hAnsi="Palatino Linotype"/>
                <w:sz w:val="20"/>
                <w:szCs w:val="20"/>
                <w:lang w:val="en-IN"/>
              </w:rPr>
            </w:pPr>
            <w:r w:rsidRPr="007C6D7E">
              <w:rPr>
                <w:rFonts w:ascii="Palatino Linotype" w:eastAsia="Calibri" w:hAnsi="Palatino Linotype"/>
                <w:sz w:val="20"/>
                <w:szCs w:val="20"/>
                <w:lang w:val="en-IN"/>
              </w:rPr>
              <w:t>Regulation 9(a) and (b) of the Broker Regulations. ‘fit and proper’ criteria specified under Schedule II of the Intermediaries Regulations read with</w:t>
            </w:r>
          </w:p>
          <w:p w14:paraId="744B21E6" w14:textId="77777777" w:rsidR="00F025AD" w:rsidRPr="007C6D7E" w:rsidRDefault="00F025AD" w:rsidP="00F025AD">
            <w:pPr>
              <w:jc w:val="both"/>
              <w:rPr>
                <w:rFonts w:ascii="Palatino Linotype" w:eastAsia="Calibri" w:hAnsi="Palatino Linotype"/>
                <w:sz w:val="20"/>
                <w:szCs w:val="20"/>
                <w:lang w:val="en-IN"/>
              </w:rPr>
            </w:pPr>
            <w:r w:rsidRPr="007C6D7E">
              <w:rPr>
                <w:rFonts w:ascii="Palatino Linotype" w:eastAsia="Calibri" w:hAnsi="Palatino Linotype"/>
                <w:sz w:val="20"/>
                <w:szCs w:val="20"/>
                <w:lang w:val="en-IN"/>
              </w:rPr>
              <w:t xml:space="preserve">Regulation 5(e) of the Broker Regulations and </w:t>
            </w:r>
          </w:p>
          <w:p w14:paraId="01605810" w14:textId="77777777" w:rsidR="00F025AD" w:rsidRPr="007C6D7E" w:rsidRDefault="00F025AD" w:rsidP="00F025AD">
            <w:pPr>
              <w:jc w:val="both"/>
              <w:rPr>
                <w:rFonts w:ascii="Palatino Linotype" w:eastAsia="Calibri" w:hAnsi="Palatino Linotype"/>
                <w:sz w:val="20"/>
                <w:szCs w:val="20"/>
                <w:lang w:val="en-IN"/>
              </w:rPr>
            </w:pPr>
            <w:r w:rsidRPr="007C6D7E">
              <w:rPr>
                <w:rFonts w:ascii="Palatino Linotype" w:eastAsia="Calibri" w:hAnsi="Palatino Linotype"/>
                <w:sz w:val="20"/>
                <w:szCs w:val="20"/>
                <w:lang w:val="en-IN"/>
              </w:rPr>
              <w:t xml:space="preserve">Regulation 6A of the </w:t>
            </w:r>
          </w:p>
          <w:p w14:paraId="681F19AE" w14:textId="77777777" w:rsidR="00F025AD" w:rsidRPr="007C6D7E" w:rsidRDefault="00F025AD" w:rsidP="00F025AD">
            <w:pPr>
              <w:jc w:val="both"/>
              <w:rPr>
                <w:rFonts w:ascii="Palatino Linotype" w:eastAsia="Calibri" w:hAnsi="Palatino Linotype"/>
                <w:sz w:val="20"/>
                <w:szCs w:val="20"/>
                <w:lang w:val="en-IN"/>
              </w:rPr>
            </w:pPr>
            <w:r w:rsidRPr="007C6D7E">
              <w:rPr>
                <w:rFonts w:ascii="Palatino Linotype" w:eastAsia="Calibri" w:hAnsi="Palatino Linotype"/>
                <w:sz w:val="20"/>
                <w:szCs w:val="20"/>
                <w:lang w:val="en-IN"/>
              </w:rPr>
              <w:t xml:space="preserve">DP Regulations. </w:t>
            </w:r>
          </w:p>
          <w:p w14:paraId="0C290713" w14:textId="77777777" w:rsidR="00F025AD" w:rsidRPr="007C6D7E" w:rsidRDefault="00F025AD" w:rsidP="00F025AD">
            <w:pPr>
              <w:shd w:val="clear" w:color="auto" w:fill="FFFFFF"/>
              <w:jc w:val="both"/>
              <w:rPr>
                <w:rFonts w:ascii="Palatino Linotype" w:eastAsia="Calibri" w:hAnsi="Palatino Linotype"/>
                <w:sz w:val="20"/>
                <w:szCs w:val="20"/>
                <w:lang w:val="en-IN"/>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1D012132" w14:textId="77777777" w:rsidR="00F025AD" w:rsidRPr="007C6D7E" w:rsidRDefault="00F025AD" w:rsidP="00F025AD">
            <w:pPr>
              <w:jc w:val="right"/>
              <w:rPr>
                <w:rFonts w:ascii="Palatino Linotype" w:eastAsia="Calibri" w:hAnsi="Palatino Linotype"/>
                <w:sz w:val="20"/>
                <w:szCs w:val="20"/>
                <w:lang w:val="en-IN"/>
              </w:rPr>
            </w:pPr>
            <w:r w:rsidRPr="007C6D7E">
              <w:rPr>
                <w:rFonts w:ascii="Palatino Linotype" w:eastAsia="Calibri" w:hAnsi="Palatino Linotype"/>
                <w:sz w:val="20"/>
                <w:szCs w:val="20"/>
                <w:lang w:val="en-IN"/>
              </w:rPr>
              <w:t>-</w:t>
            </w:r>
          </w:p>
        </w:tc>
      </w:tr>
      <w:tr w:rsidR="00F025AD" w:rsidRPr="00B83873" w14:paraId="13258081" w14:textId="77777777" w:rsidTr="00F025AD">
        <w:trPr>
          <w:trHeight w:val="300"/>
        </w:trPr>
        <w:tc>
          <w:tcPr>
            <w:tcW w:w="567" w:type="dxa"/>
            <w:tcBorders>
              <w:top w:val="single" w:sz="4" w:space="0" w:color="auto"/>
              <w:left w:val="single" w:sz="4" w:space="0" w:color="auto"/>
              <w:bottom w:val="single" w:sz="4" w:space="0" w:color="auto"/>
              <w:right w:val="single" w:sz="4" w:space="0" w:color="auto"/>
            </w:tcBorders>
          </w:tcPr>
          <w:p w14:paraId="2E59B4B6" w14:textId="77777777" w:rsidR="00F025AD" w:rsidRPr="007C6D7E" w:rsidRDefault="00F025AD" w:rsidP="00F025AD">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t>28</w:t>
            </w:r>
          </w:p>
        </w:tc>
        <w:tc>
          <w:tcPr>
            <w:tcW w:w="1276" w:type="dxa"/>
            <w:tcBorders>
              <w:top w:val="single" w:sz="4" w:space="0" w:color="auto"/>
              <w:bottom w:val="single" w:sz="4" w:space="0" w:color="auto"/>
              <w:right w:val="single" w:sz="4" w:space="0" w:color="auto"/>
            </w:tcBorders>
            <w:shd w:val="clear" w:color="auto" w:fill="auto"/>
            <w:noWrap/>
          </w:tcPr>
          <w:p w14:paraId="4276830F" w14:textId="77777777" w:rsidR="00F025AD" w:rsidRPr="007C6D7E" w:rsidRDefault="00F025AD" w:rsidP="00F025AD">
            <w:pPr>
              <w:jc w:val="both"/>
              <w:rPr>
                <w:rFonts w:ascii="Palatino Linotype" w:eastAsia="Calibri" w:hAnsi="Palatino Linotype"/>
                <w:sz w:val="20"/>
                <w:szCs w:val="20"/>
                <w:lang w:val="en-IN"/>
              </w:rPr>
            </w:pPr>
            <w:r w:rsidRPr="007C6D7E">
              <w:rPr>
                <w:rFonts w:ascii="Palatino Linotype" w:eastAsia="Calibri" w:hAnsi="Palatino Linotype"/>
                <w:sz w:val="20"/>
                <w:szCs w:val="20"/>
                <w:lang w:val="en-IN"/>
              </w:rPr>
              <w:t>24/06/2021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578EA13A" w14:textId="77777777" w:rsidR="00F025AD" w:rsidRPr="007C6D7E" w:rsidRDefault="00F025AD" w:rsidP="00F025AD">
            <w:pPr>
              <w:jc w:val="both"/>
              <w:rPr>
                <w:rFonts w:ascii="Palatino Linotype" w:eastAsia="Calibri" w:hAnsi="Palatino Linotype"/>
                <w:sz w:val="20"/>
                <w:szCs w:val="20"/>
                <w:lang w:val="en-IN"/>
              </w:rPr>
            </w:pPr>
            <w:r w:rsidRPr="007C6D7E">
              <w:rPr>
                <w:rFonts w:ascii="Palatino Linotype" w:eastAsia="Calibri" w:hAnsi="Palatino Linotype"/>
                <w:sz w:val="20"/>
                <w:szCs w:val="20"/>
                <w:lang w:val="en-IN"/>
              </w:rPr>
              <w:t>Link Intime India Private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15CC128D" w14:textId="77777777" w:rsidR="00F025AD" w:rsidRPr="007C6D7E" w:rsidRDefault="00F025AD" w:rsidP="00F025AD">
            <w:pPr>
              <w:jc w:val="both"/>
              <w:rPr>
                <w:rFonts w:ascii="Palatino Linotype" w:eastAsia="Calibri" w:hAnsi="Palatino Linotype"/>
                <w:sz w:val="20"/>
                <w:szCs w:val="20"/>
                <w:lang w:val="en-IN"/>
              </w:rPr>
            </w:pPr>
            <w:r w:rsidRPr="007C6D7E">
              <w:rPr>
                <w:rFonts w:ascii="Palatino Linotype" w:eastAsia="Calibri" w:hAnsi="Palatino Linotype"/>
                <w:sz w:val="20"/>
                <w:szCs w:val="20"/>
                <w:lang w:val="en-IN"/>
              </w:rPr>
              <w:t>11B</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50F074F4" w14:textId="77777777" w:rsidR="00F025AD" w:rsidRPr="007C6D7E" w:rsidRDefault="00F025AD" w:rsidP="00F025AD">
            <w:pPr>
              <w:jc w:val="both"/>
              <w:rPr>
                <w:rFonts w:ascii="Palatino Linotype" w:eastAsia="Calibri" w:hAnsi="Palatino Linotype"/>
                <w:sz w:val="20"/>
                <w:szCs w:val="20"/>
                <w:lang w:val="en-IN"/>
              </w:rPr>
            </w:pPr>
            <w:r w:rsidRPr="007C6D7E">
              <w:rPr>
                <w:rFonts w:ascii="Palatino Linotype" w:eastAsia="Calibri" w:hAnsi="Palatino Linotype"/>
                <w:sz w:val="20"/>
                <w:szCs w:val="20"/>
                <w:lang w:val="en-IN"/>
              </w:rPr>
              <w:t>Link Intime India Private Limited</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3C3844A" w14:textId="77777777" w:rsidR="00F025AD" w:rsidRPr="007C6D7E" w:rsidRDefault="00F025AD" w:rsidP="00F025AD">
            <w:pPr>
              <w:jc w:val="both"/>
              <w:rPr>
                <w:rFonts w:ascii="Palatino Linotype" w:eastAsia="Calibri" w:hAnsi="Palatino Linotype"/>
                <w:sz w:val="20"/>
                <w:szCs w:val="20"/>
                <w:lang w:val="en-IN"/>
              </w:rPr>
            </w:pPr>
            <w:r w:rsidRPr="007C6D7E">
              <w:rPr>
                <w:rFonts w:ascii="Palatino Linotype" w:eastAsia="Calibri" w:hAnsi="Palatino Linotype"/>
                <w:sz w:val="20"/>
                <w:szCs w:val="20"/>
                <w:lang w:val="en-IN"/>
              </w:rPr>
              <w:t xml:space="preserve">RTI Circular no. 1 (2000 - 2001) dated May 09, 2001, Clause 3 of the Code of Conduct for </w:t>
            </w:r>
            <w:r w:rsidRPr="007C6D7E">
              <w:rPr>
                <w:rFonts w:ascii="Palatino Linotype" w:eastAsia="Calibri" w:hAnsi="Palatino Linotype"/>
                <w:sz w:val="20"/>
                <w:szCs w:val="20"/>
                <w:lang w:val="en-IN"/>
              </w:rPr>
              <w:lastRenderedPageBreak/>
              <w:t xml:space="preserve">RTAs prescribed under Regulation 13 of the RTA Regulations </w:t>
            </w:r>
          </w:p>
          <w:p w14:paraId="6EB6E7F1" w14:textId="77777777" w:rsidR="00F025AD" w:rsidRPr="007C6D7E" w:rsidRDefault="00F025AD" w:rsidP="00F025AD">
            <w:pPr>
              <w:shd w:val="clear" w:color="auto" w:fill="FFFFFF"/>
              <w:jc w:val="both"/>
              <w:rPr>
                <w:rFonts w:ascii="Palatino Linotype" w:eastAsia="Calibri" w:hAnsi="Palatino Linotype"/>
                <w:sz w:val="20"/>
                <w:szCs w:val="20"/>
                <w:lang w:val="en-IN"/>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79ECF951" w14:textId="77777777" w:rsidR="00F025AD" w:rsidRPr="007C6D7E" w:rsidRDefault="00F025AD" w:rsidP="00F025AD">
            <w:pPr>
              <w:jc w:val="right"/>
              <w:rPr>
                <w:rFonts w:ascii="Palatino Linotype" w:eastAsia="Calibri" w:hAnsi="Palatino Linotype"/>
                <w:sz w:val="20"/>
                <w:szCs w:val="20"/>
                <w:lang w:val="en-IN"/>
              </w:rPr>
            </w:pPr>
            <w:r w:rsidRPr="007C6D7E">
              <w:rPr>
                <w:rFonts w:ascii="Palatino Linotype" w:eastAsia="Calibri" w:hAnsi="Palatino Linotype"/>
                <w:sz w:val="20"/>
                <w:szCs w:val="20"/>
                <w:lang w:val="en-IN"/>
              </w:rPr>
              <w:lastRenderedPageBreak/>
              <w:t>-</w:t>
            </w:r>
          </w:p>
        </w:tc>
      </w:tr>
      <w:tr w:rsidR="00F025AD" w:rsidRPr="00B83873" w14:paraId="6D481311" w14:textId="77777777" w:rsidTr="00F025AD">
        <w:trPr>
          <w:trHeight w:val="300"/>
        </w:trPr>
        <w:tc>
          <w:tcPr>
            <w:tcW w:w="567" w:type="dxa"/>
            <w:tcBorders>
              <w:top w:val="single" w:sz="4" w:space="0" w:color="auto"/>
              <w:left w:val="single" w:sz="4" w:space="0" w:color="auto"/>
              <w:bottom w:val="single" w:sz="4" w:space="0" w:color="auto"/>
              <w:right w:val="single" w:sz="4" w:space="0" w:color="auto"/>
            </w:tcBorders>
          </w:tcPr>
          <w:p w14:paraId="20BF93E1" w14:textId="77777777" w:rsidR="00F025AD" w:rsidRPr="007C6D7E" w:rsidRDefault="00F025AD" w:rsidP="00F025AD">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lastRenderedPageBreak/>
              <w:t>29</w:t>
            </w:r>
          </w:p>
        </w:tc>
        <w:tc>
          <w:tcPr>
            <w:tcW w:w="1276" w:type="dxa"/>
            <w:tcBorders>
              <w:top w:val="single" w:sz="4" w:space="0" w:color="auto"/>
              <w:bottom w:val="single" w:sz="4" w:space="0" w:color="auto"/>
              <w:right w:val="single" w:sz="4" w:space="0" w:color="auto"/>
            </w:tcBorders>
            <w:shd w:val="clear" w:color="auto" w:fill="auto"/>
            <w:noWrap/>
          </w:tcPr>
          <w:p w14:paraId="7098EF5C" w14:textId="77777777" w:rsidR="00F025AD" w:rsidRPr="007C6D7E" w:rsidRDefault="00F025AD" w:rsidP="00F025AD">
            <w:pPr>
              <w:jc w:val="both"/>
              <w:rPr>
                <w:rFonts w:ascii="Palatino Linotype" w:eastAsia="Calibri" w:hAnsi="Palatino Linotype"/>
                <w:sz w:val="20"/>
                <w:szCs w:val="20"/>
                <w:lang w:val="en-IN"/>
              </w:rPr>
            </w:pPr>
            <w:r w:rsidRPr="007C6D7E">
              <w:rPr>
                <w:rFonts w:ascii="Palatino Linotype" w:eastAsia="Calibri" w:hAnsi="Palatino Linotype"/>
                <w:sz w:val="20"/>
                <w:szCs w:val="20"/>
                <w:lang w:val="en-IN"/>
              </w:rPr>
              <w:t>24/06/2021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36238758" w14:textId="77777777" w:rsidR="00F025AD" w:rsidRPr="007C6D7E" w:rsidRDefault="00F025AD" w:rsidP="00F025AD">
            <w:pPr>
              <w:jc w:val="both"/>
              <w:rPr>
                <w:rFonts w:ascii="Palatino Linotype" w:eastAsia="Calibri" w:hAnsi="Palatino Linotype"/>
                <w:sz w:val="20"/>
                <w:szCs w:val="20"/>
                <w:lang w:val="en-IN"/>
              </w:rPr>
            </w:pPr>
            <w:r w:rsidRPr="007C6D7E">
              <w:rPr>
                <w:rFonts w:ascii="Palatino Linotype" w:eastAsia="Calibri" w:hAnsi="Palatino Linotype"/>
                <w:sz w:val="20"/>
                <w:szCs w:val="20"/>
                <w:lang w:val="en-IN"/>
              </w:rPr>
              <w:t>Equity Mania Financial Advisory (Prop: Mr. Ankit Goel)</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0C0C1C9B" w14:textId="77777777" w:rsidR="00F025AD" w:rsidRPr="007C6D7E" w:rsidRDefault="00F025AD" w:rsidP="00F025AD">
            <w:pPr>
              <w:jc w:val="both"/>
              <w:rPr>
                <w:rFonts w:ascii="Palatino Linotype" w:eastAsia="Calibri" w:hAnsi="Palatino Linotype"/>
                <w:sz w:val="20"/>
                <w:szCs w:val="20"/>
                <w:lang w:val="en-IN"/>
              </w:rPr>
            </w:pPr>
            <w:r w:rsidRPr="007C6D7E">
              <w:rPr>
                <w:rFonts w:ascii="Palatino Linotype" w:eastAsia="Calibri" w:hAnsi="Palatino Linotype"/>
                <w:sz w:val="20"/>
                <w:szCs w:val="20"/>
                <w:lang w:val="en-IN"/>
              </w:rPr>
              <w:t>11B</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47B20D6C" w14:textId="77777777" w:rsidR="00F025AD" w:rsidRPr="007C6D7E" w:rsidRDefault="00F025AD" w:rsidP="00F025AD">
            <w:pPr>
              <w:jc w:val="both"/>
              <w:rPr>
                <w:rFonts w:ascii="Palatino Linotype" w:eastAsia="Calibri" w:hAnsi="Palatino Linotype"/>
                <w:sz w:val="20"/>
                <w:szCs w:val="20"/>
                <w:lang w:val="en-IN"/>
              </w:rPr>
            </w:pPr>
            <w:r w:rsidRPr="007C6D7E">
              <w:rPr>
                <w:rFonts w:ascii="Palatino Linotype" w:eastAsia="Calibri" w:hAnsi="Palatino Linotype"/>
                <w:sz w:val="20"/>
                <w:szCs w:val="20"/>
                <w:lang w:val="en-IN"/>
              </w:rPr>
              <w:t>Equity Mania Financial Advisory (Prop: MrAnkit Goel)</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4B9BB08" w14:textId="77777777" w:rsidR="00F025AD" w:rsidRPr="007C6D7E" w:rsidRDefault="00F025AD" w:rsidP="00F025AD">
            <w:pPr>
              <w:shd w:val="clear" w:color="auto" w:fill="FFFFFF"/>
              <w:jc w:val="both"/>
              <w:rPr>
                <w:rFonts w:ascii="Palatino Linotype" w:eastAsia="Calibri" w:hAnsi="Palatino Linotype"/>
                <w:sz w:val="20"/>
                <w:szCs w:val="20"/>
                <w:lang w:val="en-IN"/>
              </w:rPr>
            </w:pPr>
            <w:r w:rsidRPr="007C6D7E">
              <w:rPr>
                <w:rFonts w:ascii="Palatino Linotype" w:eastAsia="Calibri" w:hAnsi="Palatino Linotype"/>
                <w:sz w:val="20"/>
                <w:szCs w:val="20"/>
                <w:lang w:val="en-IN"/>
              </w:rPr>
              <w:t>Section  12(1) of SEBI 1992 r/w Regulation 3(1) of the IA Regulations, 2013 and Regulation 2(1) (m) of SEBI (Investment Advisers) Regulations, 2013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3448F0BB" w14:textId="77777777" w:rsidR="00F025AD" w:rsidRPr="007C6D7E" w:rsidRDefault="00F025AD" w:rsidP="00F025AD">
            <w:pPr>
              <w:jc w:val="right"/>
              <w:rPr>
                <w:rFonts w:ascii="Palatino Linotype" w:eastAsia="Calibri" w:hAnsi="Palatino Linotype"/>
                <w:sz w:val="20"/>
                <w:szCs w:val="20"/>
                <w:lang w:val="en-IN"/>
              </w:rPr>
            </w:pPr>
            <w:r w:rsidRPr="007C6D7E">
              <w:rPr>
                <w:rFonts w:ascii="Palatino Linotype" w:eastAsia="Calibri" w:hAnsi="Palatino Linotype"/>
                <w:sz w:val="20"/>
                <w:szCs w:val="20"/>
                <w:lang w:val="en-IN"/>
              </w:rPr>
              <w:t>-</w:t>
            </w:r>
          </w:p>
        </w:tc>
      </w:tr>
      <w:tr w:rsidR="00F025AD" w:rsidRPr="00B83873" w14:paraId="0E672E0F" w14:textId="77777777" w:rsidTr="00F025AD">
        <w:trPr>
          <w:trHeight w:val="300"/>
        </w:trPr>
        <w:tc>
          <w:tcPr>
            <w:tcW w:w="567" w:type="dxa"/>
            <w:tcBorders>
              <w:top w:val="single" w:sz="4" w:space="0" w:color="auto"/>
              <w:left w:val="single" w:sz="4" w:space="0" w:color="auto"/>
              <w:bottom w:val="single" w:sz="4" w:space="0" w:color="auto"/>
              <w:right w:val="single" w:sz="4" w:space="0" w:color="auto"/>
            </w:tcBorders>
          </w:tcPr>
          <w:p w14:paraId="01106AEA" w14:textId="77777777" w:rsidR="00F025AD" w:rsidRPr="007C6D7E" w:rsidRDefault="00F025AD" w:rsidP="00F025AD">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t>30</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6DE250AC" w14:textId="77777777" w:rsidR="00F025AD" w:rsidRPr="007C6D7E" w:rsidRDefault="00F025AD" w:rsidP="00F025AD">
            <w:pPr>
              <w:jc w:val="both"/>
              <w:rPr>
                <w:rFonts w:ascii="Palatino Linotype" w:hAnsi="Palatino Linotype"/>
                <w:sz w:val="20"/>
                <w:szCs w:val="20"/>
              </w:rPr>
            </w:pPr>
            <w:r w:rsidRPr="007C6D7E">
              <w:rPr>
                <w:rFonts w:ascii="Palatino Linotype" w:hAnsi="Palatino Linotype"/>
                <w:sz w:val="20"/>
                <w:szCs w:val="20"/>
              </w:rPr>
              <w:t>28/06/2021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1E3DC322" w14:textId="77777777" w:rsidR="00F025AD" w:rsidRPr="007C6D7E" w:rsidRDefault="00F025AD" w:rsidP="00F025AD">
            <w:pPr>
              <w:jc w:val="both"/>
              <w:rPr>
                <w:rFonts w:ascii="Palatino Linotype" w:hAnsi="Palatino Linotype"/>
                <w:sz w:val="20"/>
                <w:szCs w:val="20"/>
              </w:rPr>
            </w:pPr>
            <w:r w:rsidRPr="007C6D7E">
              <w:rPr>
                <w:rFonts w:ascii="Palatino Linotype" w:hAnsi="Palatino Linotype"/>
                <w:sz w:val="20"/>
                <w:szCs w:val="20"/>
              </w:rPr>
              <w:t>Profitsaim (Proprietor Syed Ayaz)</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4273BCE7" w14:textId="77777777" w:rsidR="00F025AD" w:rsidRPr="007C6D7E" w:rsidRDefault="00F025AD" w:rsidP="00F025AD">
            <w:pPr>
              <w:jc w:val="both"/>
              <w:rPr>
                <w:rFonts w:ascii="Palatino Linotype" w:hAnsi="Palatino Linotype"/>
                <w:sz w:val="20"/>
                <w:szCs w:val="20"/>
              </w:rPr>
            </w:pPr>
            <w:r w:rsidRPr="007C6D7E">
              <w:rPr>
                <w:rFonts w:ascii="Palatino Linotype" w:hAnsi="Palatino Linotype"/>
                <w:sz w:val="20"/>
                <w:szCs w:val="20"/>
              </w:rPr>
              <w:t>11B</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6D22C3AE" w14:textId="77777777" w:rsidR="00F025AD" w:rsidRPr="007C6D7E" w:rsidRDefault="00F025AD" w:rsidP="00F025AD">
            <w:pPr>
              <w:jc w:val="both"/>
              <w:rPr>
                <w:rFonts w:ascii="Palatino Linotype" w:hAnsi="Palatino Linotype"/>
                <w:sz w:val="20"/>
                <w:szCs w:val="20"/>
              </w:rPr>
            </w:pPr>
            <w:r w:rsidRPr="007C6D7E">
              <w:rPr>
                <w:rFonts w:ascii="Palatino Linotype" w:hAnsi="Palatino Linotype"/>
                <w:sz w:val="20"/>
                <w:szCs w:val="20"/>
              </w:rPr>
              <w:t>Profitsaim (Proprietor Syed Ayaz)</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9B9DB47" w14:textId="77777777" w:rsidR="00F025AD" w:rsidRPr="007C6D7E" w:rsidRDefault="00F025AD" w:rsidP="00F025AD">
            <w:pPr>
              <w:shd w:val="clear" w:color="auto" w:fill="FFFFFF"/>
              <w:jc w:val="both"/>
              <w:rPr>
                <w:rFonts w:ascii="Palatino Linotype" w:hAnsi="Palatino Linotype"/>
                <w:sz w:val="20"/>
                <w:szCs w:val="20"/>
              </w:rPr>
            </w:pPr>
            <w:r w:rsidRPr="007C6D7E">
              <w:rPr>
                <w:rFonts w:ascii="Palatino Linotype" w:hAnsi="Palatino Linotype"/>
                <w:sz w:val="20"/>
                <w:szCs w:val="20"/>
              </w:rPr>
              <w:t>Section 12(1) of SEBI Act, 1992 read with Regulation 3(1) of SEBI (Investment  Advisers)  Regulations,  2013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1A1E1062" w14:textId="77777777" w:rsidR="00F025AD" w:rsidRPr="007C6D7E" w:rsidRDefault="00F025AD" w:rsidP="00F025AD">
            <w:pPr>
              <w:jc w:val="right"/>
              <w:rPr>
                <w:rFonts w:ascii="Palatino Linotype" w:hAnsi="Palatino Linotype"/>
                <w:sz w:val="20"/>
                <w:szCs w:val="20"/>
              </w:rPr>
            </w:pPr>
            <w:r w:rsidRPr="007C6D7E">
              <w:rPr>
                <w:rFonts w:ascii="Palatino Linotype" w:hAnsi="Palatino Linotype"/>
                <w:sz w:val="20"/>
                <w:szCs w:val="20"/>
              </w:rPr>
              <w:t>-</w:t>
            </w:r>
          </w:p>
        </w:tc>
      </w:tr>
      <w:tr w:rsidR="00F025AD" w:rsidRPr="00B83873" w14:paraId="644F76EA" w14:textId="77777777" w:rsidTr="00F025AD">
        <w:trPr>
          <w:trHeight w:val="300"/>
        </w:trPr>
        <w:tc>
          <w:tcPr>
            <w:tcW w:w="567" w:type="dxa"/>
            <w:tcBorders>
              <w:top w:val="single" w:sz="4" w:space="0" w:color="auto"/>
              <w:left w:val="single" w:sz="4" w:space="0" w:color="auto"/>
              <w:bottom w:val="single" w:sz="4" w:space="0" w:color="auto"/>
              <w:right w:val="single" w:sz="4" w:space="0" w:color="auto"/>
            </w:tcBorders>
          </w:tcPr>
          <w:p w14:paraId="275EC09B" w14:textId="77777777" w:rsidR="00F025AD" w:rsidRPr="007C6D7E" w:rsidRDefault="00F025AD" w:rsidP="00F025AD">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t>31</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790FB4E6" w14:textId="77777777" w:rsidR="00F025AD" w:rsidRPr="007C6D7E" w:rsidRDefault="00F025AD" w:rsidP="00F025AD">
            <w:pPr>
              <w:jc w:val="both"/>
              <w:rPr>
                <w:rFonts w:ascii="Palatino Linotype" w:hAnsi="Palatino Linotype"/>
                <w:sz w:val="20"/>
                <w:szCs w:val="20"/>
              </w:rPr>
            </w:pPr>
            <w:r w:rsidRPr="007C6D7E">
              <w:rPr>
                <w:rFonts w:ascii="Palatino Linotype" w:hAnsi="Palatino Linotype"/>
                <w:sz w:val="20"/>
                <w:szCs w:val="20"/>
              </w:rPr>
              <w:t>29/06/2021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6A9BDD67" w14:textId="77777777" w:rsidR="00F025AD" w:rsidRPr="007C6D7E" w:rsidRDefault="00F025AD" w:rsidP="00F025AD">
            <w:pPr>
              <w:jc w:val="both"/>
              <w:rPr>
                <w:rFonts w:ascii="Palatino Linotype" w:hAnsi="Palatino Linotype"/>
                <w:sz w:val="20"/>
                <w:szCs w:val="20"/>
              </w:rPr>
            </w:pPr>
            <w:r w:rsidRPr="007C6D7E">
              <w:rPr>
                <w:rFonts w:ascii="Palatino Linotype" w:hAnsi="Palatino Linotype"/>
                <w:sz w:val="20"/>
                <w:szCs w:val="20"/>
              </w:rPr>
              <w:t>S.S. Securities</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7889B060" w14:textId="77777777" w:rsidR="00F025AD" w:rsidRPr="007C6D7E" w:rsidRDefault="00F025AD" w:rsidP="00F025AD">
            <w:pPr>
              <w:jc w:val="both"/>
              <w:rPr>
                <w:rFonts w:ascii="Palatino Linotype" w:hAnsi="Palatino Linotype"/>
                <w:sz w:val="20"/>
                <w:szCs w:val="20"/>
              </w:rPr>
            </w:pPr>
            <w:r w:rsidRPr="007C6D7E">
              <w:rPr>
                <w:rFonts w:ascii="Palatino Linotype" w:hAnsi="Palatino Linotype"/>
                <w:sz w:val="20"/>
                <w:szCs w:val="20"/>
              </w:rPr>
              <w:t>11B</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55404BA9" w14:textId="77777777" w:rsidR="00F025AD" w:rsidRPr="007C6D7E" w:rsidRDefault="00F025AD" w:rsidP="00F025AD">
            <w:pPr>
              <w:jc w:val="both"/>
              <w:rPr>
                <w:rFonts w:ascii="Palatino Linotype" w:hAnsi="Palatino Linotype"/>
                <w:sz w:val="20"/>
                <w:szCs w:val="20"/>
              </w:rPr>
            </w:pPr>
            <w:r w:rsidRPr="007C6D7E">
              <w:rPr>
                <w:rFonts w:ascii="Palatino Linotype" w:hAnsi="Palatino Linotype"/>
                <w:sz w:val="20"/>
                <w:szCs w:val="20"/>
              </w:rPr>
              <w:t>S.S. Securities</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EA364BE" w14:textId="77777777" w:rsidR="00F025AD" w:rsidRPr="007C6D7E" w:rsidRDefault="00F025AD" w:rsidP="00F025AD">
            <w:pPr>
              <w:shd w:val="clear" w:color="auto" w:fill="FFFFFF"/>
              <w:jc w:val="both"/>
              <w:rPr>
                <w:rFonts w:ascii="Palatino Linotype" w:hAnsi="Palatino Linotype"/>
                <w:sz w:val="20"/>
                <w:szCs w:val="20"/>
              </w:rPr>
            </w:pPr>
            <w:r w:rsidRPr="007C6D7E">
              <w:rPr>
                <w:rFonts w:ascii="Palatino Linotype" w:hAnsi="Palatino Linotype"/>
                <w:sz w:val="20"/>
                <w:szCs w:val="20"/>
              </w:rPr>
              <w:t>Regulation  4(1)  read  with  Regulation  2(1)(c)  of  PFUTP Regulations read with Clause D(4) of Code of Conduct prescribed for sub-brokers in Schedule II under Regulation 15(1)(b) of Broker Regulations.</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7D5C9866" w14:textId="77777777" w:rsidR="00F025AD" w:rsidRPr="007C6D7E" w:rsidRDefault="00F025AD" w:rsidP="00F025AD">
            <w:pPr>
              <w:jc w:val="right"/>
              <w:rPr>
                <w:rFonts w:ascii="Palatino Linotype" w:hAnsi="Palatino Linotype"/>
                <w:sz w:val="20"/>
                <w:szCs w:val="20"/>
              </w:rPr>
            </w:pPr>
            <w:r w:rsidRPr="007C6D7E">
              <w:rPr>
                <w:rFonts w:ascii="Palatino Linotype" w:hAnsi="Palatino Linotype"/>
                <w:sz w:val="20"/>
                <w:szCs w:val="20"/>
              </w:rPr>
              <w:t>-</w:t>
            </w:r>
          </w:p>
        </w:tc>
      </w:tr>
      <w:tr w:rsidR="00F025AD" w:rsidRPr="00B83873" w14:paraId="1E4EF5A6" w14:textId="77777777" w:rsidTr="00F025AD">
        <w:trPr>
          <w:trHeight w:val="300"/>
        </w:trPr>
        <w:tc>
          <w:tcPr>
            <w:tcW w:w="567" w:type="dxa"/>
            <w:tcBorders>
              <w:top w:val="single" w:sz="4" w:space="0" w:color="auto"/>
              <w:left w:val="single" w:sz="4" w:space="0" w:color="auto"/>
              <w:bottom w:val="single" w:sz="4" w:space="0" w:color="auto"/>
              <w:right w:val="single" w:sz="4" w:space="0" w:color="auto"/>
            </w:tcBorders>
          </w:tcPr>
          <w:p w14:paraId="5791E492" w14:textId="77777777" w:rsidR="00F025AD" w:rsidRPr="007C6D7E" w:rsidRDefault="00F025AD" w:rsidP="00F025AD">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t>32</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12FA8EA8" w14:textId="77777777" w:rsidR="00F025AD" w:rsidRPr="007C6D7E" w:rsidRDefault="00F025AD" w:rsidP="00F025AD">
            <w:pPr>
              <w:jc w:val="both"/>
              <w:rPr>
                <w:rFonts w:ascii="Palatino Linotype" w:hAnsi="Palatino Linotype"/>
                <w:sz w:val="20"/>
                <w:szCs w:val="20"/>
              </w:rPr>
            </w:pPr>
            <w:r w:rsidRPr="007C6D7E">
              <w:rPr>
                <w:rFonts w:ascii="Palatino Linotype" w:hAnsi="Palatino Linotype"/>
                <w:sz w:val="20"/>
                <w:szCs w:val="20"/>
              </w:rPr>
              <w:t>30/06/2021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313F7FCD" w14:textId="77777777" w:rsidR="00F025AD" w:rsidRPr="007C6D7E" w:rsidRDefault="00F025AD" w:rsidP="00F025AD">
            <w:pPr>
              <w:jc w:val="both"/>
              <w:rPr>
                <w:rFonts w:ascii="Palatino Linotype" w:hAnsi="Palatino Linotype"/>
                <w:sz w:val="20"/>
                <w:szCs w:val="20"/>
              </w:rPr>
            </w:pPr>
            <w:r w:rsidRPr="007C6D7E">
              <w:rPr>
                <w:rFonts w:ascii="Palatino Linotype" w:hAnsi="Palatino Linotype"/>
                <w:sz w:val="20"/>
                <w:szCs w:val="20"/>
              </w:rPr>
              <w:t>Biocon Ltd.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6C169ADC" w14:textId="77777777" w:rsidR="00F025AD" w:rsidRPr="007C6D7E" w:rsidRDefault="00F025AD" w:rsidP="00F025AD">
            <w:pPr>
              <w:jc w:val="both"/>
              <w:rPr>
                <w:rFonts w:ascii="Palatino Linotype" w:hAnsi="Palatino Linotype"/>
                <w:sz w:val="20"/>
                <w:szCs w:val="20"/>
              </w:rPr>
            </w:pPr>
            <w:r w:rsidRPr="007C6D7E">
              <w:rPr>
                <w:rFonts w:ascii="Palatino Linotype" w:hAnsi="Palatino Linotype"/>
                <w:sz w:val="20"/>
                <w:szCs w:val="20"/>
              </w:rPr>
              <w:t>11B</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3A3FDD63" w14:textId="77777777" w:rsidR="00F025AD" w:rsidRPr="007C6D7E" w:rsidRDefault="00F025AD" w:rsidP="00F025AD">
            <w:pPr>
              <w:jc w:val="both"/>
              <w:rPr>
                <w:rFonts w:ascii="Palatino Linotype" w:hAnsi="Palatino Linotype"/>
                <w:sz w:val="20"/>
                <w:szCs w:val="20"/>
              </w:rPr>
            </w:pPr>
            <w:r w:rsidRPr="007C6D7E">
              <w:rPr>
                <w:rFonts w:ascii="Palatino Linotype" w:hAnsi="Palatino Linotype"/>
                <w:sz w:val="20"/>
                <w:szCs w:val="20"/>
              </w:rPr>
              <w:t>Shreehas P Tambe</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F1CF55C" w14:textId="77777777" w:rsidR="00F025AD" w:rsidRPr="007C6D7E" w:rsidRDefault="00F025AD" w:rsidP="00F025AD">
            <w:pPr>
              <w:shd w:val="clear" w:color="auto" w:fill="FFFFFF"/>
              <w:jc w:val="both"/>
              <w:rPr>
                <w:rFonts w:ascii="Palatino Linotype" w:hAnsi="Palatino Linotype"/>
                <w:sz w:val="20"/>
                <w:szCs w:val="20"/>
              </w:rPr>
            </w:pPr>
            <w:r w:rsidRPr="007C6D7E">
              <w:rPr>
                <w:rFonts w:ascii="Palatino Linotype" w:hAnsi="Palatino Linotype"/>
                <w:sz w:val="20"/>
                <w:szCs w:val="20"/>
              </w:rPr>
              <w:t>Regulation    7(2)(a)    of    PIT Regulations, Clause 6 of Minimum Standards for Code of Conduct to Regulate, Monitor and Report Trading by Insiders, specified in Schedule B read with regulation 9(1) of PIT Regulations.</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54FD8E75" w14:textId="77777777" w:rsidR="00F025AD" w:rsidRPr="007C6D7E" w:rsidRDefault="00F025AD" w:rsidP="00F025AD">
            <w:pPr>
              <w:jc w:val="right"/>
              <w:rPr>
                <w:rFonts w:ascii="Palatino Linotype" w:hAnsi="Palatino Linotype"/>
                <w:sz w:val="20"/>
                <w:szCs w:val="20"/>
              </w:rPr>
            </w:pPr>
            <w:r w:rsidRPr="007C6D7E">
              <w:rPr>
                <w:rFonts w:ascii="Palatino Linotype" w:hAnsi="Palatino Linotype"/>
                <w:sz w:val="20"/>
                <w:szCs w:val="20"/>
              </w:rPr>
              <w:t>2,00,000</w:t>
            </w:r>
          </w:p>
        </w:tc>
      </w:tr>
      <w:tr w:rsidR="00F025AD" w:rsidRPr="00B83873" w14:paraId="34133340" w14:textId="77777777" w:rsidTr="007C6D7E">
        <w:trPr>
          <w:trHeight w:val="300"/>
        </w:trPr>
        <w:tc>
          <w:tcPr>
            <w:tcW w:w="567" w:type="dxa"/>
            <w:tcBorders>
              <w:top w:val="single" w:sz="4" w:space="0" w:color="auto"/>
              <w:left w:val="single" w:sz="4" w:space="0" w:color="auto"/>
              <w:bottom w:val="single" w:sz="4" w:space="0" w:color="auto"/>
              <w:right w:val="single" w:sz="4" w:space="0" w:color="auto"/>
            </w:tcBorders>
          </w:tcPr>
          <w:p w14:paraId="56329E4C" w14:textId="77777777" w:rsidR="00F025AD" w:rsidRPr="007C6D7E" w:rsidRDefault="00F025AD" w:rsidP="00F025AD">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t>33</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6EEF9DE7" w14:textId="77777777" w:rsidR="00F025AD" w:rsidRPr="007C6D7E" w:rsidRDefault="00F025AD" w:rsidP="00F025AD">
            <w:pPr>
              <w:jc w:val="both"/>
              <w:rPr>
                <w:rFonts w:ascii="Palatino Linotype" w:hAnsi="Palatino Linotype"/>
                <w:sz w:val="20"/>
                <w:szCs w:val="20"/>
              </w:rPr>
            </w:pPr>
            <w:r w:rsidRPr="007C6D7E">
              <w:rPr>
                <w:rFonts w:ascii="Palatino Linotype" w:hAnsi="Palatino Linotype"/>
                <w:sz w:val="20"/>
                <w:szCs w:val="20"/>
              </w:rPr>
              <w:t>30/06/2021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79898E04" w14:textId="77777777" w:rsidR="00F025AD" w:rsidRPr="007C6D7E" w:rsidRDefault="00F025AD" w:rsidP="00F025AD">
            <w:pPr>
              <w:jc w:val="both"/>
              <w:rPr>
                <w:rFonts w:ascii="Palatino Linotype" w:hAnsi="Palatino Linotype"/>
                <w:sz w:val="20"/>
                <w:szCs w:val="20"/>
              </w:rPr>
            </w:pPr>
            <w:r w:rsidRPr="007C6D7E">
              <w:rPr>
                <w:rFonts w:ascii="Palatino Linotype" w:hAnsi="Palatino Linotype"/>
                <w:sz w:val="20"/>
                <w:szCs w:val="20"/>
              </w:rPr>
              <w:t>Front Running Trading activity of Dealers of Reliance Securities Ltd. and other connected entities</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2D1A2D42" w14:textId="77777777" w:rsidR="00F025AD" w:rsidRPr="007C6D7E" w:rsidRDefault="00F025AD" w:rsidP="00F025AD">
            <w:pPr>
              <w:jc w:val="both"/>
              <w:rPr>
                <w:rFonts w:ascii="Palatino Linotype" w:hAnsi="Palatino Linotype"/>
                <w:sz w:val="20"/>
                <w:szCs w:val="20"/>
              </w:rPr>
            </w:pPr>
            <w:r w:rsidRPr="007C6D7E">
              <w:rPr>
                <w:rFonts w:ascii="Palatino Linotype" w:hAnsi="Palatino Linotype"/>
                <w:sz w:val="20"/>
                <w:szCs w:val="20"/>
              </w:rPr>
              <w:t>11B</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604715EA" w14:textId="77777777" w:rsidR="00F025AD" w:rsidRPr="007C6D7E" w:rsidRDefault="00F025AD" w:rsidP="00F025AD">
            <w:pPr>
              <w:jc w:val="both"/>
              <w:rPr>
                <w:rFonts w:ascii="Palatino Linotype" w:hAnsi="Palatino Linotype"/>
                <w:sz w:val="20"/>
                <w:szCs w:val="20"/>
              </w:rPr>
            </w:pPr>
            <w:r w:rsidRPr="007C6D7E">
              <w:rPr>
                <w:rFonts w:ascii="Palatino Linotype" w:hAnsi="Palatino Linotype"/>
                <w:sz w:val="20"/>
                <w:szCs w:val="20"/>
              </w:rPr>
              <w:t>Meena Ramniklal Vira and 19 Others</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220A327" w14:textId="77777777" w:rsidR="00F025AD" w:rsidRPr="007C6D7E" w:rsidRDefault="00F025AD" w:rsidP="00F025AD">
            <w:pPr>
              <w:shd w:val="clear" w:color="auto" w:fill="FFFFFF"/>
              <w:jc w:val="both"/>
              <w:rPr>
                <w:rFonts w:ascii="Palatino Linotype" w:hAnsi="Palatino Linotype"/>
                <w:sz w:val="20"/>
                <w:szCs w:val="20"/>
              </w:rPr>
            </w:pPr>
            <w:r w:rsidRPr="007C6D7E">
              <w:rPr>
                <w:rFonts w:ascii="Palatino Linotype" w:hAnsi="Palatino Linotype"/>
                <w:sz w:val="20"/>
                <w:szCs w:val="20"/>
              </w:rPr>
              <w:t>provisions  of  3  (a),  3  (b),  3  (c),  3(d),  4(1)  and  4(2)(q)  of PFUTP Regulations</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591FCD48" w14:textId="77777777" w:rsidR="00F025AD" w:rsidRPr="007C6D7E" w:rsidRDefault="00F025AD" w:rsidP="00F025AD">
            <w:pPr>
              <w:jc w:val="right"/>
              <w:rPr>
                <w:rFonts w:ascii="Palatino Linotype" w:hAnsi="Palatino Linotype"/>
                <w:sz w:val="20"/>
                <w:szCs w:val="20"/>
              </w:rPr>
            </w:pPr>
            <w:r w:rsidRPr="007C6D7E">
              <w:rPr>
                <w:rFonts w:ascii="Palatino Linotype" w:hAnsi="Palatino Linotype"/>
                <w:sz w:val="20"/>
                <w:szCs w:val="20"/>
              </w:rPr>
              <w:t>-</w:t>
            </w:r>
          </w:p>
        </w:tc>
      </w:tr>
      <w:tr w:rsidR="007C6D7E" w:rsidRPr="00B83873" w14:paraId="07F4C2C1" w14:textId="77777777" w:rsidTr="007C6D7E">
        <w:trPr>
          <w:trHeight w:val="300"/>
        </w:trPr>
        <w:tc>
          <w:tcPr>
            <w:tcW w:w="567" w:type="dxa"/>
            <w:tcBorders>
              <w:top w:val="single" w:sz="4" w:space="0" w:color="auto"/>
              <w:left w:val="single" w:sz="4" w:space="0" w:color="auto"/>
              <w:bottom w:val="single" w:sz="4" w:space="0" w:color="auto"/>
              <w:right w:val="single" w:sz="4" w:space="0" w:color="auto"/>
            </w:tcBorders>
          </w:tcPr>
          <w:p w14:paraId="5FA1EDE6" w14:textId="77777777" w:rsidR="007C6D7E" w:rsidRPr="007C6D7E" w:rsidRDefault="007C6D7E" w:rsidP="007C6D7E">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t>34</w:t>
            </w:r>
          </w:p>
        </w:tc>
        <w:tc>
          <w:tcPr>
            <w:tcW w:w="1276" w:type="dxa"/>
            <w:tcBorders>
              <w:top w:val="single" w:sz="4" w:space="0" w:color="auto"/>
              <w:bottom w:val="single" w:sz="4" w:space="0" w:color="auto"/>
              <w:right w:val="single" w:sz="4" w:space="0" w:color="auto"/>
            </w:tcBorders>
            <w:shd w:val="clear" w:color="auto" w:fill="auto"/>
            <w:noWrap/>
          </w:tcPr>
          <w:p w14:paraId="62306D9D"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31/05/2021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76EA10CD"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PMC Fincorp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0C93707A"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0F4EB04C"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 xml:space="preserve">PMC Fincorp Limited, Raj Kumar Modi, Prabhat   Management   Services   Pvt   Ltd, R R P Management Services Pvt Ltd. </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8CDFB05" w14:textId="77777777" w:rsidR="007C6D7E" w:rsidRPr="007C6D7E" w:rsidRDefault="007C6D7E" w:rsidP="007C6D7E">
            <w:pPr>
              <w:shd w:val="clear" w:color="auto" w:fill="FFFFFF"/>
              <w:jc w:val="both"/>
              <w:rPr>
                <w:rFonts w:ascii="Palatino Linotype" w:hAnsi="Palatino Linotype"/>
                <w:sz w:val="20"/>
                <w:szCs w:val="20"/>
              </w:rPr>
            </w:pPr>
            <w:r w:rsidRPr="007C6D7E">
              <w:rPr>
                <w:rFonts w:ascii="Palatino Linotype" w:hAnsi="Palatino Linotype"/>
                <w:sz w:val="20"/>
                <w:szCs w:val="20"/>
              </w:rPr>
              <w:t xml:space="preserve">Section  12A  (a),  (b),  (c)  of  SEBI  Act  read  with Regulation 3 (a), (b), (c), (d) and4(1) of SEBI(Prohibition  of  Fraudulent  and  Unfair  Trade  Practices  Relating  to Securities   </w:t>
            </w:r>
            <w:r w:rsidRPr="007C6D7E">
              <w:rPr>
                <w:rFonts w:ascii="Palatino Linotype" w:hAnsi="Palatino Linotype"/>
                <w:sz w:val="20"/>
                <w:szCs w:val="20"/>
              </w:rPr>
              <w:lastRenderedPageBreak/>
              <w:t>Market)   Regulations,   2003 (PFUTP Regulations)</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7123DD7C" w14:textId="77777777" w:rsidR="007C6D7E" w:rsidRPr="007C6D7E" w:rsidRDefault="007C6D7E" w:rsidP="007C6D7E">
            <w:pPr>
              <w:jc w:val="right"/>
              <w:rPr>
                <w:rFonts w:ascii="Palatino Linotype" w:hAnsi="Palatino Linotype"/>
                <w:sz w:val="20"/>
                <w:szCs w:val="20"/>
              </w:rPr>
            </w:pPr>
            <w:r w:rsidRPr="007C6D7E">
              <w:rPr>
                <w:rFonts w:ascii="Palatino Linotype" w:hAnsi="Palatino Linotype"/>
                <w:sz w:val="20"/>
                <w:szCs w:val="20"/>
              </w:rPr>
              <w:lastRenderedPageBreak/>
              <w:t>40,00,000</w:t>
            </w:r>
          </w:p>
        </w:tc>
      </w:tr>
      <w:tr w:rsidR="007C6D7E" w:rsidRPr="00B83873" w14:paraId="42F27400" w14:textId="77777777" w:rsidTr="007C6D7E">
        <w:trPr>
          <w:trHeight w:val="300"/>
        </w:trPr>
        <w:tc>
          <w:tcPr>
            <w:tcW w:w="567" w:type="dxa"/>
            <w:tcBorders>
              <w:top w:val="single" w:sz="4" w:space="0" w:color="auto"/>
              <w:left w:val="single" w:sz="4" w:space="0" w:color="auto"/>
              <w:bottom w:val="single" w:sz="4" w:space="0" w:color="auto"/>
              <w:right w:val="single" w:sz="4" w:space="0" w:color="auto"/>
            </w:tcBorders>
          </w:tcPr>
          <w:p w14:paraId="53E01E62" w14:textId="77777777" w:rsidR="007C6D7E" w:rsidRPr="007C6D7E" w:rsidRDefault="007C6D7E" w:rsidP="007C6D7E">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lastRenderedPageBreak/>
              <w:t>35</w:t>
            </w:r>
          </w:p>
        </w:tc>
        <w:tc>
          <w:tcPr>
            <w:tcW w:w="1276" w:type="dxa"/>
            <w:tcBorders>
              <w:top w:val="single" w:sz="4" w:space="0" w:color="auto"/>
              <w:bottom w:val="single" w:sz="4" w:space="0" w:color="auto"/>
              <w:right w:val="single" w:sz="4" w:space="0" w:color="auto"/>
            </w:tcBorders>
            <w:shd w:val="clear" w:color="auto" w:fill="auto"/>
            <w:noWrap/>
          </w:tcPr>
          <w:p w14:paraId="57FA7F40"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31/05/2021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3FF0986F"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Capstocks &amp; Securities (India) Pvt. Ltd.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0C14C088"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132ACB98"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Capstocks &amp; Securities (India) Pvt. Ltd.</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BD143CF" w14:textId="77777777" w:rsidR="007C6D7E" w:rsidRPr="007C6D7E" w:rsidRDefault="007C6D7E" w:rsidP="007C6D7E">
            <w:pPr>
              <w:pStyle w:val="Default"/>
              <w:rPr>
                <w:rFonts w:ascii="Palatino Linotype" w:hAnsi="Palatino Linotype"/>
                <w:sz w:val="20"/>
                <w:szCs w:val="20"/>
              </w:rPr>
            </w:pPr>
          </w:p>
          <w:p w14:paraId="562341E0" w14:textId="77777777" w:rsidR="007C6D7E" w:rsidRPr="007C6D7E" w:rsidRDefault="007C6D7E" w:rsidP="007C6D7E">
            <w:pPr>
              <w:pStyle w:val="Default"/>
              <w:rPr>
                <w:rFonts w:ascii="Palatino Linotype" w:hAnsi="Palatino Linotype"/>
                <w:sz w:val="20"/>
                <w:szCs w:val="20"/>
              </w:rPr>
            </w:pPr>
            <w:r w:rsidRPr="007C6D7E">
              <w:rPr>
                <w:rFonts w:ascii="Palatino Linotype" w:hAnsi="Palatino Linotype"/>
                <w:sz w:val="20"/>
                <w:szCs w:val="20"/>
              </w:rPr>
              <w:t>SEBI Circular SMD/SED/CIR/93/23321 dated November 18, 1993;</w:t>
            </w:r>
          </w:p>
          <w:p w14:paraId="21A31AF3" w14:textId="77777777" w:rsidR="007C6D7E" w:rsidRPr="007C6D7E" w:rsidRDefault="007C6D7E" w:rsidP="007C6D7E">
            <w:pPr>
              <w:pStyle w:val="Default"/>
              <w:rPr>
                <w:rFonts w:ascii="Palatino Linotype" w:hAnsi="Palatino Linotype"/>
                <w:sz w:val="20"/>
                <w:szCs w:val="20"/>
              </w:rPr>
            </w:pPr>
          </w:p>
          <w:p w14:paraId="094D9753" w14:textId="77777777" w:rsidR="007C6D7E" w:rsidRPr="007C6D7E" w:rsidRDefault="007C6D7E" w:rsidP="007C6D7E">
            <w:pPr>
              <w:pStyle w:val="Default"/>
              <w:rPr>
                <w:rFonts w:ascii="Palatino Linotype" w:hAnsi="Palatino Linotype"/>
                <w:sz w:val="20"/>
                <w:szCs w:val="20"/>
              </w:rPr>
            </w:pPr>
            <w:r w:rsidRPr="007C6D7E">
              <w:rPr>
                <w:rFonts w:ascii="Palatino Linotype" w:hAnsi="Palatino Linotype"/>
                <w:sz w:val="20"/>
                <w:szCs w:val="20"/>
              </w:rPr>
              <w:t xml:space="preserve">Circular SEBI/HO/MIRSD/MIRSD2/CIR/P/2016/95 dated September 26, 2016. </w:t>
            </w:r>
          </w:p>
          <w:p w14:paraId="00B303BA" w14:textId="77777777" w:rsidR="007C6D7E" w:rsidRPr="007C6D7E" w:rsidRDefault="007C6D7E" w:rsidP="007C6D7E">
            <w:pPr>
              <w:pStyle w:val="Default"/>
              <w:rPr>
                <w:rFonts w:ascii="Palatino Linotype" w:hAnsi="Palatino Linotype"/>
                <w:sz w:val="20"/>
                <w:szCs w:val="20"/>
              </w:rPr>
            </w:pPr>
          </w:p>
          <w:p w14:paraId="6EA2AF5D" w14:textId="77777777" w:rsidR="007C6D7E" w:rsidRPr="007C6D7E" w:rsidRDefault="007C6D7E" w:rsidP="007C6D7E">
            <w:pPr>
              <w:pStyle w:val="Default"/>
              <w:rPr>
                <w:rFonts w:ascii="Palatino Linotype" w:hAnsi="Palatino Linotype"/>
                <w:sz w:val="20"/>
                <w:szCs w:val="20"/>
              </w:rPr>
            </w:pPr>
          </w:p>
          <w:p w14:paraId="722E76D9" w14:textId="77777777" w:rsidR="007C6D7E" w:rsidRPr="007C6D7E" w:rsidRDefault="007C6D7E" w:rsidP="007C6D7E">
            <w:pPr>
              <w:pStyle w:val="Default"/>
              <w:rPr>
                <w:rFonts w:ascii="Palatino Linotype" w:hAnsi="Palatino Linotype"/>
                <w:sz w:val="20"/>
                <w:szCs w:val="20"/>
              </w:rPr>
            </w:pPr>
            <w:r w:rsidRPr="007C6D7E">
              <w:rPr>
                <w:rFonts w:ascii="Palatino Linotype" w:hAnsi="Palatino Linotype"/>
                <w:sz w:val="20"/>
                <w:szCs w:val="20"/>
              </w:rPr>
              <w:t xml:space="preserve">Circular SEBI/MIRSD/SE/Cir-19/2009 dated December 03, 2009 </w:t>
            </w:r>
          </w:p>
          <w:p w14:paraId="7B925625" w14:textId="77777777" w:rsidR="007C6D7E" w:rsidRPr="007C6D7E" w:rsidRDefault="007C6D7E" w:rsidP="007C6D7E">
            <w:pPr>
              <w:pStyle w:val="Default"/>
              <w:rPr>
                <w:rFonts w:ascii="Palatino Linotype" w:hAnsi="Palatino Linotype"/>
                <w:sz w:val="20"/>
                <w:szCs w:val="20"/>
              </w:rPr>
            </w:pPr>
            <w:r w:rsidRPr="007C6D7E">
              <w:rPr>
                <w:rFonts w:ascii="Palatino Linotype" w:hAnsi="Palatino Linotype"/>
                <w:sz w:val="20"/>
                <w:szCs w:val="20"/>
              </w:rPr>
              <w:t xml:space="preserve"> </w:t>
            </w:r>
          </w:p>
          <w:p w14:paraId="37FFB843" w14:textId="77777777" w:rsidR="007C6D7E" w:rsidRPr="007C6D7E" w:rsidRDefault="007C6D7E" w:rsidP="007C6D7E">
            <w:pPr>
              <w:pStyle w:val="Default"/>
              <w:rPr>
                <w:rFonts w:ascii="Palatino Linotype" w:hAnsi="Palatino Linotype"/>
                <w:sz w:val="20"/>
                <w:szCs w:val="20"/>
              </w:rPr>
            </w:pPr>
            <w:r w:rsidRPr="007C6D7E">
              <w:rPr>
                <w:rFonts w:ascii="Palatino Linotype" w:hAnsi="Palatino Linotype"/>
                <w:sz w:val="20"/>
                <w:szCs w:val="20"/>
              </w:rPr>
              <w:t xml:space="preserve"> </w:t>
            </w:r>
          </w:p>
          <w:p w14:paraId="684CAEB1" w14:textId="77777777" w:rsidR="007C6D7E" w:rsidRPr="007C6D7E" w:rsidRDefault="007C6D7E" w:rsidP="007C6D7E">
            <w:pPr>
              <w:pStyle w:val="Default"/>
              <w:rPr>
                <w:rFonts w:ascii="Palatino Linotype" w:hAnsi="Palatino Linotype"/>
                <w:sz w:val="20"/>
                <w:szCs w:val="20"/>
              </w:rPr>
            </w:pPr>
            <w:r w:rsidRPr="007C6D7E">
              <w:rPr>
                <w:rFonts w:ascii="Palatino Linotype" w:hAnsi="Palatino Linotype"/>
                <w:sz w:val="20"/>
                <w:szCs w:val="20"/>
              </w:rPr>
              <w:t xml:space="preserve">Circular CIR/HO/MIRSD/MIRSD2/CIR/P/2017/108 dated September 26, 2017 </w:t>
            </w:r>
          </w:p>
          <w:p w14:paraId="60D699A9" w14:textId="77777777" w:rsidR="007C6D7E" w:rsidRPr="007C6D7E" w:rsidRDefault="007C6D7E" w:rsidP="007C6D7E">
            <w:pPr>
              <w:shd w:val="clear" w:color="auto" w:fill="FFFFFF"/>
              <w:jc w:val="both"/>
              <w:rPr>
                <w:rFonts w:ascii="Palatino Linotype" w:hAnsi="Palatino Linotype"/>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23D1CEAC" w14:textId="77777777" w:rsidR="007C6D7E" w:rsidRPr="007C6D7E" w:rsidRDefault="007C6D7E" w:rsidP="007C6D7E">
            <w:pPr>
              <w:jc w:val="right"/>
              <w:rPr>
                <w:rFonts w:ascii="Palatino Linotype" w:hAnsi="Palatino Linotype"/>
                <w:sz w:val="20"/>
                <w:szCs w:val="20"/>
              </w:rPr>
            </w:pPr>
            <w:r w:rsidRPr="007C6D7E">
              <w:rPr>
                <w:rFonts w:ascii="Palatino Linotype" w:hAnsi="Palatino Linotype"/>
                <w:sz w:val="20"/>
                <w:szCs w:val="20"/>
              </w:rPr>
              <w:t>7,00,000</w:t>
            </w:r>
          </w:p>
        </w:tc>
      </w:tr>
      <w:tr w:rsidR="007C6D7E" w:rsidRPr="00B83873" w14:paraId="5F993A42" w14:textId="77777777" w:rsidTr="007C6D7E">
        <w:trPr>
          <w:trHeight w:val="300"/>
        </w:trPr>
        <w:tc>
          <w:tcPr>
            <w:tcW w:w="567" w:type="dxa"/>
            <w:tcBorders>
              <w:top w:val="single" w:sz="4" w:space="0" w:color="auto"/>
              <w:left w:val="single" w:sz="4" w:space="0" w:color="auto"/>
              <w:bottom w:val="single" w:sz="4" w:space="0" w:color="auto"/>
              <w:right w:val="single" w:sz="4" w:space="0" w:color="auto"/>
            </w:tcBorders>
          </w:tcPr>
          <w:p w14:paraId="6A5903D5" w14:textId="77777777" w:rsidR="007C6D7E" w:rsidRPr="007C6D7E" w:rsidRDefault="007C6D7E" w:rsidP="007C6D7E">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t>36</w:t>
            </w:r>
          </w:p>
        </w:tc>
        <w:tc>
          <w:tcPr>
            <w:tcW w:w="1276" w:type="dxa"/>
            <w:tcBorders>
              <w:top w:val="single" w:sz="4" w:space="0" w:color="auto"/>
              <w:bottom w:val="single" w:sz="4" w:space="0" w:color="auto"/>
              <w:right w:val="single" w:sz="4" w:space="0" w:color="auto"/>
            </w:tcBorders>
            <w:shd w:val="clear" w:color="auto" w:fill="auto"/>
            <w:noWrap/>
          </w:tcPr>
          <w:p w14:paraId="73F4E86E"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31/05/2021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1585ACF0"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Trading in Illiquid Stock Options on BSE</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44483918"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21C3399E"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Shiva Commodities Private Ltd.</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9862B74" w14:textId="77777777" w:rsidR="007C6D7E" w:rsidRPr="007C6D7E" w:rsidRDefault="007C6D7E" w:rsidP="007C6D7E">
            <w:pPr>
              <w:shd w:val="clear" w:color="auto" w:fill="FFFFFF"/>
              <w:jc w:val="both"/>
              <w:rPr>
                <w:rFonts w:ascii="Palatino Linotype" w:hAnsi="Palatino Linotype"/>
                <w:sz w:val="20"/>
                <w:szCs w:val="20"/>
              </w:rPr>
            </w:pPr>
            <w:r w:rsidRPr="007C6D7E">
              <w:rPr>
                <w:rFonts w:ascii="Palatino Linotype" w:hAnsi="Palatino Linotype"/>
                <w:sz w:val="20"/>
                <w:szCs w:val="20"/>
              </w:rPr>
              <w:t>Regulations 3(a), (b), (c), (d), 4(1) and  4(2)(a)  of  PFUTP  Regulations, 2003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0B3DDECE" w14:textId="77777777" w:rsidR="007C6D7E" w:rsidRPr="007C6D7E" w:rsidRDefault="007C6D7E" w:rsidP="007C6D7E">
            <w:pPr>
              <w:jc w:val="right"/>
              <w:rPr>
                <w:rFonts w:ascii="Palatino Linotype" w:hAnsi="Palatino Linotype"/>
                <w:sz w:val="20"/>
                <w:szCs w:val="20"/>
              </w:rPr>
            </w:pPr>
            <w:r w:rsidRPr="007C6D7E">
              <w:rPr>
                <w:rFonts w:ascii="Palatino Linotype" w:hAnsi="Palatino Linotype"/>
                <w:sz w:val="20"/>
                <w:szCs w:val="20"/>
              </w:rPr>
              <w:t>10,40,000</w:t>
            </w:r>
          </w:p>
        </w:tc>
      </w:tr>
      <w:tr w:rsidR="007C6D7E" w:rsidRPr="00B83873" w14:paraId="122A057C" w14:textId="77777777" w:rsidTr="007C6D7E">
        <w:trPr>
          <w:trHeight w:val="300"/>
        </w:trPr>
        <w:tc>
          <w:tcPr>
            <w:tcW w:w="567" w:type="dxa"/>
            <w:tcBorders>
              <w:top w:val="single" w:sz="4" w:space="0" w:color="auto"/>
              <w:left w:val="single" w:sz="4" w:space="0" w:color="auto"/>
              <w:bottom w:val="single" w:sz="4" w:space="0" w:color="auto"/>
              <w:right w:val="single" w:sz="4" w:space="0" w:color="auto"/>
            </w:tcBorders>
          </w:tcPr>
          <w:p w14:paraId="145CE360" w14:textId="77777777" w:rsidR="007C6D7E" w:rsidRPr="007C6D7E" w:rsidRDefault="007C6D7E" w:rsidP="007C6D7E">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t>37</w:t>
            </w:r>
          </w:p>
        </w:tc>
        <w:tc>
          <w:tcPr>
            <w:tcW w:w="1276" w:type="dxa"/>
            <w:tcBorders>
              <w:top w:val="single" w:sz="4" w:space="0" w:color="auto"/>
              <w:bottom w:val="single" w:sz="4" w:space="0" w:color="auto"/>
              <w:right w:val="single" w:sz="4" w:space="0" w:color="auto"/>
            </w:tcBorders>
            <w:shd w:val="clear" w:color="auto" w:fill="auto"/>
            <w:noWrap/>
          </w:tcPr>
          <w:p w14:paraId="4A8B94D8"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31/05/2021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67D9FA6F"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SDC Techmedia Limited (Formerly known as One Source Techmedia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3069579B"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5452A2A2"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Mr. Jose Charles Martin</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1360C14" w14:textId="77777777" w:rsidR="007C6D7E" w:rsidRPr="007C6D7E" w:rsidRDefault="007C6D7E" w:rsidP="007C6D7E">
            <w:pPr>
              <w:shd w:val="clear" w:color="auto" w:fill="FFFFFF"/>
              <w:jc w:val="both"/>
              <w:rPr>
                <w:rFonts w:ascii="Palatino Linotype" w:hAnsi="Palatino Linotype"/>
                <w:sz w:val="20"/>
                <w:szCs w:val="20"/>
              </w:rPr>
            </w:pPr>
            <w:r w:rsidRPr="007C6D7E">
              <w:rPr>
                <w:rFonts w:ascii="Palatino Linotype" w:hAnsi="Palatino Linotype"/>
                <w:sz w:val="20"/>
                <w:szCs w:val="20"/>
              </w:rPr>
              <w:t>Regulation  29(1)  read  with  Regulation  29(3)  of  the  SEBI (Substantial  Acquisition  of  Shares  and  Takeovers)  Regulations,  2011 (SAST Regulations)</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117A0BF9" w14:textId="77777777" w:rsidR="007C6D7E" w:rsidRPr="007C6D7E" w:rsidRDefault="007C6D7E" w:rsidP="007C6D7E">
            <w:pPr>
              <w:jc w:val="right"/>
              <w:rPr>
                <w:rFonts w:ascii="Palatino Linotype" w:hAnsi="Palatino Linotype"/>
                <w:sz w:val="20"/>
                <w:szCs w:val="20"/>
              </w:rPr>
            </w:pPr>
            <w:r w:rsidRPr="007C6D7E">
              <w:rPr>
                <w:rFonts w:ascii="Palatino Linotype" w:hAnsi="Palatino Linotype"/>
                <w:sz w:val="20"/>
                <w:szCs w:val="20"/>
              </w:rPr>
              <w:t>2,00,000</w:t>
            </w:r>
          </w:p>
        </w:tc>
      </w:tr>
      <w:tr w:rsidR="007C6D7E" w:rsidRPr="00B83873" w14:paraId="2DE31DA8" w14:textId="77777777" w:rsidTr="007C6D7E">
        <w:trPr>
          <w:trHeight w:val="300"/>
        </w:trPr>
        <w:tc>
          <w:tcPr>
            <w:tcW w:w="567" w:type="dxa"/>
            <w:tcBorders>
              <w:top w:val="single" w:sz="4" w:space="0" w:color="auto"/>
              <w:left w:val="single" w:sz="4" w:space="0" w:color="auto"/>
              <w:bottom w:val="single" w:sz="4" w:space="0" w:color="auto"/>
              <w:right w:val="single" w:sz="4" w:space="0" w:color="auto"/>
            </w:tcBorders>
          </w:tcPr>
          <w:p w14:paraId="71212399" w14:textId="77777777" w:rsidR="007C6D7E" w:rsidRPr="007C6D7E" w:rsidRDefault="007C6D7E" w:rsidP="007C6D7E">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t>38</w:t>
            </w:r>
          </w:p>
        </w:tc>
        <w:tc>
          <w:tcPr>
            <w:tcW w:w="1276" w:type="dxa"/>
            <w:tcBorders>
              <w:top w:val="single" w:sz="4" w:space="0" w:color="auto"/>
              <w:bottom w:val="single" w:sz="4" w:space="0" w:color="auto"/>
              <w:right w:val="single" w:sz="4" w:space="0" w:color="auto"/>
            </w:tcBorders>
            <w:shd w:val="clear" w:color="auto" w:fill="auto"/>
            <w:noWrap/>
          </w:tcPr>
          <w:p w14:paraId="1F5F99F6"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31/05/2021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31A2277E"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Himachal Fibres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34D1DE4C"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7249D50F"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Rajesh Gupta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57F9D48" w14:textId="77777777" w:rsidR="007C6D7E" w:rsidRPr="007C6D7E" w:rsidRDefault="007C6D7E" w:rsidP="007C6D7E">
            <w:pPr>
              <w:shd w:val="clear" w:color="auto" w:fill="FFFFFF"/>
              <w:jc w:val="both"/>
              <w:rPr>
                <w:rFonts w:ascii="Palatino Linotype" w:hAnsi="Palatino Linotype"/>
                <w:sz w:val="20"/>
                <w:szCs w:val="20"/>
              </w:rPr>
            </w:pPr>
            <w:r w:rsidRPr="007C6D7E">
              <w:rPr>
                <w:rFonts w:ascii="Palatino Linotype" w:hAnsi="Palatino Linotype"/>
                <w:sz w:val="20"/>
                <w:szCs w:val="20"/>
              </w:rPr>
              <w:t xml:space="preserve">Regulation 7(1A) read with 7(2) and 8(2) of SAST Regulations, 1997. </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5BC19E4F" w14:textId="77777777" w:rsidR="007C6D7E" w:rsidRPr="007C6D7E" w:rsidRDefault="007C6D7E" w:rsidP="007C6D7E">
            <w:pPr>
              <w:jc w:val="right"/>
              <w:rPr>
                <w:rFonts w:ascii="Palatino Linotype" w:hAnsi="Palatino Linotype"/>
                <w:sz w:val="20"/>
                <w:szCs w:val="20"/>
              </w:rPr>
            </w:pPr>
            <w:r w:rsidRPr="007C6D7E">
              <w:rPr>
                <w:rFonts w:ascii="Palatino Linotype" w:hAnsi="Palatino Linotype"/>
                <w:sz w:val="20"/>
                <w:szCs w:val="20"/>
              </w:rPr>
              <w:t>1,00,000</w:t>
            </w:r>
          </w:p>
        </w:tc>
      </w:tr>
      <w:tr w:rsidR="007C6D7E" w:rsidRPr="00B83873" w14:paraId="5E81534E" w14:textId="77777777" w:rsidTr="007C6D7E">
        <w:trPr>
          <w:trHeight w:val="300"/>
        </w:trPr>
        <w:tc>
          <w:tcPr>
            <w:tcW w:w="567" w:type="dxa"/>
            <w:tcBorders>
              <w:top w:val="single" w:sz="4" w:space="0" w:color="auto"/>
              <w:left w:val="single" w:sz="4" w:space="0" w:color="auto"/>
              <w:bottom w:val="single" w:sz="4" w:space="0" w:color="auto"/>
              <w:right w:val="single" w:sz="4" w:space="0" w:color="auto"/>
            </w:tcBorders>
          </w:tcPr>
          <w:p w14:paraId="7CF59184" w14:textId="77777777" w:rsidR="007C6D7E" w:rsidRPr="007C6D7E" w:rsidRDefault="007C6D7E" w:rsidP="007C6D7E">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t>39</w:t>
            </w:r>
          </w:p>
        </w:tc>
        <w:tc>
          <w:tcPr>
            <w:tcW w:w="1276" w:type="dxa"/>
            <w:tcBorders>
              <w:top w:val="single" w:sz="4" w:space="0" w:color="auto"/>
              <w:bottom w:val="single" w:sz="4" w:space="0" w:color="auto"/>
              <w:right w:val="single" w:sz="4" w:space="0" w:color="auto"/>
            </w:tcBorders>
            <w:shd w:val="clear" w:color="auto" w:fill="auto"/>
            <w:noWrap/>
          </w:tcPr>
          <w:p w14:paraId="73DC6CD6"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31/05/2021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6A483F8E"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Himachal Fibres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70BB277D"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56E6DEBE"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Harish Gupta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1FC146F" w14:textId="77777777" w:rsidR="007C6D7E" w:rsidRPr="007C6D7E" w:rsidRDefault="007C6D7E" w:rsidP="007C6D7E">
            <w:pPr>
              <w:shd w:val="clear" w:color="auto" w:fill="FFFFFF"/>
              <w:jc w:val="both"/>
              <w:rPr>
                <w:rFonts w:ascii="Palatino Linotype" w:hAnsi="Palatino Linotype"/>
                <w:sz w:val="20"/>
                <w:szCs w:val="20"/>
              </w:rPr>
            </w:pPr>
            <w:r w:rsidRPr="007C6D7E">
              <w:rPr>
                <w:rFonts w:ascii="Palatino Linotype" w:hAnsi="Palatino Linotype"/>
                <w:sz w:val="20"/>
                <w:szCs w:val="20"/>
              </w:rPr>
              <w:t xml:space="preserve">Regulation 8(2) of SAST Regulations, 1997. </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6EA8D85D" w14:textId="77777777" w:rsidR="007C6D7E" w:rsidRPr="007C6D7E" w:rsidRDefault="007C6D7E" w:rsidP="007C6D7E">
            <w:pPr>
              <w:jc w:val="right"/>
              <w:rPr>
                <w:rFonts w:ascii="Palatino Linotype" w:hAnsi="Palatino Linotype"/>
                <w:sz w:val="20"/>
                <w:szCs w:val="20"/>
              </w:rPr>
            </w:pPr>
            <w:r w:rsidRPr="007C6D7E">
              <w:rPr>
                <w:rFonts w:ascii="Palatino Linotype" w:hAnsi="Palatino Linotype"/>
                <w:sz w:val="20"/>
                <w:szCs w:val="20"/>
              </w:rPr>
              <w:t>1,00,000</w:t>
            </w:r>
          </w:p>
        </w:tc>
      </w:tr>
      <w:tr w:rsidR="007C6D7E" w:rsidRPr="00B83873" w14:paraId="4C4DF926" w14:textId="77777777" w:rsidTr="007C6D7E">
        <w:trPr>
          <w:trHeight w:val="300"/>
        </w:trPr>
        <w:tc>
          <w:tcPr>
            <w:tcW w:w="567" w:type="dxa"/>
            <w:tcBorders>
              <w:top w:val="single" w:sz="4" w:space="0" w:color="auto"/>
              <w:left w:val="single" w:sz="4" w:space="0" w:color="auto"/>
              <w:bottom w:val="single" w:sz="4" w:space="0" w:color="auto"/>
              <w:right w:val="single" w:sz="4" w:space="0" w:color="auto"/>
            </w:tcBorders>
          </w:tcPr>
          <w:p w14:paraId="2265CA5A" w14:textId="77777777" w:rsidR="007C6D7E" w:rsidRPr="007C6D7E" w:rsidRDefault="007C6D7E" w:rsidP="007C6D7E">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t>40</w:t>
            </w:r>
          </w:p>
        </w:tc>
        <w:tc>
          <w:tcPr>
            <w:tcW w:w="1276" w:type="dxa"/>
            <w:tcBorders>
              <w:top w:val="single" w:sz="4" w:space="0" w:color="auto"/>
              <w:bottom w:val="single" w:sz="4" w:space="0" w:color="auto"/>
              <w:right w:val="single" w:sz="4" w:space="0" w:color="auto"/>
            </w:tcBorders>
            <w:shd w:val="clear" w:color="auto" w:fill="auto"/>
            <w:noWrap/>
          </w:tcPr>
          <w:p w14:paraId="3610B191"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31/05/2021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3978DD78"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Himachal Fibres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6CD51D9B"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46DDBB6B"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Chandra Devi Jatan Raj Kathari</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36BD84E" w14:textId="77777777" w:rsidR="007C6D7E" w:rsidRPr="007C6D7E" w:rsidRDefault="007C6D7E" w:rsidP="007C6D7E">
            <w:pPr>
              <w:shd w:val="clear" w:color="auto" w:fill="FFFFFF"/>
              <w:jc w:val="both"/>
              <w:rPr>
                <w:rFonts w:ascii="Palatino Linotype" w:hAnsi="Palatino Linotype"/>
                <w:sz w:val="20"/>
                <w:szCs w:val="20"/>
              </w:rPr>
            </w:pPr>
            <w:r w:rsidRPr="007C6D7E">
              <w:rPr>
                <w:rFonts w:ascii="Palatino Linotype" w:hAnsi="Palatino Linotype"/>
                <w:sz w:val="20"/>
                <w:szCs w:val="20"/>
              </w:rPr>
              <w:t>Regulation 8(2) of SAST Regulations, 1997</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1B55F969" w14:textId="77777777" w:rsidR="007C6D7E" w:rsidRPr="007C6D7E" w:rsidRDefault="007C6D7E" w:rsidP="007C6D7E">
            <w:pPr>
              <w:jc w:val="right"/>
              <w:rPr>
                <w:rFonts w:ascii="Palatino Linotype" w:hAnsi="Palatino Linotype"/>
                <w:sz w:val="20"/>
                <w:szCs w:val="20"/>
              </w:rPr>
            </w:pPr>
            <w:r w:rsidRPr="007C6D7E">
              <w:rPr>
                <w:rFonts w:ascii="Palatino Linotype" w:hAnsi="Palatino Linotype"/>
                <w:sz w:val="20"/>
                <w:szCs w:val="20"/>
              </w:rPr>
              <w:t>1,00,000</w:t>
            </w:r>
          </w:p>
        </w:tc>
      </w:tr>
      <w:tr w:rsidR="007C6D7E" w:rsidRPr="00B83873" w14:paraId="00E737B7" w14:textId="77777777" w:rsidTr="007C6D7E">
        <w:trPr>
          <w:trHeight w:val="300"/>
        </w:trPr>
        <w:tc>
          <w:tcPr>
            <w:tcW w:w="567" w:type="dxa"/>
            <w:tcBorders>
              <w:top w:val="single" w:sz="4" w:space="0" w:color="auto"/>
              <w:left w:val="single" w:sz="4" w:space="0" w:color="auto"/>
              <w:bottom w:val="single" w:sz="4" w:space="0" w:color="auto"/>
              <w:right w:val="single" w:sz="4" w:space="0" w:color="auto"/>
            </w:tcBorders>
          </w:tcPr>
          <w:p w14:paraId="665C15FF" w14:textId="77777777" w:rsidR="007C6D7E" w:rsidRPr="007C6D7E" w:rsidRDefault="007C6D7E" w:rsidP="007C6D7E">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lastRenderedPageBreak/>
              <w:t>41</w:t>
            </w:r>
          </w:p>
        </w:tc>
        <w:tc>
          <w:tcPr>
            <w:tcW w:w="1276" w:type="dxa"/>
            <w:tcBorders>
              <w:top w:val="single" w:sz="4" w:space="0" w:color="auto"/>
              <w:bottom w:val="single" w:sz="4" w:space="0" w:color="auto"/>
              <w:right w:val="single" w:sz="4" w:space="0" w:color="auto"/>
            </w:tcBorders>
            <w:shd w:val="clear" w:color="auto" w:fill="auto"/>
            <w:noWrap/>
          </w:tcPr>
          <w:p w14:paraId="75C4C6C1"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31/05/2021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1909C244"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Himachal Fibres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266E70C3"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75E8BC4F"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Dyal Sarup</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C8D09DF" w14:textId="77777777" w:rsidR="007C6D7E" w:rsidRPr="007C6D7E" w:rsidRDefault="007C6D7E" w:rsidP="007C6D7E">
            <w:pPr>
              <w:shd w:val="clear" w:color="auto" w:fill="FFFFFF"/>
              <w:jc w:val="both"/>
              <w:rPr>
                <w:rFonts w:ascii="Palatino Linotype" w:hAnsi="Palatino Linotype"/>
                <w:sz w:val="20"/>
                <w:szCs w:val="20"/>
              </w:rPr>
            </w:pPr>
            <w:r w:rsidRPr="007C6D7E">
              <w:rPr>
                <w:rFonts w:ascii="Palatino Linotype" w:hAnsi="Palatino Linotype"/>
                <w:sz w:val="20"/>
                <w:szCs w:val="20"/>
              </w:rPr>
              <w:t xml:space="preserve">Regulation 8(2) for F.Y. 2007 and 2010 of SAST Regulations. </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49C0B4DC" w14:textId="77777777" w:rsidR="007C6D7E" w:rsidRPr="007C6D7E" w:rsidRDefault="007C6D7E" w:rsidP="007C6D7E">
            <w:pPr>
              <w:jc w:val="right"/>
              <w:rPr>
                <w:rFonts w:ascii="Palatino Linotype" w:hAnsi="Palatino Linotype"/>
                <w:sz w:val="20"/>
                <w:szCs w:val="20"/>
              </w:rPr>
            </w:pPr>
            <w:r w:rsidRPr="007C6D7E">
              <w:rPr>
                <w:rFonts w:ascii="Palatino Linotype" w:hAnsi="Palatino Linotype"/>
                <w:sz w:val="20"/>
                <w:szCs w:val="20"/>
              </w:rPr>
              <w:t>1,00,000</w:t>
            </w:r>
          </w:p>
        </w:tc>
      </w:tr>
      <w:tr w:rsidR="007C6D7E" w:rsidRPr="00B83873" w14:paraId="0F6ED962" w14:textId="77777777" w:rsidTr="007C6D7E">
        <w:trPr>
          <w:trHeight w:val="300"/>
        </w:trPr>
        <w:tc>
          <w:tcPr>
            <w:tcW w:w="567" w:type="dxa"/>
            <w:tcBorders>
              <w:top w:val="single" w:sz="4" w:space="0" w:color="auto"/>
              <w:left w:val="single" w:sz="4" w:space="0" w:color="auto"/>
              <w:bottom w:val="single" w:sz="4" w:space="0" w:color="auto"/>
              <w:right w:val="single" w:sz="4" w:space="0" w:color="auto"/>
            </w:tcBorders>
          </w:tcPr>
          <w:p w14:paraId="41510826" w14:textId="77777777" w:rsidR="007C6D7E" w:rsidRPr="007C6D7E" w:rsidRDefault="007C6D7E" w:rsidP="007C6D7E">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t>42</w:t>
            </w:r>
          </w:p>
        </w:tc>
        <w:tc>
          <w:tcPr>
            <w:tcW w:w="1276" w:type="dxa"/>
            <w:tcBorders>
              <w:top w:val="single" w:sz="4" w:space="0" w:color="auto"/>
              <w:bottom w:val="single" w:sz="4" w:space="0" w:color="auto"/>
              <w:right w:val="single" w:sz="4" w:space="0" w:color="auto"/>
            </w:tcBorders>
            <w:shd w:val="clear" w:color="auto" w:fill="auto"/>
            <w:noWrap/>
          </w:tcPr>
          <w:p w14:paraId="5CB27B23"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31/05/2021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462AD125"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Illiquid Stock Options on BSE</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73A653B4"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4EE6035F"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Swaran Financial Pvt Ltd</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91C2B67" w14:textId="77777777" w:rsidR="007C6D7E" w:rsidRPr="007C6D7E" w:rsidRDefault="007C6D7E" w:rsidP="007C6D7E">
            <w:pPr>
              <w:shd w:val="clear" w:color="auto" w:fill="FFFFFF"/>
              <w:jc w:val="both"/>
              <w:rPr>
                <w:rFonts w:ascii="Palatino Linotype" w:hAnsi="Palatino Linotype"/>
                <w:sz w:val="20"/>
                <w:szCs w:val="20"/>
              </w:rPr>
            </w:pPr>
            <w:r w:rsidRPr="007C6D7E">
              <w:rPr>
                <w:rFonts w:ascii="Palatino Linotype" w:hAnsi="Palatino Linotype"/>
                <w:sz w:val="20"/>
                <w:szCs w:val="20"/>
              </w:rPr>
              <w:t>Regulations 3(a), (b), (c), (d), 4(1) and 4(2)(a) of PFUTP Regulations</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78B9EABA" w14:textId="77777777" w:rsidR="007C6D7E" w:rsidRPr="007C6D7E" w:rsidRDefault="007C6D7E" w:rsidP="007C6D7E">
            <w:pPr>
              <w:jc w:val="right"/>
              <w:rPr>
                <w:rFonts w:ascii="Palatino Linotype" w:hAnsi="Palatino Linotype"/>
                <w:sz w:val="20"/>
                <w:szCs w:val="20"/>
              </w:rPr>
            </w:pPr>
            <w:r w:rsidRPr="007C6D7E">
              <w:rPr>
                <w:rFonts w:ascii="Palatino Linotype" w:hAnsi="Palatino Linotype"/>
                <w:sz w:val="20"/>
                <w:szCs w:val="20"/>
              </w:rPr>
              <w:t>12,00,000</w:t>
            </w:r>
          </w:p>
        </w:tc>
      </w:tr>
      <w:tr w:rsidR="007C6D7E" w:rsidRPr="00B83873" w14:paraId="4B86F583" w14:textId="77777777" w:rsidTr="007C6D7E">
        <w:trPr>
          <w:trHeight w:val="300"/>
        </w:trPr>
        <w:tc>
          <w:tcPr>
            <w:tcW w:w="567" w:type="dxa"/>
            <w:tcBorders>
              <w:top w:val="single" w:sz="4" w:space="0" w:color="auto"/>
              <w:left w:val="single" w:sz="4" w:space="0" w:color="auto"/>
              <w:bottom w:val="single" w:sz="4" w:space="0" w:color="auto"/>
              <w:right w:val="single" w:sz="4" w:space="0" w:color="auto"/>
            </w:tcBorders>
          </w:tcPr>
          <w:p w14:paraId="2A96492A" w14:textId="77777777" w:rsidR="007C6D7E" w:rsidRPr="007C6D7E" w:rsidRDefault="007C6D7E" w:rsidP="007C6D7E">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t>43</w:t>
            </w:r>
          </w:p>
        </w:tc>
        <w:tc>
          <w:tcPr>
            <w:tcW w:w="1276" w:type="dxa"/>
            <w:tcBorders>
              <w:top w:val="single" w:sz="4" w:space="0" w:color="auto"/>
              <w:bottom w:val="single" w:sz="4" w:space="0" w:color="auto"/>
              <w:right w:val="single" w:sz="4" w:space="0" w:color="auto"/>
            </w:tcBorders>
            <w:shd w:val="clear" w:color="auto" w:fill="auto"/>
            <w:noWrap/>
          </w:tcPr>
          <w:p w14:paraId="62818B73"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31/05/2021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1ECFA7A7"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Illiquid Stock Options on BSE</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1F5F6239"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2947F329"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Laxmi  Iron  &amp;  Steel  Works  Pvt.  Ltd</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8482630" w14:textId="77777777" w:rsidR="007C6D7E" w:rsidRPr="007C6D7E" w:rsidRDefault="007C6D7E" w:rsidP="007C6D7E">
            <w:pPr>
              <w:shd w:val="clear" w:color="auto" w:fill="FFFFFF"/>
              <w:jc w:val="both"/>
              <w:rPr>
                <w:rFonts w:ascii="Palatino Linotype" w:hAnsi="Palatino Linotype"/>
                <w:sz w:val="20"/>
                <w:szCs w:val="20"/>
              </w:rPr>
            </w:pPr>
            <w:r w:rsidRPr="007C6D7E">
              <w:rPr>
                <w:rFonts w:ascii="Palatino Linotype" w:hAnsi="Palatino Linotype"/>
                <w:sz w:val="20"/>
                <w:szCs w:val="20"/>
              </w:rPr>
              <w:t>Regulations 3(a), (b), (c), (d), 4(1) and 4(2)(a) of PFUTP Regulations</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12EDE56B" w14:textId="77777777" w:rsidR="007C6D7E" w:rsidRPr="007C6D7E" w:rsidRDefault="007C6D7E" w:rsidP="007C6D7E">
            <w:pPr>
              <w:jc w:val="right"/>
              <w:rPr>
                <w:rFonts w:ascii="Palatino Linotype" w:hAnsi="Palatino Linotype"/>
                <w:sz w:val="20"/>
                <w:szCs w:val="20"/>
              </w:rPr>
            </w:pPr>
            <w:r w:rsidRPr="007C6D7E">
              <w:rPr>
                <w:rFonts w:ascii="Palatino Linotype" w:hAnsi="Palatino Linotype"/>
                <w:sz w:val="20"/>
                <w:szCs w:val="20"/>
              </w:rPr>
              <w:t>5,00,000</w:t>
            </w:r>
          </w:p>
        </w:tc>
      </w:tr>
      <w:tr w:rsidR="007C6D7E" w:rsidRPr="00B83873" w14:paraId="70A7F95C" w14:textId="77777777" w:rsidTr="007C6D7E">
        <w:trPr>
          <w:trHeight w:val="300"/>
        </w:trPr>
        <w:tc>
          <w:tcPr>
            <w:tcW w:w="567" w:type="dxa"/>
            <w:tcBorders>
              <w:top w:val="single" w:sz="4" w:space="0" w:color="auto"/>
              <w:left w:val="single" w:sz="4" w:space="0" w:color="auto"/>
              <w:bottom w:val="single" w:sz="4" w:space="0" w:color="auto"/>
              <w:right w:val="single" w:sz="4" w:space="0" w:color="auto"/>
            </w:tcBorders>
          </w:tcPr>
          <w:p w14:paraId="138592E9" w14:textId="77777777" w:rsidR="007C6D7E" w:rsidRPr="007C6D7E" w:rsidRDefault="007C6D7E" w:rsidP="007C6D7E">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t>44</w:t>
            </w:r>
          </w:p>
        </w:tc>
        <w:tc>
          <w:tcPr>
            <w:tcW w:w="1276" w:type="dxa"/>
            <w:tcBorders>
              <w:top w:val="single" w:sz="4" w:space="0" w:color="auto"/>
              <w:bottom w:val="single" w:sz="4" w:space="0" w:color="auto"/>
              <w:right w:val="single" w:sz="4" w:space="0" w:color="auto"/>
            </w:tcBorders>
            <w:shd w:val="clear" w:color="auto" w:fill="auto"/>
            <w:noWrap/>
          </w:tcPr>
          <w:p w14:paraId="0661B2D7"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31/05/2021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6D168C70"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Illiquid Stock Options on BSE</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15169695"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1E9B8934"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Sarswati  Sales  Private  Limited</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FEB56C6" w14:textId="77777777" w:rsidR="007C6D7E" w:rsidRPr="007C6D7E" w:rsidRDefault="007C6D7E" w:rsidP="007C6D7E">
            <w:pPr>
              <w:shd w:val="clear" w:color="auto" w:fill="FFFFFF"/>
              <w:jc w:val="both"/>
              <w:rPr>
                <w:rFonts w:ascii="Palatino Linotype" w:hAnsi="Palatino Linotype"/>
                <w:sz w:val="20"/>
                <w:szCs w:val="20"/>
              </w:rPr>
            </w:pPr>
            <w:r w:rsidRPr="007C6D7E">
              <w:rPr>
                <w:rFonts w:ascii="Palatino Linotype" w:hAnsi="Palatino Linotype"/>
                <w:sz w:val="20"/>
                <w:szCs w:val="20"/>
              </w:rPr>
              <w:t>Regulations 3(a), (b), (c), (d), 4(1) and 4(2)(a) of PFUTP Regulations</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126CBD54" w14:textId="77777777" w:rsidR="007C6D7E" w:rsidRPr="007C6D7E" w:rsidRDefault="007C6D7E" w:rsidP="007C6D7E">
            <w:pPr>
              <w:jc w:val="right"/>
              <w:rPr>
                <w:rFonts w:ascii="Palatino Linotype" w:hAnsi="Palatino Linotype"/>
                <w:sz w:val="20"/>
                <w:szCs w:val="20"/>
              </w:rPr>
            </w:pPr>
            <w:r w:rsidRPr="007C6D7E">
              <w:rPr>
                <w:rFonts w:ascii="Palatino Linotype" w:hAnsi="Palatino Linotype"/>
                <w:sz w:val="20"/>
                <w:szCs w:val="20"/>
              </w:rPr>
              <w:t>14,50,000</w:t>
            </w:r>
          </w:p>
        </w:tc>
      </w:tr>
      <w:tr w:rsidR="007C6D7E" w:rsidRPr="00B83873" w14:paraId="01989FF0" w14:textId="77777777" w:rsidTr="007C6D7E">
        <w:trPr>
          <w:trHeight w:val="300"/>
        </w:trPr>
        <w:tc>
          <w:tcPr>
            <w:tcW w:w="567" w:type="dxa"/>
            <w:tcBorders>
              <w:top w:val="single" w:sz="4" w:space="0" w:color="auto"/>
              <w:left w:val="single" w:sz="4" w:space="0" w:color="auto"/>
              <w:bottom w:val="single" w:sz="4" w:space="0" w:color="auto"/>
              <w:right w:val="single" w:sz="4" w:space="0" w:color="auto"/>
            </w:tcBorders>
          </w:tcPr>
          <w:p w14:paraId="771620F3" w14:textId="77777777" w:rsidR="007C6D7E" w:rsidRPr="007C6D7E" w:rsidRDefault="007C6D7E" w:rsidP="007C6D7E">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t>45</w:t>
            </w:r>
          </w:p>
        </w:tc>
        <w:tc>
          <w:tcPr>
            <w:tcW w:w="1276" w:type="dxa"/>
            <w:tcBorders>
              <w:top w:val="single" w:sz="4" w:space="0" w:color="auto"/>
              <w:bottom w:val="single" w:sz="4" w:space="0" w:color="auto"/>
              <w:right w:val="single" w:sz="4" w:space="0" w:color="auto"/>
            </w:tcBorders>
            <w:shd w:val="clear" w:color="auto" w:fill="auto"/>
            <w:noWrap/>
          </w:tcPr>
          <w:p w14:paraId="26FB0516"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31/05/2021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06FEEBBF"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Pyramid Saimira Theatre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7CA6AE30"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2175634C"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Yatin B Shah</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F6F17D4" w14:textId="77777777" w:rsidR="007C6D7E" w:rsidRPr="007C6D7E" w:rsidRDefault="007C6D7E" w:rsidP="007C6D7E">
            <w:pPr>
              <w:shd w:val="clear" w:color="auto" w:fill="FFFFFF"/>
              <w:jc w:val="both"/>
              <w:rPr>
                <w:rFonts w:ascii="Palatino Linotype" w:hAnsi="Palatino Linotype"/>
                <w:sz w:val="20"/>
                <w:szCs w:val="20"/>
              </w:rPr>
            </w:pPr>
            <w:r w:rsidRPr="007C6D7E">
              <w:rPr>
                <w:rFonts w:ascii="Palatino Linotype" w:hAnsi="Palatino Linotype"/>
                <w:sz w:val="20"/>
                <w:szCs w:val="20"/>
              </w:rPr>
              <w:t>Section 12A of SEBI Act and Regulations3(a), 3(b), 3(c), 3(d), 4(1), 4(2)(a)and 4(2)(e) of PFUTP Regulations, 2003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53F1E2DA" w14:textId="77777777" w:rsidR="007C6D7E" w:rsidRPr="007C6D7E" w:rsidRDefault="007C6D7E" w:rsidP="007C6D7E">
            <w:pPr>
              <w:jc w:val="right"/>
              <w:rPr>
                <w:rFonts w:ascii="Palatino Linotype" w:hAnsi="Palatino Linotype"/>
                <w:sz w:val="20"/>
                <w:szCs w:val="20"/>
              </w:rPr>
            </w:pPr>
            <w:r w:rsidRPr="007C6D7E">
              <w:rPr>
                <w:rFonts w:ascii="Palatino Linotype" w:hAnsi="Palatino Linotype"/>
                <w:sz w:val="20"/>
                <w:szCs w:val="20"/>
              </w:rPr>
              <w:t>2,00,000</w:t>
            </w:r>
          </w:p>
        </w:tc>
      </w:tr>
      <w:tr w:rsidR="007C6D7E" w:rsidRPr="00B83873" w14:paraId="7FD02357" w14:textId="77777777" w:rsidTr="007C6D7E">
        <w:trPr>
          <w:trHeight w:val="300"/>
        </w:trPr>
        <w:tc>
          <w:tcPr>
            <w:tcW w:w="567" w:type="dxa"/>
            <w:tcBorders>
              <w:top w:val="single" w:sz="4" w:space="0" w:color="auto"/>
              <w:left w:val="single" w:sz="4" w:space="0" w:color="auto"/>
              <w:bottom w:val="single" w:sz="4" w:space="0" w:color="auto"/>
              <w:right w:val="single" w:sz="4" w:space="0" w:color="auto"/>
            </w:tcBorders>
          </w:tcPr>
          <w:p w14:paraId="573C6C63" w14:textId="77777777" w:rsidR="007C6D7E" w:rsidRPr="007C6D7E" w:rsidRDefault="007C6D7E" w:rsidP="007C6D7E">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t>46</w:t>
            </w:r>
          </w:p>
        </w:tc>
        <w:tc>
          <w:tcPr>
            <w:tcW w:w="1276" w:type="dxa"/>
            <w:tcBorders>
              <w:top w:val="single" w:sz="4" w:space="0" w:color="auto"/>
              <w:bottom w:val="single" w:sz="4" w:space="0" w:color="auto"/>
              <w:right w:val="single" w:sz="4" w:space="0" w:color="auto"/>
            </w:tcBorders>
            <w:shd w:val="clear" w:color="auto" w:fill="auto"/>
            <w:noWrap/>
          </w:tcPr>
          <w:p w14:paraId="441706A1"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31/05/2021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42662CAC"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Pyramid Saimira Theatre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64CCA8AF"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1A70387D"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 xml:space="preserve">Rakesh Sharma, Rajesh Unnikrishnan, Dharmesh Shah </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E33D100" w14:textId="77777777" w:rsidR="007C6D7E" w:rsidRPr="007C6D7E" w:rsidRDefault="007C6D7E" w:rsidP="007C6D7E">
            <w:pPr>
              <w:shd w:val="clear" w:color="auto" w:fill="FFFFFF"/>
              <w:jc w:val="both"/>
              <w:rPr>
                <w:rFonts w:ascii="Palatino Linotype" w:hAnsi="Palatino Linotype"/>
                <w:sz w:val="20"/>
                <w:szCs w:val="20"/>
              </w:rPr>
            </w:pPr>
            <w:r w:rsidRPr="007C6D7E">
              <w:rPr>
                <w:rFonts w:ascii="Palatino Linotype" w:hAnsi="Palatino Linotype"/>
                <w:sz w:val="20"/>
                <w:szCs w:val="20"/>
              </w:rPr>
              <w:t>Section 12A of SEBI Act and Regulations3(a), 3(b), 3(c), 3(d), 4(1), 4(2)(e) and 4(2)(r) of PFUTP Regulations, 2003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04E5D2AE" w14:textId="77777777" w:rsidR="007C6D7E" w:rsidRPr="007C6D7E" w:rsidRDefault="007C6D7E" w:rsidP="007C6D7E">
            <w:pPr>
              <w:jc w:val="right"/>
              <w:rPr>
                <w:rFonts w:ascii="Palatino Linotype" w:hAnsi="Palatino Linotype"/>
                <w:sz w:val="20"/>
                <w:szCs w:val="20"/>
              </w:rPr>
            </w:pPr>
            <w:r w:rsidRPr="007C6D7E">
              <w:rPr>
                <w:rFonts w:ascii="Palatino Linotype" w:hAnsi="Palatino Linotype"/>
                <w:sz w:val="20"/>
                <w:szCs w:val="20"/>
              </w:rPr>
              <w:t>6,00,000</w:t>
            </w:r>
          </w:p>
        </w:tc>
      </w:tr>
      <w:tr w:rsidR="007C6D7E" w:rsidRPr="00B83873" w14:paraId="542DF4FB" w14:textId="77777777" w:rsidTr="007C6D7E">
        <w:trPr>
          <w:trHeight w:val="300"/>
        </w:trPr>
        <w:tc>
          <w:tcPr>
            <w:tcW w:w="567" w:type="dxa"/>
            <w:tcBorders>
              <w:top w:val="single" w:sz="4" w:space="0" w:color="auto"/>
              <w:left w:val="single" w:sz="4" w:space="0" w:color="auto"/>
              <w:bottom w:val="single" w:sz="4" w:space="0" w:color="auto"/>
              <w:right w:val="single" w:sz="4" w:space="0" w:color="auto"/>
            </w:tcBorders>
          </w:tcPr>
          <w:p w14:paraId="6EE8C168" w14:textId="77777777" w:rsidR="007C6D7E" w:rsidRPr="007C6D7E" w:rsidRDefault="007C6D7E" w:rsidP="007C6D7E">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t>47</w:t>
            </w:r>
          </w:p>
        </w:tc>
        <w:tc>
          <w:tcPr>
            <w:tcW w:w="1276" w:type="dxa"/>
            <w:tcBorders>
              <w:top w:val="single" w:sz="4" w:space="0" w:color="auto"/>
              <w:bottom w:val="single" w:sz="4" w:space="0" w:color="auto"/>
              <w:right w:val="single" w:sz="4" w:space="0" w:color="auto"/>
            </w:tcBorders>
            <w:shd w:val="clear" w:color="auto" w:fill="auto"/>
            <w:noWrap/>
          </w:tcPr>
          <w:p w14:paraId="725095E9"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31/05/2021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1893F17A"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Pyramid Saimira Theatre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7EA38319"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61E9559C"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Maheshbhai Himatlal Sheth, Deepak Thakkar, Raju G. Shah, Sharda Pujara, Meet  Shares  and  Stocks Services Ltd, Mukesh Jain, Sanjay Gupta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F862181" w14:textId="77777777" w:rsidR="007C6D7E" w:rsidRPr="007C6D7E" w:rsidRDefault="007C6D7E" w:rsidP="007C6D7E">
            <w:pPr>
              <w:shd w:val="clear" w:color="auto" w:fill="FFFFFF"/>
              <w:jc w:val="both"/>
              <w:rPr>
                <w:rFonts w:ascii="Palatino Linotype" w:hAnsi="Palatino Linotype"/>
                <w:sz w:val="20"/>
                <w:szCs w:val="20"/>
              </w:rPr>
            </w:pPr>
            <w:r w:rsidRPr="007C6D7E">
              <w:rPr>
                <w:rFonts w:ascii="Palatino Linotype" w:hAnsi="Palatino Linotype"/>
                <w:sz w:val="20"/>
                <w:szCs w:val="20"/>
              </w:rPr>
              <w:t>Section 12A of SEBI Act and Regulations3(a), 3(b), 3(c), 3(d), 4(1), 4(2)(a), 4(2)(b)and 4(2)(e) of  PFUTP Regulations,  2003.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67C037EA" w14:textId="77777777" w:rsidR="007C6D7E" w:rsidRPr="007C6D7E" w:rsidRDefault="007C6D7E" w:rsidP="007C6D7E">
            <w:pPr>
              <w:jc w:val="right"/>
              <w:rPr>
                <w:rFonts w:ascii="Palatino Linotype" w:hAnsi="Palatino Linotype"/>
                <w:sz w:val="20"/>
                <w:szCs w:val="20"/>
              </w:rPr>
            </w:pPr>
            <w:r w:rsidRPr="007C6D7E">
              <w:rPr>
                <w:rFonts w:ascii="Palatino Linotype" w:hAnsi="Palatino Linotype"/>
                <w:sz w:val="20"/>
                <w:szCs w:val="20"/>
              </w:rPr>
              <w:t>13,00,000</w:t>
            </w:r>
          </w:p>
        </w:tc>
      </w:tr>
      <w:tr w:rsidR="007C6D7E" w:rsidRPr="00B83873" w14:paraId="747DC314" w14:textId="77777777" w:rsidTr="007C6D7E">
        <w:trPr>
          <w:trHeight w:val="300"/>
        </w:trPr>
        <w:tc>
          <w:tcPr>
            <w:tcW w:w="567" w:type="dxa"/>
            <w:tcBorders>
              <w:top w:val="single" w:sz="4" w:space="0" w:color="auto"/>
              <w:left w:val="single" w:sz="4" w:space="0" w:color="auto"/>
              <w:bottom w:val="single" w:sz="4" w:space="0" w:color="auto"/>
              <w:right w:val="single" w:sz="4" w:space="0" w:color="auto"/>
            </w:tcBorders>
          </w:tcPr>
          <w:p w14:paraId="021C2D62" w14:textId="77777777" w:rsidR="007C6D7E" w:rsidRPr="007C6D7E" w:rsidRDefault="007C6D7E" w:rsidP="007C6D7E">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t>48</w:t>
            </w:r>
          </w:p>
        </w:tc>
        <w:tc>
          <w:tcPr>
            <w:tcW w:w="1276" w:type="dxa"/>
            <w:tcBorders>
              <w:top w:val="single" w:sz="4" w:space="0" w:color="auto"/>
              <w:bottom w:val="single" w:sz="4" w:space="0" w:color="auto"/>
              <w:right w:val="single" w:sz="4" w:space="0" w:color="auto"/>
            </w:tcBorders>
            <w:shd w:val="clear" w:color="auto" w:fill="auto"/>
            <w:noWrap/>
          </w:tcPr>
          <w:p w14:paraId="0E05C72C" w14:textId="77777777" w:rsidR="007C6D7E" w:rsidRPr="007C6D7E" w:rsidRDefault="007C6D7E" w:rsidP="007C6D7E">
            <w:pPr>
              <w:jc w:val="both"/>
              <w:rPr>
                <w:rFonts w:ascii="Palatino Linotype" w:hAnsi="Palatino Linotype"/>
                <w:b/>
                <w:bCs/>
                <w:sz w:val="20"/>
                <w:szCs w:val="20"/>
              </w:rPr>
            </w:pPr>
            <w:r w:rsidRPr="007C6D7E">
              <w:rPr>
                <w:rFonts w:ascii="Palatino Linotype" w:hAnsi="Palatino Linotype"/>
                <w:sz w:val="20"/>
                <w:szCs w:val="20"/>
              </w:rPr>
              <w:t>31/05/2021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0EB689CE"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Pyramid Saimira Theatre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0BD14B67"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77465E4B"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Amol Kokane, Falguni Jayesh Shah, Hardik Mithani, Priyanka Darshan Desai, Inventure Growth &amp; Securities Ltd, SPJ Stock Broker Pvt Ltd, DKG Securities Pvt Ltd,  APL Infrastructure Ltd,   Milanbhai Mithani</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19C6612" w14:textId="77777777" w:rsidR="007C6D7E" w:rsidRPr="007C6D7E" w:rsidRDefault="007C6D7E" w:rsidP="007C6D7E">
            <w:pPr>
              <w:shd w:val="clear" w:color="auto" w:fill="FFFFFF"/>
              <w:jc w:val="both"/>
              <w:rPr>
                <w:rFonts w:ascii="Palatino Linotype" w:hAnsi="Palatino Linotype"/>
                <w:sz w:val="20"/>
                <w:szCs w:val="20"/>
              </w:rPr>
            </w:pPr>
            <w:r w:rsidRPr="007C6D7E">
              <w:rPr>
                <w:rFonts w:ascii="Palatino Linotype" w:hAnsi="Palatino Linotype"/>
                <w:sz w:val="20"/>
                <w:szCs w:val="20"/>
              </w:rPr>
              <w:t>Section 12A(a), 12A(b) and 12A(c) of SEBI Act and Regulation 3(a), 3(b), 3(c), 3(d), 4(1), 4(2)(a),  4(2)(b)and  4(2)(e)  of  PFUTP  Regulations,  2003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4804A013" w14:textId="77777777" w:rsidR="007C6D7E" w:rsidRPr="007C6D7E" w:rsidRDefault="007C6D7E" w:rsidP="007C6D7E">
            <w:pPr>
              <w:jc w:val="right"/>
              <w:rPr>
                <w:rFonts w:ascii="Palatino Linotype" w:hAnsi="Palatino Linotype"/>
                <w:sz w:val="20"/>
                <w:szCs w:val="20"/>
              </w:rPr>
            </w:pPr>
            <w:r w:rsidRPr="007C6D7E">
              <w:rPr>
                <w:rFonts w:ascii="Palatino Linotype" w:hAnsi="Palatino Linotype"/>
                <w:sz w:val="20"/>
                <w:szCs w:val="20"/>
              </w:rPr>
              <w:t>21,00,000</w:t>
            </w:r>
          </w:p>
        </w:tc>
      </w:tr>
      <w:tr w:rsidR="007C6D7E" w:rsidRPr="00B83873" w14:paraId="384AA232" w14:textId="77777777" w:rsidTr="007C6D7E">
        <w:trPr>
          <w:trHeight w:val="300"/>
        </w:trPr>
        <w:tc>
          <w:tcPr>
            <w:tcW w:w="567" w:type="dxa"/>
            <w:tcBorders>
              <w:top w:val="single" w:sz="4" w:space="0" w:color="auto"/>
              <w:left w:val="single" w:sz="4" w:space="0" w:color="auto"/>
              <w:bottom w:val="single" w:sz="4" w:space="0" w:color="auto"/>
              <w:right w:val="single" w:sz="4" w:space="0" w:color="auto"/>
            </w:tcBorders>
          </w:tcPr>
          <w:p w14:paraId="17B1CFBA" w14:textId="77777777" w:rsidR="007C6D7E" w:rsidRPr="007C6D7E" w:rsidRDefault="007C6D7E" w:rsidP="007C6D7E">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t>49</w:t>
            </w:r>
          </w:p>
        </w:tc>
        <w:tc>
          <w:tcPr>
            <w:tcW w:w="1276" w:type="dxa"/>
            <w:tcBorders>
              <w:top w:val="single" w:sz="4" w:space="0" w:color="auto"/>
              <w:bottom w:val="single" w:sz="4" w:space="0" w:color="auto"/>
              <w:right w:val="single" w:sz="4" w:space="0" w:color="auto"/>
            </w:tcBorders>
            <w:shd w:val="clear" w:color="auto" w:fill="auto"/>
            <w:noWrap/>
          </w:tcPr>
          <w:p w14:paraId="1B7AD6FB"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31/05/2021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52962ECE"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Supreme Tex Mart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668E6395"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7F8F47A8"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Sanjay Gupta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6BCF3E3" w14:textId="77777777" w:rsidR="007C6D7E" w:rsidRPr="007C6D7E" w:rsidRDefault="007C6D7E" w:rsidP="007C6D7E">
            <w:pPr>
              <w:shd w:val="clear" w:color="auto" w:fill="FFFFFF"/>
              <w:jc w:val="both"/>
              <w:rPr>
                <w:rFonts w:ascii="Palatino Linotype" w:hAnsi="Palatino Linotype"/>
                <w:sz w:val="20"/>
                <w:szCs w:val="20"/>
              </w:rPr>
            </w:pPr>
            <w:r w:rsidRPr="007C6D7E">
              <w:rPr>
                <w:rFonts w:ascii="Palatino Linotype" w:hAnsi="Palatino Linotype"/>
                <w:sz w:val="20"/>
                <w:szCs w:val="20"/>
              </w:rPr>
              <w:t>Regulation  7(2)(a)  of SEBI (Prohibition of Insider Trading Regulations), 2015 (PIT Regulations)</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09E52F0C" w14:textId="77777777" w:rsidR="007C6D7E" w:rsidRPr="007C6D7E" w:rsidRDefault="007C6D7E" w:rsidP="007C6D7E">
            <w:pPr>
              <w:jc w:val="right"/>
              <w:rPr>
                <w:rFonts w:ascii="Palatino Linotype" w:hAnsi="Palatino Linotype"/>
                <w:sz w:val="20"/>
                <w:szCs w:val="20"/>
              </w:rPr>
            </w:pPr>
            <w:r w:rsidRPr="007C6D7E">
              <w:rPr>
                <w:rFonts w:ascii="Palatino Linotype" w:hAnsi="Palatino Linotype"/>
                <w:sz w:val="20"/>
                <w:szCs w:val="20"/>
              </w:rPr>
              <w:t>2,00,000</w:t>
            </w:r>
          </w:p>
        </w:tc>
      </w:tr>
      <w:tr w:rsidR="007C6D7E" w:rsidRPr="00B83873" w14:paraId="399FB191" w14:textId="77777777" w:rsidTr="007C6D7E">
        <w:trPr>
          <w:trHeight w:val="300"/>
        </w:trPr>
        <w:tc>
          <w:tcPr>
            <w:tcW w:w="567" w:type="dxa"/>
            <w:tcBorders>
              <w:top w:val="single" w:sz="4" w:space="0" w:color="auto"/>
              <w:left w:val="single" w:sz="4" w:space="0" w:color="auto"/>
              <w:bottom w:val="single" w:sz="4" w:space="0" w:color="auto"/>
              <w:right w:val="single" w:sz="4" w:space="0" w:color="auto"/>
            </w:tcBorders>
          </w:tcPr>
          <w:p w14:paraId="223D32E8" w14:textId="77777777" w:rsidR="007C6D7E" w:rsidRPr="007C6D7E" w:rsidRDefault="007C6D7E" w:rsidP="007C6D7E">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lastRenderedPageBreak/>
              <w:t>50</w:t>
            </w:r>
          </w:p>
        </w:tc>
        <w:tc>
          <w:tcPr>
            <w:tcW w:w="1276" w:type="dxa"/>
            <w:tcBorders>
              <w:top w:val="single" w:sz="4" w:space="0" w:color="auto"/>
              <w:bottom w:val="single" w:sz="4" w:space="0" w:color="auto"/>
              <w:right w:val="single" w:sz="4" w:space="0" w:color="auto"/>
            </w:tcBorders>
            <w:shd w:val="clear" w:color="auto" w:fill="auto"/>
            <w:noWrap/>
          </w:tcPr>
          <w:p w14:paraId="20D6A07C"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01/06/2021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64D78358"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Birla Pacific Medspa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3AD6C00E"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5B92A0F1"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Subhashree  Hiris  Pvt.  Ltd.,  Sky Light Distributors Pvt. Ltd.</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3351ECF" w14:textId="77777777" w:rsidR="007C6D7E" w:rsidRPr="007C6D7E" w:rsidRDefault="007C6D7E" w:rsidP="007C6D7E">
            <w:pPr>
              <w:shd w:val="clear" w:color="auto" w:fill="FFFFFF"/>
              <w:jc w:val="both"/>
              <w:rPr>
                <w:rFonts w:ascii="Palatino Linotype" w:hAnsi="Palatino Linotype"/>
                <w:sz w:val="20"/>
                <w:szCs w:val="20"/>
              </w:rPr>
            </w:pPr>
            <w:r w:rsidRPr="007C6D7E">
              <w:rPr>
                <w:rFonts w:ascii="Palatino Linotype" w:hAnsi="Palatino Linotype"/>
                <w:sz w:val="20"/>
                <w:szCs w:val="20"/>
              </w:rPr>
              <w:t>Regulations 3(a), (b), (c), (d) and 4(1) of the PFUTP Regulations read with Section12A(a), (b) &amp; (c) of the SEBI Act</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47EBBC32" w14:textId="77777777" w:rsidR="007C6D7E" w:rsidRPr="007C6D7E" w:rsidRDefault="007C6D7E" w:rsidP="007C6D7E">
            <w:pPr>
              <w:jc w:val="right"/>
              <w:rPr>
                <w:rFonts w:ascii="Palatino Linotype" w:hAnsi="Palatino Linotype"/>
                <w:sz w:val="20"/>
                <w:szCs w:val="20"/>
              </w:rPr>
            </w:pPr>
            <w:r w:rsidRPr="007C6D7E">
              <w:rPr>
                <w:rFonts w:ascii="Palatino Linotype" w:hAnsi="Palatino Linotype"/>
                <w:sz w:val="20"/>
                <w:szCs w:val="20"/>
              </w:rPr>
              <w:t>10,00,000</w:t>
            </w:r>
          </w:p>
        </w:tc>
      </w:tr>
      <w:tr w:rsidR="007C6D7E" w:rsidRPr="00B83873" w14:paraId="3AD93A76" w14:textId="77777777" w:rsidTr="007C6D7E">
        <w:trPr>
          <w:trHeight w:val="300"/>
        </w:trPr>
        <w:tc>
          <w:tcPr>
            <w:tcW w:w="567" w:type="dxa"/>
            <w:tcBorders>
              <w:top w:val="single" w:sz="4" w:space="0" w:color="auto"/>
              <w:left w:val="single" w:sz="4" w:space="0" w:color="auto"/>
              <w:bottom w:val="single" w:sz="4" w:space="0" w:color="auto"/>
              <w:right w:val="single" w:sz="4" w:space="0" w:color="auto"/>
            </w:tcBorders>
          </w:tcPr>
          <w:p w14:paraId="3E6BD4A1" w14:textId="77777777" w:rsidR="007C6D7E" w:rsidRPr="007C6D7E" w:rsidRDefault="007C6D7E" w:rsidP="007C6D7E">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t>51</w:t>
            </w:r>
          </w:p>
        </w:tc>
        <w:tc>
          <w:tcPr>
            <w:tcW w:w="1276" w:type="dxa"/>
            <w:tcBorders>
              <w:top w:val="single" w:sz="4" w:space="0" w:color="auto"/>
              <w:bottom w:val="single" w:sz="4" w:space="0" w:color="auto"/>
              <w:right w:val="single" w:sz="4" w:space="0" w:color="auto"/>
            </w:tcBorders>
            <w:shd w:val="clear" w:color="auto" w:fill="auto"/>
            <w:noWrap/>
          </w:tcPr>
          <w:p w14:paraId="49C8ECDE"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02/06/2021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3C33EC52"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Exclusive Securities Ltd.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2EFDE04E"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5C92D3FF"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Exclusive Securities Ltd.</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7DBB84E" w14:textId="77777777" w:rsidR="007C6D7E" w:rsidRPr="007C6D7E" w:rsidRDefault="007C6D7E" w:rsidP="007C6D7E">
            <w:pPr>
              <w:shd w:val="clear" w:color="auto" w:fill="FFFFFF"/>
              <w:jc w:val="both"/>
              <w:rPr>
                <w:rFonts w:ascii="Palatino Linotype" w:hAnsi="Palatino Linotype"/>
                <w:sz w:val="20"/>
                <w:szCs w:val="20"/>
              </w:rPr>
            </w:pPr>
            <w:r w:rsidRPr="007C6D7E">
              <w:rPr>
                <w:rFonts w:ascii="Palatino Linotype" w:hAnsi="Palatino Linotype"/>
                <w:sz w:val="20"/>
                <w:szCs w:val="20"/>
              </w:rPr>
              <w:t>SEBI  Circular  No.  SEBI/MIRSD/SE/CIR-19/2009  dated  December  03, 2009, Clauses  A  (1),  (2)  and  (5)  of  the  Code  of Conduct as specified in Schedule II  read  with  Regulation  9(f)  and  Regulation  26(xvi)  and  26(xx)  of  the  SEBI  (Stock Brokers and Sub-brokers) Regulations, 1992.</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133A3393" w14:textId="77777777" w:rsidR="007C6D7E" w:rsidRPr="007C6D7E" w:rsidRDefault="007C6D7E" w:rsidP="007C6D7E">
            <w:pPr>
              <w:jc w:val="right"/>
              <w:rPr>
                <w:rFonts w:ascii="Palatino Linotype" w:hAnsi="Palatino Linotype"/>
                <w:sz w:val="20"/>
                <w:szCs w:val="20"/>
              </w:rPr>
            </w:pPr>
            <w:r w:rsidRPr="007C6D7E">
              <w:rPr>
                <w:rFonts w:ascii="Palatino Linotype" w:hAnsi="Palatino Linotype"/>
                <w:sz w:val="20"/>
                <w:szCs w:val="20"/>
              </w:rPr>
              <w:t>5,00,000</w:t>
            </w:r>
          </w:p>
        </w:tc>
      </w:tr>
      <w:tr w:rsidR="007C6D7E" w:rsidRPr="00B83873" w14:paraId="7A8F2CF1" w14:textId="77777777" w:rsidTr="007C6D7E">
        <w:trPr>
          <w:trHeight w:val="300"/>
        </w:trPr>
        <w:tc>
          <w:tcPr>
            <w:tcW w:w="567" w:type="dxa"/>
            <w:tcBorders>
              <w:top w:val="single" w:sz="4" w:space="0" w:color="auto"/>
              <w:left w:val="single" w:sz="4" w:space="0" w:color="auto"/>
              <w:bottom w:val="single" w:sz="4" w:space="0" w:color="auto"/>
              <w:right w:val="single" w:sz="4" w:space="0" w:color="auto"/>
            </w:tcBorders>
          </w:tcPr>
          <w:p w14:paraId="3AA49337" w14:textId="77777777" w:rsidR="007C6D7E" w:rsidRPr="007C6D7E" w:rsidRDefault="007C6D7E" w:rsidP="007C6D7E">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t>52</w:t>
            </w:r>
          </w:p>
        </w:tc>
        <w:tc>
          <w:tcPr>
            <w:tcW w:w="1276" w:type="dxa"/>
            <w:tcBorders>
              <w:top w:val="single" w:sz="4" w:space="0" w:color="auto"/>
              <w:bottom w:val="single" w:sz="4" w:space="0" w:color="auto"/>
              <w:right w:val="single" w:sz="4" w:space="0" w:color="auto"/>
            </w:tcBorders>
            <w:shd w:val="clear" w:color="auto" w:fill="auto"/>
            <w:noWrap/>
          </w:tcPr>
          <w:p w14:paraId="56B0705B"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04/06/2021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49D348EC"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SDC Techmedia Ltd  (formerly known as Onesource Techmedia Ltd)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49A154DC"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4D414E91"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Fayaz Usman Faheed</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D6FF7ED" w14:textId="77777777" w:rsidR="007C6D7E" w:rsidRPr="007C6D7E" w:rsidRDefault="007C6D7E" w:rsidP="007C6D7E">
            <w:pPr>
              <w:shd w:val="clear" w:color="auto" w:fill="FFFFFF"/>
              <w:jc w:val="both"/>
              <w:rPr>
                <w:rFonts w:ascii="Palatino Linotype" w:hAnsi="Palatino Linotype"/>
                <w:sz w:val="20"/>
                <w:szCs w:val="20"/>
              </w:rPr>
            </w:pPr>
            <w:r w:rsidRPr="007C6D7E">
              <w:rPr>
                <w:rFonts w:ascii="Palatino Linotype" w:hAnsi="Palatino Linotype"/>
                <w:sz w:val="20"/>
                <w:szCs w:val="20"/>
              </w:rPr>
              <w:t>Regulation   22(3) of   the   SAST Regulations, 2011</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2B87247A" w14:textId="77777777" w:rsidR="007C6D7E" w:rsidRPr="007C6D7E" w:rsidRDefault="007C6D7E" w:rsidP="007C6D7E">
            <w:pPr>
              <w:jc w:val="right"/>
              <w:rPr>
                <w:rFonts w:ascii="Palatino Linotype" w:hAnsi="Palatino Linotype"/>
                <w:sz w:val="20"/>
                <w:szCs w:val="20"/>
              </w:rPr>
            </w:pPr>
            <w:r w:rsidRPr="007C6D7E">
              <w:rPr>
                <w:rFonts w:ascii="Palatino Linotype" w:hAnsi="Palatino Linotype"/>
                <w:sz w:val="20"/>
                <w:szCs w:val="20"/>
              </w:rPr>
              <w:t>1,00,000</w:t>
            </w:r>
          </w:p>
        </w:tc>
      </w:tr>
      <w:tr w:rsidR="007C6D7E" w:rsidRPr="00B83873" w14:paraId="6984A319" w14:textId="77777777" w:rsidTr="007C6D7E">
        <w:trPr>
          <w:trHeight w:val="300"/>
        </w:trPr>
        <w:tc>
          <w:tcPr>
            <w:tcW w:w="567" w:type="dxa"/>
            <w:tcBorders>
              <w:top w:val="single" w:sz="4" w:space="0" w:color="auto"/>
              <w:left w:val="single" w:sz="4" w:space="0" w:color="auto"/>
              <w:bottom w:val="single" w:sz="4" w:space="0" w:color="auto"/>
              <w:right w:val="single" w:sz="4" w:space="0" w:color="auto"/>
            </w:tcBorders>
          </w:tcPr>
          <w:p w14:paraId="61BC0479" w14:textId="77777777" w:rsidR="007C6D7E" w:rsidRPr="007C6D7E" w:rsidRDefault="007C6D7E" w:rsidP="007C6D7E">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t>53</w:t>
            </w:r>
          </w:p>
        </w:tc>
        <w:tc>
          <w:tcPr>
            <w:tcW w:w="1276" w:type="dxa"/>
            <w:tcBorders>
              <w:top w:val="single" w:sz="4" w:space="0" w:color="auto"/>
              <w:bottom w:val="single" w:sz="4" w:space="0" w:color="auto"/>
              <w:right w:val="single" w:sz="4" w:space="0" w:color="auto"/>
            </w:tcBorders>
            <w:shd w:val="clear" w:color="auto" w:fill="auto"/>
            <w:noWrap/>
          </w:tcPr>
          <w:p w14:paraId="05047798"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04/06/2021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176CA956"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Santowin Corporation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3EA8F4AD"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72BF5FAB"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Sushma Ashok Gupta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2C6269F" w14:textId="77777777" w:rsidR="007C6D7E" w:rsidRPr="007C6D7E" w:rsidRDefault="007C6D7E" w:rsidP="007C6D7E">
            <w:pPr>
              <w:shd w:val="clear" w:color="auto" w:fill="FFFFFF"/>
              <w:jc w:val="both"/>
              <w:rPr>
                <w:rFonts w:ascii="Palatino Linotype" w:hAnsi="Palatino Linotype"/>
                <w:sz w:val="20"/>
                <w:szCs w:val="20"/>
              </w:rPr>
            </w:pPr>
            <w:r w:rsidRPr="007C6D7E">
              <w:rPr>
                <w:rFonts w:ascii="Palatino Linotype" w:hAnsi="Palatino Linotype"/>
                <w:sz w:val="20"/>
                <w:szCs w:val="20"/>
              </w:rPr>
              <w:t>Regulation 13(4) and 13(4A) read with Regulation 13(5) of PIT Regulations, 1992</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76C47335" w14:textId="77777777" w:rsidR="007C6D7E" w:rsidRPr="007C6D7E" w:rsidRDefault="007C6D7E" w:rsidP="007C6D7E">
            <w:pPr>
              <w:jc w:val="right"/>
              <w:rPr>
                <w:rFonts w:ascii="Palatino Linotype" w:hAnsi="Palatino Linotype"/>
                <w:sz w:val="20"/>
                <w:szCs w:val="20"/>
              </w:rPr>
            </w:pPr>
            <w:r w:rsidRPr="007C6D7E">
              <w:rPr>
                <w:rFonts w:ascii="Palatino Linotype" w:hAnsi="Palatino Linotype"/>
                <w:sz w:val="20"/>
                <w:szCs w:val="20"/>
              </w:rPr>
              <w:t>2,00,000</w:t>
            </w:r>
          </w:p>
        </w:tc>
      </w:tr>
      <w:tr w:rsidR="007C6D7E" w:rsidRPr="00B83873" w14:paraId="0886038D" w14:textId="77777777" w:rsidTr="007C6D7E">
        <w:trPr>
          <w:trHeight w:val="300"/>
        </w:trPr>
        <w:tc>
          <w:tcPr>
            <w:tcW w:w="567" w:type="dxa"/>
            <w:tcBorders>
              <w:top w:val="single" w:sz="4" w:space="0" w:color="auto"/>
              <w:left w:val="single" w:sz="4" w:space="0" w:color="auto"/>
              <w:bottom w:val="single" w:sz="4" w:space="0" w:color="auto"/>
              <w:right w:val="single" w:sz="4" w:space="0" w:color="auto"/>
            </w:tcBorders>
          </w:tcPr>
          <w:p w14:paraId="2071F730" w14:textId="77777777" w:rsidR="007C6D7E" w:rsidRPr="007C6D7E" w:rsidRDefault="007C6D7E" w:rsidP="007C6D7E">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t>54</w:t>
            </w:r>
          </w:p>
        </w:tc>
        <w:tc>
          <w:tcPr>
            <w:tcW w:w="1276" w:type="dxa"/>
            <w:tcBorders>
              <w:top w:val="single" w:sz="4" w:space="0" w:color="auto"/>
              <w:bottom w:val="single" w:sz="4" w:space="0" w:color="auto"/>
              <w:right w:val="single" w:sz="4" w:space="0" w:color="auto"/>
            </w:tcBorders>
            <w:shd w:val="clear" w:color="auto" w:fill="auto"/>
            <w:noWrap/>
          </w:tcPr>
          <w:p w14:paraId="4F249EA4"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04/06/2021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4AE6C7E1"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Santowin Corporation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128ED576"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0C9FD7BA"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Akshat Ashok Gupta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B23B576" w14:textId="77777777" w:rsidR="007C6D7E" w:rsidRPr="007C6D7E" w:rsidRDefault="007C6D7E" w:rsidP="007C6D7E">
            <w:pPr>
              <w:shd w:val="clear" w:color="auto" w:fill="FFFFFF"/>
              <w:jc w:val="both"/>
              <w:rPr>
                <w:rFonts w:ascii="Palatino Linotype" w:hAnsi="Palatino Linotype"/>
                <w:sz w:val="20"/>
                <w:szCs w:val="20"/>
              </w:rPr>
            </w:pPr>
            <w:r w:rsidRPr="007C6D7E">
              <w:rPr>
                <w:rFonts w:ascii="Palatino Linotype" w:hAnsi="Palatino Linotype"/>
                <w:sz w:val="20"/>
                <w:szCs w:val="20"/>
              </w:rPr>
              <w:t>Regulation 13(4A) read  with Regulation   13(5)   of   PIT   Regulations,   1992</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53F5673A" w14:textId="77777777" w:rsidR="007C6D7E" w:rsidRPr="007C6D7E" w:rsidRDefault="007C6D7E" w:rsidP="007C6D7E">
            <w:pPr>
              <w:jc w:val="right"/>
              <w:rPr>
                <w:rFonts w:ascii="Palatino Linotype" w:hAnsi="Palatino Linotype"/>
                <w:sz w:val="20"/>
                <w:szCs w:val="20"/>
              </w:rPr>
            </w:pPr>
            <w:r w:rsidRPr="007C6D7E">
              <w:rPr>
                <w:rFonts w:ascii="Palatino Linotype" w:hAnsi="Palatino Linotype"/>
                <w:sz w:val="20"/>
                <w:szCs w:val="20"/>
              </w:rPr>
              <w:t>2,00,000</w:t>
            </w:r>
          </w:p>
        </w:tc>
      </w:tr>
      <w:tr w:rsidR="007C6D7E" w:rsidRPr="00B83873" w14:paraId="58D3632A" w14:textId="77777777" w:rsidTr="007C6D7E">
        <w:trPr>
          <w:trHeight w:val="300"/>
        </w:trPr>
        <w:tc>
          <w:tcPr>
            <w:tcW w:w="567" w:type="dxa"/>
            <w:tcBorders>
              <w:top w:val="single" w:sz="4" w:space="0" w:color="auto"/>
              <w:left w:val="single" w:sz="4" w:space="0" w:color="auto"/>
              <w:bottom w:val="single" w:sz="4" w:space="0" w:color="auto"/>
              <w:right w:val="single" w:sz="4" w:space="0" w:color="auto"/>
            </w:tcBorders>
          </w:tcPr>
          <w:p w14:paraId="1842E5C8" w14:textId="77777777" w:rsidR="007C6D7E" w:rsidRPr="007C6D7E" w:rsidRDefault="007C6D7E" w:rsidP="007C6D7E">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t>55</w:t>
            </w:r>
          </w:p>
        </w:tc>
        <w:tc>
          <w:tcPr>
            <w:tcW w:w="1276" w:type="dxa"/>
            <w:tcBorders>
              <w:top w:val="single" w:sz="4" w:space="0" w:color="auto"/>
              <w:bottom w:val="single" w:sz="4" w:space="0" w:color="auto"/>
              <w:right w:val="single" w:sz="4" w:space="0" w:color="auto"/>
            </w:tcBorders>
            <w:shd w:val="clear" w:color="auto" w:fill="auto"/>
            <w:noWrap/>
          </w:tcPr>
          <w:p w14:paraId="5975EDEA"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04/06/2021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1C35160F"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Santowin Corporation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3B9BEE14"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68094AAF"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Ankush Ashok Gupta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782F81C" w14:textId="77777777" w:rsidR="007C6D7E" w:rsidRPr="007C6D7E" w:rsidRDefault="007C6D7E" w:rsidP="007C6D7E">
            <w:pPr>
              <w:shd w:val="clear" w:color="auto" w:fill="FFFFFF"/>
              <w:jc w:val="both"/>
              <w:rPr>
                <w:rFonts w:ascii="Palatino Linotype" w:hAnsi="Palatino Linotype"/>
                <w:sz w:val="20"/>
                <w:szCs w:val="20"/>
              </w:rPr>
            </w:pPr>
            <w:r w:rsidRPr="007C6D7E">
              <w:rPr>
                <w:rFonts w:ascii="Palatino Linotype" w:hAnsi="Palatino Linotype"/>
                <w:sz w:val="20"/>
                <w:szCs w:val="20"/>
              </w:rPr>
              <w:t>Regulation 13(4) read with Regulation 13(5) of and Regulation 13(4A) read with Regulation 13(5) of PIT Regulations, 1992</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06753087" w14:textId="77777777" w:rsidR="007C6D7E" w:rsidRPr="007C6D7E" w:rsidRDefault="007C6D7E" w:rsidP="007C6D7E">
            <w:pPr>
              <w:jc w:val="right"/>
              <w:rPr>
                <w:rFonts w:ascii="Palatino Linotype" w:hAnsi="Palatino Linotype"/>
                <w:sz w:val="20"/>
                <w:szCs w:val="20"/>
              </w:rPr>
            </w:pPr>
            <w:r w:rsidRPr="007C6D7E">
              <w:rPr>
                <w:rFonts w:ascii="Palatino Linotype" w:hAnsi="Palatino Linotype"/>
                <w:sz w:val="20"/>
                <w:szCs w:val="20"/>
              </w:rPr>
              <w:t>2,00,000</w:t>
            </w:r>
          </w:p>
        </w:tc>
      </w:tr>
      <w:tr w:rsidR="007C6D7E" w:rsidRPr="00B83873" w14:paraId="3C3D7052" w14:textId="77777777" w:rsidTr="007C6D7E">
        <w:trPr>
          <w:trHeight w:val="300"/>
        </w:trPr>
        <w:tc>
          <w:tcPr>
            <w:tcW w:w="567" w:type="dxa"/>
            <w:tcBorders>
              <w:top w:val="single" w:sz="4" w:space="0" w:color="auto"/>
              <w:left w:val="single" w:sz="4" w:space="0" w:color="auto"/>
              <w:bottom w:val="single" w:sz="4" w:space="0" w:color="auto"/>
              <w:right w:val="single" w:sz="4" w:space="0" w:color="auto"/>
            </w:tcBorders>
          </w:tcPr>
          <w:p w14:paraId="40901DF8" w14:textId="77777777" w:rsidR="007C6D7E" w:rsidRPr="007C6D7E" w:rsidRDefault="007C6D7E" w:rsidP="007C6D7E">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t>56</w:t>
            </w:r>
          </w:p>
        </w:tc>
        <w:tc>
          <w:tcPr>
            <w:tcW w:w="1276" w:type="dxa"/>
            <w:tcBorders>
              <w:top w:val="single" w:sz="4" w:space="0" w:color="auto"/>
              <w:bottom w:val="single" w:sz="4" w:space="0" w:color="auto"/>
              <w:right w:val="single" w:sz="4" w:space="0" w:color="auto"/>
            </w:tcBorders>
            <w:shd w:val="clear" w:color="auto" w:fill="auto"/>
            <w:noWrap/>
          </w:tcPr>
          <w:p w14:paraId="73DA9985"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04/06/2021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244068C5"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Santowin Corporation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5600254E"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5EA41613"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Santowin Corporation Limited and Ashok B Gupta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7EFB097" w14:textId="77777777" w:rsidR="007C6D7E" w:rsidRPr="007C6D7E" w:rsidRDefault="007C6D7E" w:rsidP="007C6D7E">
            <w:pPr>
              <w:shd w:val="clear" w:color="auto" w:fill="FFFFFF"/>
              <w:jc w:val="both"/>
              <w:rPr>
                <w:rFonts w:ascii="Palatino Linotype" w:hAnsi="Palatino Linotype"/>
                <w:sz w:val="20"/>
                <w:szCs w:val="20"/>
              </w:rPr>
            </w:pPr>
            <w:r w:rsidRPr="007C6D7E">
              <w:rPr>
                <w:rFonts w:ascii="Palatino Linotype" w:hAnsi="Palatino Linotype"/>
                <w:sz w:val="20"/>
                <w:szCs w:val="20"/>
              </w:rPr>
              <w:t xml:space="preserve">Clause 47(a) of the Equity Listing Agreement read with Section 21 of SCRA </w:t>
            </w:r>
          </w:p>
          <w:p w14:paraId="21567AF5" w14:textId="77777777" w:rsidR="007C6D7E" w:rsidRPr="007C6D7E" w:rsidRDefault="007C6D7E" w:rsidP="007C6D7E">
            <w:pPr>
              <w:shd w:val="clear" w:color="auto" w:fill="FFFFFF"/>
              <w:jc w:val="both"/>
              <w:rPr>
                <w:rFonts w:ascii="Palatino Linotype" w:hAnsi="Palatino Linotype"/>
                <w:sz w:val="20"/>
                <w:szCs w:val="20"/>
              </w:rPr>
            </w:pPr>
          </w:p>
          <w:p w14:paraId="0DB7C447" w14:textId="77777777" w:rsidR="007C6D7E" w:rsidRPr="007C6D7E" w:rsidRDefault="007C6D7E" w:rsidP="007C6D7E">
            <w:pPr>
              <w:shd w:val="clear" w:color="auto" w:fill="FFFFFF"/>
              <w:jc w:val="both"/>
              <w:rPr>
                <w:rFonts w:ascii="Palatino Linotype" w:hAnsi="Palatino Linotype"/>
                <w:sz w:val="20"/>
                <w:szCs w:val="20"/>
              </w:rPr>
            </w:pPr>
            <w:r w:rsidRPr="007C6D7E">
              <w:rPr>
                <w:rFonts w:ascii="Palatino Linotype" w:hAnsi="Palatino Linotype"/>
                <w:sz w:val="20"/>
                <w:szCs w:val="20"/>
              </w:rPr>
              <w:t xml:space="preserve">Clause  3.2  of  Code  of Corporate  Disclosure  Practices  for Prevention  of  Insider Trading  provided  in Schedule II read with Regulation 12(2) of PIT Regulations, 1992 </w:t>
            </w:r>
          </w:p>
          <w:p w14:paraId="5DF17EE7" w14:textId="77777777" w:rsidR="007C6D7E" w:rsidRPr="007C6D7E" w:rsidRDefault="007C6D7E" w:rsidP="007C6D7E">
            <w:pPr>
              <w:shd w:val="clear" w:color="auto" w:fill="FFFFFF"/>
              <w:jc w:val="both"/>
              <w:rPr>
                <w:rFonts w:ascii="Palatino Linotype" w:hAnsi="Palatino Linotype"/>
                <w:sz w:val="20"/>
                <w:szCs w:val="20"/>
              </w:rPr>
            </w:pPr>
          </w:p>
          <w:p w14:paraId="149E5D14" w14:textId="77777777" w:rsidR="007C6D7E" w:rsidRPr="007C6D7E" w:rsidRDefault="007C6D7E" w:rsidP="007C6D7E">
            <w:pPr>
              <w:rPr>
                <w:rFonts w:ascii="Palatino Linotype" w:hAnsi="Palatino Linotype" w:cs="Arial"/>
                <w:sz w:val="20"/>
                <w:szCs w:val="20"/>
                <w:lang w:val="en-IN" w:eastAsia="en-IN" w:bidi="hi-IN"/>
              </w:rPr>
            </w:pPr>
            <w:r w:rsidRPr="007C6D7E">
              <w:rPr>
                <w:rFonts w:ascii="Palatino Linotype" w:hAnsi="Palatino Linotype" w:cs="Arial"/>
                <w:sz w:val="20"/>
                <w:szCs w:val="20"/>
                <w:lang w:val="en-IN" w:eastAsia="en-IN" w:bidi="hi-IN"/>
              </w:rPr>
              <w:t xml:space="preserve">Regulations 13(4) and 13(4A) read with Regulation 13(5) of PIT Regulations, </w:t>
            </w:r>
          </w:p>
          <w:p w14:paraId="1A659718" w14:textId="77777777" w:rsidR="007C6D7E" w:rsidRPr="007C6D7E" w:rsidRDefault="007C6D7E" w:rsidP="007C6D7E">
            <w:pPr>
              <w:rPr>
                <w:rFonts w:ascii="Palatino Linotype" w:hAnsi="Palatino Linotype" w:cs="Arial"/>
                <w:sz w:val="20"/>
                <w:szCs w:val="20"/>
                <w:lang w:val="en-IN" w:eastAsia="en-IN" w:bidi="hi-IN"/>
              </w:rPr>
            </w:pPr>
            <w:r w:rsidRPr="007C6D7E">
              <w:rPr>
                <w:rFonts w:ascii="Palatino Linotype" w:hAnsi="Palatino Linotype" w:cs="Arial"/>
                <w:sz w:val="20"/>
                <w:szCs w:val="20"/>
                <w:lang w:val="en-IN" w:eastAsia="en-IN" w:bidi="hi-IN"/>
              </w:rPr>
              <w:t>1992,</w:t>
            </w:r>
          </w:p>
          <w:p w14:paraId="46622A7E" w14:textId="77777777" w:rsidR="007C6D7E" w:rsidRPr="007C6D7E" w:rsidRDefault="007C6D7E" w:rsidP="007C6D7E">
            <w:pPr>
              <w:shd w:val="clear" w:color="auto" w:fill="FFFFFF"/>
              <w:jc w:val="both"/>
              <w:rPr>
                <w:rFonts w:ascii="Palatino Linotype" w:hAnsi="Palatino Linotype"/>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3F04F525" w14:textId="77777777" w:rsidR="007C6D7E" w:rsidRPr="007C6D7E" w:rsidRDefault="007C6D7E" w:rsidP="007C6D7E">
            <w:pPr>
              <w:jc w:val="right"/>
              <w:rPr>
                <w:rFonts w:ascii="Palatino Linotype" w:hAnsi="Palatino Linotype"/>
                <w:sz w:val="20"/>
                <w:szCs w:val="20"/>
              </w:rPr>
            </w:pPr>
            <w:r w:rsidRPr="007C6D7E">
              <w:rPr>
                <w:rFonts w:ascii="Palatino Linotype" w:hAnsi="Palatino Linotype"/>
                <w:sz w:val="20"/>
                <w:szCs w:val="20"/>
              </w:rPr>
              <w:lastRenderedPageBreak/>
              <w:t>8,00,000</w:t>
            </w:r>
          </w:p>
        </w:tc>
      </w:tr>
      <w:tr w:rsidR="007C6D7E" w:rsidRPr="00B83873" w14:paraId="26A0007D" w14:textId="77777777" w:rsidTr="00E213CE">
        <w:trPr>
          <w:trHeight w:val="300"/>
        </w:trPr>
        <w:tc>
          <w:tcPr>
            <w:tcW w:w="567" w:type="dxa"/>
            <w:tcBorders>
              <w:top w:val="single" w:sz="4" w:space="0" w:color="auto"/>
              <w:left w:val="single" w:sz="4" w:space="0" w:color="auto"/>
              <w:bottom w:val="single" w:sz="4" w:space="0" w:color="auto"/>
              <w:right w:val="single" w:sz="4" w:space="0" w:color="auto"/>
            </w:tcBorders>
          </w:tcPr>
          <w:p w14:paraId="1C0AD880" w14:textId="77777777" w:rsidR="007C6D7E" w:rsidRPr="007C6D7E" w:rsidRDefault="007C6D7E" w:rsidP="007C6D7E">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lastRenderedPageBreak/>
              <w:t>57</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672070C0" w14:textId="77777777" w:rsidR="007C6D7E" w:rsidRPr="007C6D7E" w:rsidRDefault="007C6D7E" w:rsidP="007C6D7E">
            <w:pPr>
              <w:jc w:val="both"/>
              <w:rPr>
                <w:rFonts w:ascii="Palatino Linotype" w:eastAsia="Calibri" w:hAnsi="Palatino Linotype" w:cs="Mangal"/>
                <w:sz w:val="20"/>
                <w:szCs w:val="20"/>
              </w:rPr>
            </w:pPr>
            <w:r w:rsidRPr="007C6D7E">
              <w:rPr>
                <w:rFonts w:ascii="Palatino Linotype" w:eastAsia="Calibri" w:hAnsi="Palatino Linotype" w:cs="Mangal"/>
                <w:sz w:val="20"/>
                <w:szCs w:val="20"/>
              </w:rPr>
              <w:t>08/06/2021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6292762D" w14:textId="77777777" w:rsidR="007C6D7E" w:rsidRPr="007C6D7E" w:rsidRDefault="007C6D7E" w:rsidP="007C6D7E">
            <w:pPr>
              <w:jc w:val="both"/>
              <w:rPr>
                <w:rFonts w:ascii="Palatino Linotype" w:eastAsia="Calibri" w:hAnsi="Palatino Linotype" w:cs="Mangal"/>
                <w:sz w:val="20"/>
                <w:szCs w:val="20"/>
              </w:rPr>
            </w:pPr>
            <w:r w:rsidRPr="007C6D7E">
              <w:rPr>
                <w:rFonts w:ascii="Palatino Linotype" w:eastAsia="Calibri" w:hAnsi="Palatino Linotype" w:cs="Mangal"/>
                <w:sz w:val="20"/>
                <w:szCs w:val="20"/>
              </w:rPr>
              <w:t>Gini Silk Mills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27CC82ED" w14:textId="77777777" w:rsidR="007C6D7E" w:rsidRPr="007C6D7E" w:rsidRDefault="007C6D7E" w:rsidP="007C6D7E">
            <w:pPr>
              <w:jc w:val="both"/>
              <w:rPr>
                <w:rFonts w:ascii="Palatino Linotype" w:eastAsia="Calibri" w:hAnsi="Palatino Linotype" w:cs="Mangal"/>
                <w:sz w:val="20"/>
                <w:szCs w:val="20"/>
              </w:rPr>
            </w:pPr>
            <w:r w:rsidRPr="007C6D7E">
              <w:rPr>
                <w:rFonts w:ascii="Palatino Linotype" w:eastAsia="Calibri" w:hAnsi="Palatino Linotype" w:cs="Mangal"/>
                <w:sz w:val="20"/>
                <w:szCs w:val="20"/>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6BC78B1F" w14:textId="77777777" w:rsidR="007C6D7E" w:rsidRPr="007C6D7E" w:rsidRDefault="007C6D7E" w:rsidP="007C6D7E">
            <w:pPr>
              <w:jc w:val="both"/>
              <w:rPr>
                <w:rFonts w:ascii="Palatino Linotype" w:eastAsia="Calibri" w:hAnsi="Palatino Linotype" w:cs="Mangal"/>
                <w:sz w:val="20"/>
                <w:szCs w:val="20"/>
              </w:rPr>
            </w:pPr>
            <w:r w:rsidRPr="007C6D7E">
              <w:rPr>
                <w:rFonts w:ascii="Palatino Linotype" w:eastAsia="Calibri" w:hAnsi="Palatino Linotype" w:cs="Mangal"/>
                <w:sz w:val="20"/>
                <w:szCs w:val="20"/>
              </w:rPr>
              <w:t xml:space="preserve">Ramakant Mangalchand Gaggar, Alaukik Mines &amp; Power Pvt. Ltd, Garnet International Ltd, Mangal Savitri Bizcon Pvt. Ltd, Suresh Gaggar. </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13119F9" w14:textId="77777777" w:rsidR="007C6D7E" w:rsidRPr="007C6D7E" w:rsidRDefault="007C6D7E" w:rsidP="007C6D7E">
            <w:pPr>
              <w:shd w:val="clear" w:color="auto" w:fill="FFFFFF"/>
              <w:jc w:val="both"/>
              <w:rPr>
                <w:rFonts w:ascii="Palatino Linotype" w:eastAsia="Calibri" w:hAnsi="Palatino Linotype" w:cs="Mangal"/>
                <w:sz w:val="20"/>
                <w:szCs w:val="20"/>
              </w:rPr>
            </w:pPr>
            <w:r w:rsidRPr="007C6D7E">
              <w:rPr>
                <w:rFonts w:ascii="Palatino Linotype" w:eastAsia="Calibri" w:hAnsi="Palatino Linotype" w:cs="Mangal"/>
                <w:sz w:val="20"/>
                <w:szCs w:val="20"/>
              </w:rPr>
              <w:t>Regulation  29(2)  read  with  Regulation  29(3) of SEBI (Substantial Acquisition of Shares and Takeover) Regulations, 2011</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33BE4D15" w14:textId="77777777" w:rsidR="007C6D7E" w:rsidRPr="007C6D7E" w:rsidRDefault="007C6D7E" w:rsidP="007C6D7E">
            <w:pPr>
              <w:jc w:val="right"/>
              <w:rPr>
                <w:rFonts w:ascii="Palatino Linotype" w:eastAsia="Calibri" w:hAnsi="Palatino Linotype" w:cs="Mangal"/>
                <w:sz w:val="20"/>
                <w:szCs w:val="20"/>
              </w:rPr>
            </w:pPr>
            <w:r w:rsidRPr="007C6D7E">
              <w:rPr>
                <w:rFonts w:ascii="Palatino Linotype" w:eastAsia="Calibri" w:hAnsi="Palatino Linotype" w:cs="Mangal"/>
                <w:sz w:val="20"/>
                <w:szCs w:val="20"/>
              </w:rPr>
              <w:t>5,00,000</w:t>
            </w:r>
          </w:p>
        </w:tc>
      </w:tr>
      <w:tr w:rsidR="007C6D7E" w:rsidRPr="00B83873" w14:paraId="41C85E24" w14:textId="77777777" w:rsidTr="00E213CE">
        <w:trPr>
          <w:trHeight w:val="300"/>
        </w:trPr>
        <w:tc>
          <w:tcPr>
            <w:tcW w:w="567" w:type="dxa"/>
            <w:tcBorders>
              <w:top w:val="single" w:sz="4" w:space="0" w:color="auto"/>
              <w:left w:val="single" w:sz="4" w:space="0" w:color="auto"/>
              <w:bottom w:val="single" w:sz="4" w:space="0" w:color="auto"/>
              <w:right w:val="single" w:sz="4" w:space="0" w:color="auto"/>
            </w:tcBorders>
          </w:tcPr>
          <w:p w14:paraId="633F776D" w14:textId="77777777" w:rsidR="007C6D7E" w:rsidRPr="007C6D7E" w:rsidRDefault="007C6D7E" w:rsidP="007C6D7E">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t>58</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14D57D66" w14:textId="77777777" w:rsidR="007C6D7E" w:rsidRPr="007C6D7E" w:rsidRDefault="007C6D7E" w:rsidP="007C6D7E">
            <w:pPr>
              <w:jc w:val="both"/>
              <w:rPr>
                <w:rFonts w:ascii="Palatino Linotype" w:eastAsia="Calibri" w:hAnsi="Palatino Linotype" w:cs="Mangal"/>
                <w:sz w:val="20"/>
                <w:szCs w:val="20"/>
              </w:rPr>
            </w:pPr>
            <w:r w:rsidRPr="007C6D7E">
              <w:rPr>
                <w:rFonts w:ascii="Palatino Linotype" w:eastAsia="Calibri" w:hAnsi="Palatino Linotype" w:cs="Mangal"/>
                <w:sz w:val="20"/>
                <w:szCs w:val="20"/>
              </w:rPr>
              <w:t>08/06/2021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5D385BA3" w14:textId="77777777" w:rsidR="007C6D7E" w:rsidRPr="007C6D7E" w:rsidRDefault="007C6D7E" w:rsidP="007C6D7E">
            <w:pPr>
              <w:jc w:val="both"/>
              <w:rPr>
                <w:rFonts w:ascii="Palatino Linotype" w:eastAsia="Calibri" w:hAnsi="Palatino Linotype" w:cs="Mangal"/>
                <w:sz w:val="20"/>
                <w:szCs w:val="20"/>
              </w:rPr>
            </w:pPr>
            <w:r w:rsidRPr="007C6D7E">
              <w:rPr>
                <w:rFonts w:ascii="Palatino Linotype" w:eastAsia="Calibri" w:hAnsi="Palatino Linotype" w:cs="Mangal"/>
                <w:sz w:val="20"/>
                <w:szCs w:val="20"/>
              </w:rPr>
              <w:t>GDR Issues of 6 companies</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56207526" w14:textId="77777777" w:rsidR="007C6D7E" w:rsidRPr="007C6D7E" w:rsidRDefault="007C6D7E" w:rsidP="007C6D7E">
            <w:pPr>
              <w:jc w:val="both"/>
              <w:rPr>
                <w:rFonts w:ascii="Palatino Linotype" w:eastAsia="Calibri" w:hAnsi="Palatino Linotype" w:cs="Mangal"/>
                <w:sz w:val="20"/>
                <w:szCs w:val="20"/>
              </w:rPr>
            </w:pPr>
            <w:r w:rsidRPr="007C6D7E">
              <w:rPr>
                <w:rFonts w:ascii="Palatino Linotype" w:eastAsia="Calibri" w:hAnsi="Palatino Linotype" w:cs="Mangal"/>
                <w:sz w:val="20"/>
                <w:szCs w:val="20"/>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363B1317" w14:textId="77777777" w:rsidR="007C6D7E" w:rsidRPr="007C6D7E" w:rsidRDefault="007C6D7E" w:rsidP="007C6D7E">
            <w:pPr>
              <w:jc w:val="both"/>
              <w:rPr>
                <w:rFonts w:ascii="Palatino Linotype" w:eastAsia="Calibri" w:hAnsi="Palatino Linotype" w:cs="Mangal"/>
                <w:sz w:val="20"/>
                <w:szCs w:val="20"/>
              </w:rPr>
            </w:pPr>
            <w:r w:rsidRPr="007C6D7E">
              <w:rPr>
                <w:rFonts w:ascii="Palatino Linotype" w:eastAsia="Calibri" w:hAnsi="Palatino Linotype" w:cs="Mangal"/>
                <w:sz w:val="20"/>
                <w:szCs w:val="20"/>
              </w:rPr>
              <w:t xml:space="preserve">Arun Panchariya and 13 Others </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3581C7F" w14:textId="77777777" w:rsidR="007C6D7E" w:rsidRPr="007C6D7E" w:rsidRDefault="007C6D7E" w:rsidP="007C6D7E">
            <w:pPr>
              <w:shd w:val="clear" w:color="auto" w:fill="FFFFFF"/>
              <w:rPr>
                <w:rFonts w:ascii="Palatino Linotype" w:eastAsia="Calibri" w:hAnsi="Palatino Linotype" w:cs="Mangal"/>
                <w:sz w:val="20"/>
                <w:szCs w:val="20"/>
                <w:lang w:val="en-IN"/>
              </w:rPr>
            </w:pPr>
            <w:r w:rsidRPr="007C6D7E">
              <w:rPr>
                <w:rFonts w:ascii="Palatino Linotype" w:eastAsia="Calibri" w:hAnsi="Palatino Linotype" w:cs="Mangal"/>
                <w:sz w:val="20"/>
                <w:szCs w:val="20"/>
              </w:rPr>
              <w:t xml:space="preserve">Section 12A(a),(b) and (c) of the SEBI Act read with Regulation </w:t>
            </w:r>
            <w:r w:rsidRPr="007C6D7E">
              <w:rPr>
                <w:rFonts w:ascii="Palatino Linotype" w:eastAsia="Calibri" w:hAnsi="Palatino Linotype" w:cs="Mangal"/>
                <w:sz w:val="20"/>
                <w:szCs w:val="20"/>
                <w:lang w:val="en-IN"/>
              </w:rPr>
              <w:t>3(a),</w:t>
            </w:r>
            <w:r w:rsidRPr="007C6D7E">
              <w:rPr>
                <w:rFonts w:ascii="Palatino Linotype" w:eastAsia="Calibri" w:hAnsi="Palatino Linotype" w:cs="Mangal"/>
                <w:sz w:val="20"/>
                <w:szCs w:val="20"/>
              </w:rPr>
              <w:t xml:space="preserve"> </w:t>
            </w:r>
          </w:p>
          <w:p w14:paraId="3649DE06" w14:textId="77777777" w:rsidR="007C6D7E" w:rsidRPr="007C6D7E" w:rsidRDefault="007C6D7E" w:rsidP="007C6D7E">
            <w:pPr>
              <w:shd w:val="clear" w:color="auto" w:fill="FFFFFF"/>
              <w:rPr>
                <w:rFonts w:ascii="Palatino Linotype" w:eastAsia="Calibri" w:hAnsi="Palatino Linotype" w:cs="Mangal"/>
                <w:sz w:val="20"/>
                <w:szCs w:val="20"/>
              </w:rPr>
            </w:pPr>
            <w:r w:rsidRPr="007C6D7E">
              <w:rPr>
                <w:rFonts w:ascii="Palatino Linotype" w:eastAsia="Calibri" w:hAnsi="Palatino Linotype" w:cs="Mangal"/>
                <w:sz w:val="20"/>
                <w:szCs w:val="20"/>
              </w:rPr>
              <w:t>3(c), 3(d), 4(1), 4(2), 4(2)(c), 4(2)(e), 4(2)(f), 4(2)(k) and 4(2)(r) of SEBI (Prohibition of Fraudulent and  Unfair  Trade  Practices)  Regulations,  2003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4AD75443" w14:textId="77777777" w:rsidR="007C6D7E" w:rsidRPr="007C6D7E" w:rsidRDefault="007C6D7E" w:rsidP="007C6D7E">
            <w:pPr>
              <w:jc w:val="right"/>
              <w:rPr>
                <w:rFonts w:ascii="Palatino Linotype" w:eastAsia="Calibri" w:hAnsi="Palatino Linotype" w:cs="Mangal"/>
                <w:sz w:val="20"/>
                <w:szCs w:val="20"/>
              </w:rPr>
            </w:pPr>
            <w:r w:rsidRPr="007C6D7E">
              <w:rPr>
                <w:rFonts w:ascii="Palatino Linotype" w:eastAsia="Calibri" w:hAnsi="Palatino Linotype" w:cs="Mangal"/>
                <w:sz w:val="20"/>
                <w:szCs w:val="20"/>
              </w:rPr>
              <w:t>31,56,00,000</w:t>
            </w:r>
          </w:p>
        </w:tc>
      </w:tr>
      <w:tr w:rsidR="007C6D7E" w:rsidRPr="00B83873" w14:paraId="6F62F29B" w14:textId="77777777" w:rsidTr="007C6D7E">
        <w:trPr>
          <w:trHeight w:val="300"/>
        </w:trPr>
        <w:tc>
          <w:tcPr>
            <w:tcW w:w="567" w:type="dxa"/>
            <w:tcBorders>
              <w:top w:val="single" w:sz="4" w:space="0" w:color="auto"/>
              <w:left w:val="single" w:sz="4" w:space="0" w:color="auto"/>
              <w:bottom w:val="single" w:sz="4" w:space="0" w:color="auto"/>
              <w:right w:val="single" w:sz="4" w:space="0" w:color="auto"/>
            </w:tcBorders>
          </w:tcPr>
          <w:p w14:paraId="3ED04FB6" w14:textId="77777777" w:rsidR="007C6D7E" w:rsidRPr="007C6D7E" w:rsidRDefault="007C6D7E" w:rsidP="007C6D7E">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t>59</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588EE1A4" w14:textId="77777777" w:rsidR="007C6D7E" w:rsidRPr="007C6D7E" w:rsidRDefault="007C6D7E" w:rsidP="007C6D7E">
            <w:pPr>
              <w:jc w:val="both"/>
              <w:rPr>
                <w:rFonts w:ascii="Palatino Linotype" w:eastAsia="Calibri" w:hAnsi="Palatino Linotype" w:cs="Mangal"/>
                <w:sz w:val="20"/>
                <w:szCs w:val="20"/>
              </w:rPr>
            </w:pPr>
            <w:r w:rsidRPr="007C6D7E">
              <w:rPr>
                <w:rFonts w:ascii="Palatino Linotype" w:eastAsia="Calibri" w:hAnsi="Palatino Linotype" w:cs="Mangal"/>
                <w:sz w:val="20"/>
                <w:szCs w:val="20"/>
              </w:rPr>
              <w:t>11/06/2021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7C733953" w14:textId="77777777" w:rsidR="007C6D7E" w:rsidRPr="007C6D7E" w:rsidRDefault="007C6D7E" w:rsidP="007C6D7E">
            <w:pPr>
              <w:jc w:val="both"/>
              <w:rPr>
                <w:rFonts w:ascii="Palatino Linotype" w:eastAsia="Calibri" w:hAnsi="Palatino Linotype" w:cs="Mangal"/>
                <w:sz w:val="20"/>
                <w:szCs w:val="20"/>
              </w:rPr>
            </w:pPr>
            <w:r w:rsidRPr="007C6D7E">
              <w:rPr>
                <w:rFonts w:ascii="Palatino Linotype" w:eastAsia="Calibri" w:hAnsi="Palatino Linotype" w:cs="Mangal"/>
                <w:sz w:val="20"/>
                <w:szCs w:val="20"/>
              </w:rPr>
              <w:t>A2Z Infra Engineering Ltd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6B6B22CE" w14:textId="77777777" w:rsidR="007C6D7E" w:rsidRPr="007C6D7E" w:rsidRDefault="007C6D7E" w:rsidP="007C6D7E">
            <w:pPr>
              <w:jc w:val="both"/>
              <w:rPr>
                <w:rFonts w:ascii="Palatino Linotype" w:eastAsia="Calibri" w:hAnsi="Palatino Linotype" w:cs="Mangal"/>
                <w:sz w:val="20"/>
                <w:szCs w:val="20"/>
              </w:rPr>
            </w:pPr>
            <w:r w:rsidRPr="007C6D7E">
              <w:rPr>
                <w:rFonts w:ascii="Palatino Linotype" w:eastAsia="Calibri" w:hAnsi="Palatino Linotype" w:cs="Mangal"/>
                <w:sz w:val="20"/>
                <w:szCs w:val="20"/>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08232A35" w14:textId="77777777" w:rsidR="007C6D7E" w:rsidRPr="007C6D7E" w:rsidRDefault="007C6D7E" w:rsidP="007C6D7E">
            <w:pPr>
              <w:jc w:val="both"/>
              <w:rPr>
                <w:rFonts w:ascii="Palatino Linotype" w:eastAsia="Calibri" w:hAnsi="Palatino Linotype" w:cs="Mangal"/>
                <w:sz w:val="20"/>
                <w:szCs w:val="20"/>
              </w:rPr>
            </w:pPr>
            <w:r w:rsidRPr="007C6D7E">
              <w:rPr>
                <w:rFonts w:ascii="Palatino Linotype" w:eastAsia="Calibri" w:hAnsi="Palatino Linotype" w:cs="Mangal"/>
                <w:sz w:val="20"/>
                <w:szCs w:val="20"/>
              </w:rPr>
              <w:t>Keshav Shares And Stocks Ltd, Surbhi Resorts Pvt Ltd (Now known as Signature Sattva Infratech Pvt Ltd), Multiplex Capital Ltd</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816DFFC" w14:textId="77777777" w:rsidR="007C6D7E" w:rsidRPr="007C6D7E" w:rsidRDefault="007C6D7E" w:rsidP="007C6D7E">
            <w:pPr>
              <w:shd w:val="clear" w:color="auto" w:fill="FFFFFF"/>
              <w:jc w:val="both"/>
              <w:rPr>
                <w:rFonts w:ascii="Palatino Linotype" w:eastAsia="Calibri" w:hAnsi="Palatino Linotype" w:cs="Mangal"/>
                <w:sz w:val="20"/>
                <w:szCs w:val="20"/>
              </w:rPr>
            </w:pPr>
            <w:r w:rsidRPr="007C6D7E">
              <w:rPr>
                <w:rFonts w:ascii="Palatino Linotype" w:eastAsia="Calibri" w:hAnsi="Palatino Linotype" w:cs="Mangal"/>
                <w:sz w:val="20"/>
                <w:szCs w:val="20"/>
              </w:rPr>
              <w:t xml:space="preserve">Section 16 of SCRA, 1956 read with SEBI Notification No. LAD-NRO/GN/2013-14/26/6667 dated  October  03,  2013,  Section  13  and  Section  18  of  SCRA,1956  read  with Section  2(i)  of  SCRA,  1956 </w:t>
            </w:r>
          </w:p>
          <w:p w14:paraId="309BB13F" w14:textId="77777777" w:rsidR="007C6D7E" w:rsidRPr="007C6D7E" w:rsidRDefault="007C6D7E" w:rsidP="007C6D7E">
            <w:pPr>
              <w:shd w:val="clear" w:color="auto" w:fill="FFFFFF"/>
              <w:jc w:val="both"/>
              <w:rPr>
                <w:rFonts w:ascii="Palatino Linotype" w:eastAsia="Calibri" w:hAnsi="Palatino Linotype" w:cs="Mangal"/>
                <w:sz w:val="20"/>
                <w:szCs w:val="20"/>
              </w:rPr>
            </w:pPr>
          </w:p>
          <w:p w14:paraId="5FEB8A89" w14:textId="77777777" w:rsidR="007C6D7E" w:rsidRPr="007C6D7E" w:rsidRDefault="007C6D7E" w:rsidP="007C6D7E">
            <w:pPr>
              <w:shd w:val="clear" w:color="auto" w:fill="FFFFFF"/>
              <w:jc w:val="both"/>
              <w:rPr>
                <w:rFonts w:ascii="Palatino Linotype" w:eastAsia="Calibri" w:hAnsi="Palatino Linotype" w:cs="Mangal"/>
                <w:sz w:val="20"/>
                <w:szCs w:val="20"/>
              </w:rPr>
            </w:pPr>
            <w:r w:rsidRPr="007C6D7E">
              <w:rPr>
                <w:rFonts w:ascii="Palatino Linotype" w:eastAsia="Calibri" w:hAnsi="Palatino Linotype" w:cs="Mangal"/>
                <w:sz w:val="20"/>
                <w:szCs w:val="20"/>
              </w:rPr>
              <w:t xml:space="preserve">Section 12A(a),(b),(c) of SEBI Act, 1992; and Regulation 3(a),(b),(c),(d) and Regulation 4(1), 4(2)(a) and (g) of PFUTP Regulations, 2003 </w:t>
            </w:r>
          </w:p>
          <w:p w14:paraId="6A2EA300" w14:textId="77777777" w:rsidR="007C6D7E" w:rsidRPr="007C6D7E" w:rsidRDefault="007C6D7E" w:rsidP="007C6D7E">
            <w:pPr>
              <w:shd w:val="clear" w:color="auto" w:fill="FFFFFF"/>
              <w:jc w:val="both"/>
              <w:rPr>
                <w:rFonts w:ascii="Palatino Linotype" w:eastAsia="Calibri" w:hAnsi="Palatino Linotype" w:cs="Mangal"/>
                <w:sz w:val="20"/>
                <w:szCs w:val="20"/>
              </w:rPr>
            </w:pPr>
          </w:p>
          <w:p w14:paraId="1A303329" w14:textId="77777777" w:rsidR="007C6D7E" w:rsidRPr="007C6D7E" w:rsidRDefault="007C6D7E" w:rsidP="007C6D7E">
            <w:pPr>
              <w:shd w:val="clear" w:color="auto" w:fill="FFFFFF"/>
              <w:jc w:val="both"/>
              <w:rPr>
                <w:rFonts w:ascii="Palatino Linotype" w:eastAsia="Calibri" w:hAnsi="Palatino Linotype" w:cs="Mangal"/>
                <w:sz w:val="20"/>
                <w:szCs w:val="20"/>
              </w:rPr>
            </w:pPr>
            <w:r w:rsidRPr="007C6D7E">
              <w:rPr>
                <w:rFonts w:ascii="Palatino Linotype" w:eastAsia="Calibri" w:hAnsi="Palatino Linotype" w:cs="Mangal"/>
                <w:sz w:val="20"/>
                <w:szCs w:val="20"/>
              </w:rPr>
              <w:t xml:space="preserve">Regulation 9(f) of Stock Broker Regulations, 1992 read with Clause A (1), (2), &amp; (3) of code of conduct for stock </w:t>
            </w:r>
            <w:r w:rsidRPr="007C6D7E">
              <w:rPr>
                <w:rFonts w:ascii="Palatino Linotype" w:eastAsia="Calibri" w:hAnsi="Palatino Linotype" w:cs="Mangal"/>
                <w:sz w:val="20"/>
                <w:szCs w:val="20"/>
              </w:rPr>
              <w:lastRenderedPageBreak/>
              <w:t>brokers specified under Schedule II of Stock  Brokers  Regulations,  1992.</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46275E8C" w14:textId="77777777" w:rsidR="007C6D7E" w:rsidRPr="007C6D7E" w:rsidRDefault="007C6D7E" w:rsidP="007C6D7E">
            <w:pPr>
              <w:jc w:val="right"/>
              <w:rPr>
                <w:rFonts w:ascii="Palatino Linotype" w:eastAsia="Calibri" w:hAnsi="Palatino Linotype" w:cs="Mangal"/>
                <w:sz w:val="20"/>
                <w:szCs w:val="20"/>
              </w:rPr>
            </w:pPr>
            <w:r w:rsidRPr="007C6D7E">
              <w:rPr>
                <w:rFonts w:ascii="Palatino Linotype" w:eastAsia="Calibri" w:hAnsi="Palatino Linotype" w:cs="Mangal"/>
                <w:sz w:val="20"/>
                <w:szCs w:val="20"/>
              </w:rPr>
              <w:lastRenderedPageBreak/>
              <w:t>8,00,000</w:t>
            </w:r>
          </w:p>
        </w:tc>
      </w:tr>
      <w:tr w:rsidR="007C6D7E" w:rsidRPr="00B83873" w14:paraId="7497CD9E" w14:textId="77777777" w:rsidTr="007C6D7E">
        <w:trPr>
          <w:trHeight w:val="300"/>
        </w:trPr>
        <w:tc>
          <w:tcPr>
            <w:tcW w:w="567" w:type="dxa"/>
            <w:tcBorders>
              <w:top w:val="single" w:sz="4" w:space="0" w:color="auto"/>
              <w:left w:val="single" w:sz="4" w:space="0" w:color="auto"/>
              <w:bottom w:val="single" w:sz="4" w:space="0" w:color="auto"/>
              <w:right w:val="single" w:sz="4" w:space="0" w:color="auto"/>
            </w:tcBorders>
          </w:tcPr>
          <w:p w14:paraId="420204AB" w14:textId="77777777" w:rsidR="007C6D7E" w:rsidRPr="007C6D7E" w:rsidRDefault="007C6D7E" w:rsidP="007C6D7E">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lastRenderedPageBreak/>
              <w:t>60</w:t>
            </w:r>
          </w:p>
        </w:tc>
        <w:tc>
          <w:tcPr>
            <w:tcW w:w="1276" w:type="dxa"/>
            <w:tcBorders>
              <w:top w:val="single" w:sz="4" w:space="0" w:color="auto"/>
              <w:bottom w:val="single" w:sz="4" w:space="0" w:color="auto"/>
              <w:right w:val="single" w:sz="4" w:space="0" w:color="auto"/>
            </w:tcBorders>
            <w:shd w:val="clear" w:color="auto" w:fill="auto"/>
            <w:noWrap/>
          </w:tcPr>
          <w:p w14:paraId="6279DE60"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14/06/2021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7854E2F0"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Aadhaar Ventures India Ltd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6B92F7C3"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0037E74F"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Chandrakant B Shah, Ajay Ravindra Shah, Santosh Vasant Bhelekar, Saurabh Kumar Rasiklal, Kinita Real Estate Pvt Ltd, Gajpal Buildinfra Pvt Ltd,  Monaecum Properties Pvt Ltd.</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BB171BA" w14:textId="77777777" w:rsidR="007C6D7E" w:rsidRPr="007C6D7E" w:rsidRDefault="007C6D7E" w:rsidP="007C6D7E">
            <w:pPr>
              <w:shd w:val="clear" w:color="auto" w:fill="FFFFFF"/>
              <w:jc w:val="both"/>
              <w:rPr>
                <w:rFonts w:ascii="Palatino Linotype" w:hAnsi="Palatino Linotype"/>
                <w:sz w:val="20"/>
                <w:szCs w:val="20"/>
              </w:rPr>
            </w:pPr>
            <w:r w:rsidRPr="007C6D7E">
              <w:rPr>
                <w:rFonts w:ascii="Palatino Linotype" w:hAnsi="Palatino Linotype"/>
                <w:sz w:val="20"/>
                <w:szCs w:val="20"/>
              </w:rPr>
              <w:t>Regulation 3 (a),  (b),  (c), (d) and 4 (1), 4 (2) (a)  and (e) of SEBI   (Prohibition   of Fraudulent and Unfair Trade Practices) Regulations, 2003 (SEBI (PFUTP) Regulations)</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6164D6F8" w14:textId="77777777" w:rsidR="007C6D7E" w:rsidRPr="007C6D7E" w:rsidRDefault="007C6D7E" w:rsidP="007C6D7E">
            <w:pPr>
              <w:jc w:val="right"/>
              <w:rPr>
                <w:rFonts w:ascii="Palatino Linotype" w:hAnsi="Palatino Linotype"/>
                <w:sz w:val="20"/>
                <w:szCs w:val="20"/>
              </w:rPr>
            </w:pPr>
            <w:r w:rsidRPr="007C6D7E">
              <w:rPr>
                <w:rFonts w:ascii="Palatino Linotype" w:hAnsi="Palatino Linotype"/>
                <w:sz w:val="20"/>
                <w:szCs w:val="20"/>
              </w:rPr>
              <w:t>10,50,000</w:t>
            </w:r>
          </w:p>
        </w:tc>
      </w:tr>
      <w:tr w:rsidR="007C6D7E" w:rsidRPr="00B83873" w14:paraId="480106C7" w14:textId="77777777" w:rsidTr="007C6D7E">
        <w:trPr>
          <w:trHeight w:val="300"/>
        </w:trPr>
        <w:tc>
          <w:tcPr>
            <w:tcW w:w="567" w:type="dxa"/>
            <w:tcBorders>
              <w:top w:val="single" w:sz="4" w:space="0" w:color="auto"/>
              <w:left w:val="single" w:sz="4" w:space="0" w:color="auto"/>
              <w:bottom w:val="single" w:sz="4" w:space="0" w:color="auto"/>
              <w:right w:val="single" w:sz="4" w:space="0" w:color="auto"/>
            </w:tcBorders>
          </w:tcPr>
          <w:p w14:paraId="7EB82B51" w14:textId="77777777" w:rsidR="007C6D7E" w:rsidRPr="007C6D7E" w:rsidRDefault="007C6D7E" w:rsidP="007C6D7E">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t>61</w:t>
            </w:r>
          </w:p>
        </w:tc>
        <w:tc>
          <w:tcPr>
            <w:tcW w:w="1276" w:type="dxa"/>
            <w:tcBorders>
              <w:top w:val="single" w:sz="4" w:space="0" w:color="auto"/>
              <w:bottom w:val="single" w:sz="4" w:space="0" w:color="auto"/>
              <w:right w:val="single" w:sz="4" w:space="0" w:color="auto"/>
            </w:tcBorders>
            <w:shd w:val="clear" w:color="auto" w:fill="auto"/>
            <w:noWrap/>
          </w:tcPr>
          <w:p w14:paraId="7A62CB9E"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14/06/2021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3B2A5CB7"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Inspection of Six debt schemes of Franklin Templeton Mutual Fund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6333BD1B"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52EAB2D6"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Venkata Radhakrishna, Malathi Radhakrishnan</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0DBA984" w14:textId="77777777" w:rsidR="007C6D7E" w:rsidRPr="007C6D7E" w:rsidRDefault="007C6D7E" w:rsidP="007C6D7E">
            <w:pPr>
              <w:shd w:val="clear" w:color="auto" w:fill="FFFFFF"/>
              <w:jc w:val="both"/>
              <w:rPr>
                <w:rFonts w:ascii="Palatino Linotype" w:hAnsi="Palatino Linotype"/>
                <w:sz w:val="20"/>
                <w:szCs w:val="20"/>
              </w:rPr>
            </w:pPr>
            <w:r w:rsidRPr="007C6D7E">
              <w:rPr>
                <w:rFonts w:ascii="Palatino Linotype" w:hAnsi="Palatino Linotype"/>
                <w:sz w:val="20"/>
                <w:szCs w:val="20"/>
              </w:rPr>
              <w:t>Section 12 A (e) of SEBI Act, 1992 and Regulation 4(1) of the SEBI (PFUTP) Regulations 2003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5602E466" w14:textId="77777777" w:rsidR="007C6D7E" w:rsidRPr="007C6D7E" w:rsidRDefault="007C6D7E" w:rsidP="007C6D7E">
            <w:pPr>
              <w:jc w:val="right"/>
              <w:rPr>
                <w:rFonts w:ascii="Palatino Linotype" w:hAnsi="Palatino Linotype"/>
                <w:sz w:val="20"/>
                <w:szCs w:val="20"/>
              </w:rPr>
            </w:pPr>
            <w:r w:rsidRPr="007C6D7E">
              <w:rPr>
                <w:rFonts w:ascii="Palatino Linotype" w:hAnsi="Palatino Linotype"/>
                <w:sz w:val="20"/>
                <w:szCs w:val="20"/>
              </w:rPr>
              <w:t>50,00,000</w:t>
            </w:r>
          </w:p>
        </w:tc>
      </w:tr>
      <w:tr w:rsidR="007C6D7E" w:rsidRPr="00B83873" w14:paraId="47CEDFC9" w14:textId="77777777" w:rsidTr="007C6D7E">
        <w:trPr>
          <w:trHeight w:val="300"/>
        </w:trPr>
        <w:tc>
          <w:tcPr>
            <w:tcW w:w="567" w:type="dxa"/>
            <w:tcBorders>
              <w:top w:val="single" w:sz="4" w:space="0" w:color="auto"/>
              <w:left w:val="single" w:sz="4" w:space="0" w:color="auto"/>
              <w:bottom w:val="single" w:sz="4" w:space="0" w:color="auto"/>
              <w:right w:val="single" w:sz="4" w:space="0" w:color="auto"/>
            </w:tcBorders>
          </w:tcPr>
          <w:p w14:paraId="6A6DE572" w14:textId="77777777" w:rsidR="007C6D7E" w:rsidRPr="007C6D7E" w:rsidRDefault="007C6D7E" w:rsidP="007C6D7E">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t>62</w:t>
            </w:r>
          </w:p>
        </w:tc>
        <w:tc>
          <w:tcPr>
            <w:tcW w:w="1276" w:type="dxa"/>
            <w:tcBorders>
              <w:top w:val="single" w:sz="4" w:space="0" w:color="auto"/>
              <w:bottom w:val="single" w:sz="4" w:space="0" w:color="auto"/>
              <w:right w:val="single" w:sz="4" w:space="0" w:color="auto"/>
            </w:tcBorders>
            <w:shd w:val="clear" w:color="auto" w:fill="auto"/>
            <w:noWrap/>
          </w:tcPr>
          <w:p w14:paraId="15082880"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14/06/2021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7506610E"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Dealings in Illiquid Stock Options at the BSE</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10C65CE3"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24E61B40"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Nirmal Commodities Broker Private Limited</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AB0353A" w14:textId="77777777" w:rsidR="007C6D7E" w:rsidRPr="007C6D7E" w:rsidRDefault="007C6D7E" w:rsidP="007C6D7E">
            <w:pPr>
              <w:shd w:val="clear" w:color="auto" w:fill="FFFFFF"/>
              <w:jc w:val="both"/>
              <w:rPr>
                <w:rFonts w:ascii="Palatino Linotype" w:hAnsi="Palatino Linotype"/>
                <w:sz w:val="20"/>
                <w:szCs w:val="20"/>
              </w:rPr>
            </w:pPr>
            <w:r w:rsidRPr="007C6D7E">
              <w:rPr>
                <w:rFonts w:ascii="Palatino Linotype" w:hAnsi="Palatino Linotype"/>
                <w:sz w:val="20"/>
                <w:szCs w:val="20"/>
              </w:rPr>
              <w:t>Regulations 3(a),  (b),  (c),  (d),  4(1)  and  4(2)(a)  of  the PFUTP Regulations, 2003.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44F6B6C8" w14:textId="77777777" w:rsidR="007C6D7E" w:rsidRPr="007C6D7E" w:rsidRDefault="007C6D7E" w:rsidP="007C6D7E">
            <w:pPr>
              <w:jc w:val="right"/>
              <w:rPr>
                <w:rFonts w:ascii="Palatino Linotype" w:hAnsi="Palatino Linotype"/>
                <w:sz w:val="20"/>
                <w:szCs w:val="20"/>
              </w:rPr>
            </w:pPr>
            <w:r w:rsidRPr="007C6D7E">
              <w:rPr>
                <w:rFonts w:ascii="Palatino Linotype" w:hAnsi="Palatino Linotype"/>
                <w:sz w:val="20"/>
                <w:szCs w:val="20"/>
              </w:rPr>
              <w:t>5,00,000</w:t>
            </w:r>
          </w:p>
        </w:tc>
      </w:tr>
      <w:tr w:rsidR="007C6D7E" w:rsidRPr="00B83873" w14:paraId="649F4924" w14:textId="77777777" w:rsidTr="007C6D7E">
        <w:trPr>
          <w:trHeight w:val="300"/>
        </w:trPr>
        <w:tc>
          <w:tcPr>
            <w:tcW w:w="567" w:type="dxa"/>
            <w:tcBorders>
              <w:top w:val="single" w:sz="4" w:space="0" w:color="auto"/>
              <w:left w:val="single" w:sz="4" w:space="0" w:color="auto"/>
              <w:bottom w:val="single" w:sz="4" w:space="0" w:color="auto"/>
              <w:right w:val="single" w:sz="4" w:space="0" w:color="auto"/>
            </w:tcBorders>
          </w:tcPr>
          <w:p w14:paraId="666C06A5" w14:textId="77777777" w:rsidR="007C6D7E" w:rsidRPr="007C6D7E" w:rsidRDefault="007C6D7E" w:rsidP="007C6D7E">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t>63</w:t>
            </w:r>
          </w:p>
        </w:tc>
        <w:tc>
          <w:tcPr>
            <w:tcW w:w="1276" w:type="dxa"/>
            <w:tcBorders>
              <w:top w:val="single" w:sz="4" w:space="0" w:color="auto"/>
              <w:bottom w:val="single" w:sz="4" w:space="0" w:color="auto"/>
              <w:right w:val="single" w:sz="4" w:space="0" w:color="auto"/>
            </w:tcBorders>
            <w:shd w:val="clear" w:color="auto" w:fill="auto"/>
            <w:noWrap/>
          </w:tcPr>
          <w:p w14:paraId="5947E5F8"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14/06/2021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364E48DD"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Inspection of Six debt schemes of Franklin Templeton Mutual Fund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744E2418"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74CB9671"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Mywish Marketplaces Pvt. Ltd</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1575247" w14:textId="77777777" w:rsidR="007C6D7E" w:rsidRPr="007C6D7E" w:rsidRDefault="007C6D7E" w:rsidP="007C6D7E">
            <w:pPr>
              <w:shd w:val="clear" w:color="auto" w:fill="FFFFFF"/>
              <w:jc w:val="both"/>
              <w:rPr>
                <w:rFonts w:ascii="Palatino Linotype" w:hAnsi="Palatino Linotype"/>
                <w:sz w:val="20"/>
                <w:szCs w:val="20"/>
              </w:rPr>
            </w:pPr>
            <w:r w:rsidRPr="007C6D7E">
              <w:rPr>
                <w:rFonts w:ascii="Palatino Linotype" w:hAnsi="Palatino Linotype"/>
                <w:sz w:val="20"/>
                <w:szCs w:val="20"/>
              </w:rPr>
              <w:t>Section 12A(e) of SEBI Act and Regulations 4(1) of the SEBI (PFUTP) Regulations 2003.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4DFC56EB" w14:textId="77777777" w:rsidR="007C6D7E" w:rsidRPr="007C6D7E" w:rsidRDefault="007C6D7E" w:rsidP="007C6D7E">
            <w:pPr>
              <w:jc w:val="right"/>
              <w:rPr>
                <w:rFonts w:ascii="Palatino Linotype" w:hAnsi="Palatino Linotype"/>
                <w:sz w:val="20"/>
                <w:szCs w:val="20"/>
              </w:rPr>
            </w:pPr>
            <w:r w:rsidRPr="007C6D7E">
              <w:rPr>
                <w:rFonts w:ascii="Palatino Linotype" w:hAnsi="Palatino Linotype"/>
                <w:sz w:val="20"/>
                <w:szCs w:val="20"/>
              </w:rPr>
              <w:t>5,00,00,000</w:t>
            </w:r>
          </w:p>
        </w:tc>
      </w:tr>
      <w:tr w:rsidR="007C6D7E" w:rsidRPr="00B83873" w14:paraId="7F726FC2" w14:textId="77777777" w:rsidTr="007C6D7E">
        <w:trPr>
          <w:trHeight w:val="300"/>
        </w:trPr>
        <w:tc>
          <w:tcPr>
            <w:tcW w:w="567" w:type="dxa"/>
            <w:tcBorders>
              <w:top w:val="single" w:sz="4" w:space="0" w:color="auto"/>
              <w:left w:val="single" w:sz="4" w:space="0" w:color="auto"/>
              <w:bottom w:val="single" w:sz="4" w:space="0" w:color="auto"/>
              <w:right w:val="single" w:sz="4" w:space="0" w:color="auto"/>
            </w:tcBorders>
          </w:tcPr>
          <w:p w14:paraId="4DC5C6C4" w14:textId="77777777" w:rsidR="007C6D7E" w:rsidRPr="007C6D7E" w:rsidRDefault="007C6D7E" w:rsidP="007C6D7E">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t>64</w:t>
            </w:r>
          </w:p>
        </w:tc>
        <w:tc>
          <w:tcPr>
            <w:tcW w:w="1276" w:type="dxa"/>
            <w:tcBorders>
              <w:top w:val="single" w:sz="4" w:space="0" w:color="auto"/>
              <w:bottom w:val="single" w:sz="4" w:space="0" w:color="auto"/>
              <w:right w:val="single" w:sz="4" w:space="0" w:color="auto"/>
            </w:tcBorders>
            <w:shd w:val="clear" w:color="auto" w:fill="auto"/>
            <w:noWrap/>
          </w:tcPr>
          <w:p w14:paraId="37671B21"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14/06/2021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0988973C"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Dealings in Illiquid Stock Options at the BSE</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581E8EE5"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275CC694"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Motisons Commodities Pvt. Ltd.</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D3AD802" w14:textId="77777777" w:rsidR="007C6D7E" w:rsidRPr="007C6D7E" w:rsidRDefault="007C6D7E" w:rsidP="007C6D7E">
            <w:pPr>
              <w:shd w:val="clear" w:color="auto" w:fill="FFFFFF"/>
              <w:jc w:val="both"/>
              <w:rPr>
                <w:rFonts w:ascii="Palatino Linotype" w:hAnsi="Palatino Linotype"/>
                <w:sz w:val="20"/>
                <w:szCs w:val="20"/>
              </w:rPr>
            </w:pPr>
            <w:r w:rsidRPr="007C6D7E">
              <w:rPr>
                <w:rFonts w:ascii="Palatino Linotype" w:hAnsi="Palatino Linotype"/>
                <w:sz w:val="20"/>
                <w:szCs w:val="20"/>
              </w:rPr>
              <w:t>Regulations3(a),  (b),  (c),  (d),  4(1)  and  4(2)(a)  of  the PFUTP Regulations, 2003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457DA010" w14:textId="77777777" w:rsidR="007C6D7E" w:rsidRPr="007C6D7E" w:rsidRDefault="007C6D7E" w:rsidP="007C6D7E">
            <w:pPr>
              <w:jc w:val="right"/>
              <w:rPr>
                <w:rFonts w:ascii="Palatino Linotype" w:hAnsi="Palatino Linotype"/>
                <w:sz w:val="20"/>
                <w:szCs w:val="20"/>
              </w:rPr>
            </w:pPr>
            <w:r w:rsidRPr="007C6D7E">
              <w:rPr>
                <w:rFonts w:ascii="Palatino Linotype" w:hAnsi="Palatino Linotype"/>
                <w:sz w:val="20"/>
                <w:szCs w:val="20"/>
              </w:rPr>
              <w:t>23,00,000</w:t>
            </w:r>
          </w:p>
        </w:tc>
      </w:tr>
      <w:tr w:rsidR="007C6D7E" w:rsidRPr="00B83873" w14:paraId="00D69325" w14:textId="77777777" w:rsidTr="007C6D7E">
        <w:trPr>
          <w:trHeight w:val="300"/>
        </w:trPr>
        <w:tc>
          <w:tcPr>
            <w:tcW w:w="567" w:type="dxa"/>
            <w:tcBorders>
              <w:top w:val="single" w:sz="4" w:space="0" w:color="auto"/>
              <w:left w:val="single" w:sz="4" w:space="0" w:color="auto"/>
              <w:bottom w:val="single" w:sz="4" w:space="0" w:color="auto"/>
              <w:right w:val="single" w:sz="4" w:space="0" w:color="auto"/>
            </w:tcBorders>
          </w:tcPr>
          <w:p w14:paraId="64365F88" w14:textId="77777777" w:rsidR="007C6D7E" w:rsidRPr="007C6D7E" w:rsidRDefault="007C6D7E" w:rsidP="007C6D7E">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t>65</w:t>
            </w:r>
          </w:p>
        </w:tc>
        <w:tc>
          <w:tcPr>
            <w:tcW w:w="1276" w:type="dxa"/>
            <w:tcBorders>
              <w:top w:val="single" w:sz="4" w:space="0" w:color="auto"/>
              <w:bottom w:val="single" w:sz="4" w:space="0" w:color="auto"/>
              <w:right w:val="single" w:sz="4" w:space="0" w:color="auto"/>
            </w:tcBorders>
            <w:shd w:val="clear" w:color="auto" w:fill="auto"/>
            <w:noWrap/>
          </w:tcPr>
          <w:p w14:paraId="14FBE091"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14/06/2021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1DE2CD54"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Dealings in Illiquid Stock Options at the BSE</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20EBE144"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142DA7B3"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Mehta Finstock Private Limited</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6874822" w14:textId="77777777" w:rsidR="007C6D7E" w:rsidRPr="007C6D7E" w:rsidRDefault="007C6D7E" w:rsidP="007C6D7E">
            <w:pPr>
              <w:shd w:val="clear" w:color="auto" w:fill="FFFFFF"/>
              <w:jc w:val="both"/>
              <w:rPr>
                <w:rFonts w:ascii="Palatino Linotype" w:hAnsi="Palatino Linotype"/>
                <w:sz w:val="20"/>
                <w:szCs w:val="20"/>
              </w:rPr>
            </w:pPr>
            <w:r w:rsidRPr="007C6D7E">
              <w:rPr>
                <w:rFonts w:ascii="Palatino Linotype" w:hAnsi="Palatino Linotype"/>
                <w:sz w:val="20"/>
                <w:szCs w:val="20"/>
              </w:rPr>
              <w:t>Regulations3(a), (b), (c), (d), 4(1) and 4(2)(a) of the PFUTP Regulations, 2003.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7EE70C7A" w14:textId="77777777" w:rsidR="007C6D7E" w:rsidRPr="007C6D7E" w:rsidRDefault="007C6D7E" w:rsidP="007C6D7E">
            <w:pPr>
              <w:jc w:val="right"/>
              <w:rPr>
                <w:rFonts w:ascii="Palatino Linotype" w:hAnsi="Palatino Linotype"/>
                <w:sz w:val="20"/>
                <w:szCs w:val="20"/>
              </w:rPr>
            </w:pPr>
            <w:r w:rsidRPr="007C6D7E">
              <w:rPr>
                <w:rFonts w:ascii="Palatino Linotype" w:hAnsi="Palatino Linotype"/>
                <w:sz w:val="20"/>
                <w:szCs w:val="20"/>
              </w:rPr>
              <w:t>5,00,000</w:t>
            </w:r>
          </w:p>
        </w:tc>
      </w:tr>
      <w:tr w:rsidR="007C6D7E" w:rsidRPr="00B83873" w14:paraId="786F9514" w14:textId="77777777" w:rsidTr="007C6D7E">
        <w:trPr>
          <w:trHeight w:val="300"/>
        </w:trPr>
        <w:tc>
          <w:tcPr>
            <w:tcW w:w="567" w:type="dxa"/>
            <w:tcBorders>
              <w:top w:val="single" w:sz="4" w:space="0" w:color="auto"/>
              <w:left w:val="single" w:sz="4" w:space="0" w:color="auto"/>
              <w:bottom w:val="single" w:sz="4" w:space="0" w:color="auto"/>
              <w:right w:val="single" w:sz="4" w:space="0" w:color="auto"/>
            </w:tcBorders>
          </w:tcPr>
          <w:p w14:paraId="42D7986E" w14:textId="77777777" w:rsidR="007C6D7E" w:rsidRPr="007C6D7E" w:rsidRDefault="007C6D7E" w:rsidP="007C6D7E">
            <w:pPr>
              <w:jc w:val="both"/>
              <w:rPr>
                <w:rFonts w:ascii="Palatino Linotype" w:hAnsi="Palatino Linotype"/>
                <w:color w:val="000000"/>
                <w:sz w:val="20"/>
                <w:szCs w:val="20"/>
                <w:lang w:val="en-IN" w:eastAsia="en-IN" w:bidi="hi-IN"/>
              </w:rPr>
            </w:pPr>
          </w:p>
        </w:tc>
        <w:tc>
          <w:tcPr>
            <w:tcW w:w="1276" w:type="dxa"/>
            <w:tcBorders>
              <w:top w:val="single" w:sz="4" w:space="0" w:color="auto"/>
              <w:bottom w:val="single" w:sz="4" w:space="0" w:color="auto"/>
              <w:right w:val="single" w:sz="4" w:space="0" w:color="auto"/>
            </w:tcBorders>
            <w:shd w:val="clear" w:color="auto" w:fill="auto"/>
            <w:noWrap/>
          </w:tcPr>
          <w:p w14:paraId="63FF9152"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14/06/2021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5E76E887"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Dealings in Illiquid Stock Options at the BSE</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12C378E9"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70022B67"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Manoj Choraria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E48076E" w14:textId="77777777" w:rsidR="007C6D7E" w:rsidRPr="007C6D7E" w:rsidRDefault="007C6D7E" w:rsidP="007C6D7E">
            <w:pPr>
              <w:shd w:val="clear" w:color="auto" w:fill="FFFFFF"/>
              <w:jc w:val="both"/>
              <w:rPr>
                <w:rFonts w:ascii="Palatino Linotype" w:hAnsi="Palatino Linotype"/>
                <w:sz w:val="20"/>
                <w:szCs w:val="20"/>
              </w:rPr>
            </w:pPr>
            <w:r w:rsidRPr="007C6D7E">
              <w:rPr>
                <w:rFonts w:ascii="Palatino Linotype" w:hAnsi="Palatino Linotype"/>
                <w:sz w:val="20"/>
                <w:szCs w:val="20"/>
              </w:rPr>
              <w:t>Regulations3(a), (b), (c), (d), 4(1) and 4(2)(a) of the PFUTP Regulations, 2003.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4C51C7EC" w14:textId="77777777" w:rsidR="007C6D7E" w:rsidRPr="007C6D7E" w:rsidRDefault="007C6D7E" w:rsidP="007C6D7E">
            <w:pPr>
              <w:jc w:val="right"/>
              <w:rPr>
                <w:rFonts w:ascii="Palatino Linotype" w:hAnsi="Palatino Linotype"/>
                <w:sz w:val="20"/>
                <w:szCs w:val="20"/>
              </w:rPr>
            </w:pPr>
            <w:r w:rsidRPr="007C6D7E">
              <w:rPr>
                <w:rFonts w:ascii="Palatino Linotype" w:hAnsi="Palatino Linotype"/>
                <w:sz w:val="20"/>
                <w:szCs w:val="20"/>
              </w:rPr>
              <w:t>7,00,000</w:t>
            </w:r>
          </w:p>
        </w:tc>
      </w:tr>
      <w:tr w:rsidR="007C6D7E" w:rsidRPr="00B83873" w14:paraId="60969FB7" w14:textId="77777777" w:rsidTr="007C6D7E">
        <w:trPr>
          <w:trHeight w:val="300"/>
        </w:trPr>
        <w:tc>
          <w:tcPr>
            <w:tcW w:w="567" w:type="dxa"/>
            <w:tcBorders>
              <w:top w:val="single" w:sz="4" w:space="0" w:color="auto"/>
              <w:left w:val="single" w:sz="4" w:space="0" w:color="auto"/>
              <w:bottom w:val="single" w:sz="4" w:space="0" w:color="auto"/>
              <w:right w:val="single" w:sz="4" w:space="0" w:color="auto"/>
            </w:tcBorders>
          </w:tcPr>
          <w:p w14:paraId="6BB71321" w14:textId="77777777" w:rsidR="007C6D7E" w:rsidRPr="007C6D7E" w:rsidRDefault="007C6D7E" w:rsidP="007C6D7E">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t>66</w:t>
            </w:r>
          </w:p>
        </w:tc>
        <w:tc>
          <w:tcPr>
            <w:tcW w:w="1276" w:type="dxa"/>
            <w:tcBorders>
              <w:top w:val="single" w:sz="4" w:space="0" w:color="auto"/>
              <w:bottom w:val="single" w:sz="4" w:space="0" w:color="auto"/>
              <w:right w:val="single" w:sz="4" w:space="0" w:color="auto"/>
            </w:tcBorders>
            <w:shd w:val="clear" w:color="auto" w:fill="auto"/>
            <w:noWrap/>
          </w:tcPr>
          <w:p w14:paraId="6965C45C"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14/06/2021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002AE281"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Inspection of Six debt schemes of Franklin Templeton Mutual Fund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0840239E"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1FA31315"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Jayaram S Iyer</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E1FD4B3" w14:textId="77777777" w:rsidR="007C6D7E" w:rsidRPr="007C6D7E" w:rsidRDefault="007C6D7E" w:rsidP="007C6D7E">
            <w:pPr>
              <w:shd w:val="clear" w:color="auto" w:fill="FFFFFF"/>
              <w:jc w:val="both"/>
              <w:rPr>
                <w:rFonts w:ascii="Palatino Linotype" w:hAnsi="Palatino Linotype"/>
                <w:sz w:val="20"/>
                <w:szCs w:val="20"/>
              </w:rPr>
            </w:pPr>
            <w:r w:rsidRPr="007C6D7E">
              <w:rPr>
                <w:rFonts w:ascii="Palatino Linotype" w:hAnsi="Palatino Linotype"/>
                <w:sz w:val="20"/>
                <w:szCs w:val="20"/>
              </w:rPr>
              <w:t>Section12A(e) of SEBI  Act  and  Regulations 4(1) of  the  SEBI  (PFUTP) Regulations  2003.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362FBDF1" w14:textId="77777777" w:rsidR="007C6D7E" w:rsidRPr="007C6D7E" w:rsidRDefault="007C6D7E" w:rsidP="007C6D7E">
            <w:pPr>
              <w:jc w:val="right"/>
              <w:rPr>
                <w:rFonts w:ascii="Palatino Linotype" w:hAnsi="Palatino Linotype"/>
                <w:sz w:val="20"/>
                <w:szCs w:val="20"/>
              </w:rPr>
            </w:pPr>
            <w:r w:rsidRPr="007C6D7E">
              <w:rPr>
                <w:rFonts w:ascii="Palatino Linotype" w:hAnsi="Palatino Linotype"/>
                <w:sz w:val="20"/>
                <w:szCs w:val="20"/>
              </w:rPr>
              <w:t>25,00,000</w:t>
            </w:r>
          </w:p>
        </w:tc>
      </w:tr>
      <w:tr w:rsidR="007C6D7E" w:rsidRPr="00B83873" w14:paraId="49C54452" w14:textId="77777777" w:rsidTr="007C6D7E">
        <w:trPr>
          <w:trHeight w:val="300"/>
        </w:trPr>
        <w:tc>
          <w:tcPr>
            <w:tcW w:w="567" w:type="dxa"/>
            <w:tcBorders>
              <w:top w:val="single" w:sz="4" w:space="0" w:color="auto"/>
              <w:left w:val="single" w:sz="4" w:space="0" w:color="auto"/>
              <w:bottom w:val="single" w:sz="4" w:space="0" w:color="auto"/>
              <w:right w:val="single" w:sz="4" w:space="0" w:color="auto"/>
            </w:tcBorders>
          </w:tcPr>
          <w:p w14:paraId="0D7A0F2B" w14:textId="77777777" w:rsidR="007C6D7E" w:rsidRPr="007C6D7E" w:rsidRDefault="007C6D7E" w:rsidP="007C6D7E">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t>67</w:t>
            </w:r>
          </w:p>
        </w:tc>
        <w:tc>
          <w:tcPr>
            <w:tcW w:w="1276" w:type="dxa"/>
            <w:tcBorders>
              <w:top w:val="single" w:sz="4" w:space="0" w:color="auto"/>
              <w:bottom w:val="single" w:sz="4" w:space="0" w:color="auto"/>
              <w:right w:val="single" w:sz="4" w:space="0" w:color="auto"/>
            </w:tcBorders>
            <w:shd w:val="clear" w:color="auto" w:fill="auto"/>
            <w:noWrap/>
          </w:tcPr>
          <w:p w14:paraId="1EA49660"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14/06/2021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2B29ABBB"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Franklin Templeton Mutual Fund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78ADEA04"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42F7876D"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Franklin Templeton Trustee    Services    Pvt. Ltd and 8 Others</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D1330B3" w14:textId="77777777" w:rsidR="007C6D7E" w:rsidRPr="007C6D7E" w:rsidRDefault="007C6D7E" w:rsidP="007C6D7E">
            <w:pPr>
              <w:shd w:val="clear" w:color="auto" w:fill="FFFFFF"/>
              <w:jc w:val="both"/>
              <w:rPr>
                <w:rFonts w:ascii="Palatino Linotype" w:hAnsi="Palatino Linotype"/>
                <w:sz w:val="20"/>
                <w:szCs w:val="20"/>
              </w:rPr>
            </w:pPr>
            <w:r w:rsidRPr="007C6D7E">
              <w:rPr>
                <w:rFonts w:ascii="Palatino Linotype" w:hAnsi="Palatino Linotype"/>
                <w:sz w:val="20"/>
                <w:szCs w:val="20"/>
              </w:rPr>
              <w:t xml:space="preserve">SEBI Circular no. SEBI/HO/IMD/DF3/CIR/P/2017/114 dated October 06, 2017 </w:t>
            </w:r>
          </w:p>
          <w:p w14:paraId="543FFD2C" w14:textId="77777777" w:rsidR="007C6D7E" w:rsidRPr="007C6D7E" w:rsidRDefault="007C6D7E" w:rsidP="007C6D7E">
            <w:pPr>
              <w:shd w:val="clear" w:color="auto" w:fill="FFFFFF"/>
              <w:jc w:val="both"/>
              <w:rPr>
                <w:rFonts w:ascii="Palatino Linotype" w:hAnsi="Palatino Linotype"/>
                <w:sz w:val="20"/>
                <w:szCs w:val="20"/>
              </w:rPr>
            </w:pPr>
          </w:p>
          <w:p w14:paraId="35E05907" w14:textId="77777777" w:rsidR="007C6D7E" w:rsidRPr="007C6D7E" w:rsidRDefault="007C6D7E" w:rsidP="007C6D7E">
            <w:pPr>
              <w:shd w:val="clear" w:color="auto" w:fill="FFFFFF"/>
              <w:jc w:val="both"/>
              <w:rPr>
                <w:rFonts w:ascii="Palatino Linotype" w:hAnsi="Palatino Linotype"/>
                <w:sz w:val="20"/>
                <w:szCs w:val="20"/>
              </w:rPr>
            </w:pPr>
            <w:r w:rsidRPr="007C6D7E">
              <w:rPr>
                <w:rFonts w:ascii="Palatino Linotype" w:hAnsi="Palatino Linotype"/>
                <w:sz w:val="20"/>
                <w:szCs w:val="20"/>
              </w:rPr>
              <w:lastRenderedPageBreak/>
              <w:t>SEBI Circular no. SEBI/HO/IMD/DF3/CIR/P/2017/126 dated December 04, 2017</w:t>
            </w:r>
          </w:p>
          <w:p w14:paraId="7AC4256D" w14:textId="77777777" w:rsidR="007C6D7E" w:rsidRPr="007C6D7E" w:rsidRDefault="007C6D7E" w:rsidP="007C6D7E">
            <w:pPr>
              <w:shd w:val="clear" w:color="auto" w:fill="FFFFFF"/>
              <w:jc w:val="both"/>
              <w:rPr>
                <w:rFonts w:ascii="Palatino Linotype" w:hAnsi="Palatino Linotype"/>
                <w:sz w:val="20"/>
                <w:szCs w:val="20"/>
              </w:rPr>
            </w:pPr>
          </w:p>
          <w:p w14:paraId="51DCB62A" w14:textId="77777777" w:rsidR="007C6D7E" w:rsidRPr="007C6D7E" w:rsidRDefault="007C6D7E" w:rsidP="007C6D7E">
            <w:pPr>
              <w:shd w:val="clear" w:color="auto" w:fill="FFFFFF"/>
              <w:jc w:val="both"/>
              <w:rPr>
                <w:rFonts w:ascii="Palatino Linotype" w:hAnsi="Palatino Linotype"/>
                <w:sz w:val="20"/>
                <w:szCs w:val="20"/>
              </w:rPr>
            </w:pPr>
            <w:r w:rsidRPr="007C6D7E">
              <w:rPr>
                <w:rFonts w:ascii="Palatino Linotype" w:hAnsi="Palatino Linotype"/>
                <w:sz w:val="20"/>
                <w:szCs w:val="20"/>
              </w:rPr>
              <w:t xml:space="preserve">SEBI Circular no. MFD/CIR/6/73/2000 dated July 27, 2000 </w:t>
            </w:r>
          </w:p>
          <w:p w14:paraId="1B4554EF" w14:textId="77777777" w:rsidR="007C6D7E" w:rsidRPr="007C6D7E" w:rsidRDefault="007C6D7E" w:rsidP="007C6D7E">
            <w:pPr>
              <w:shd w:val="clear" w:color="auto" w:fill="FFFFFF"/>
              <w:jc w:val="both"/>
              <w:rPr>
                <w:rFonts w:ascii="Palatino Linotype" w:hAnsi="Palatino Linotype"/>
                <w:sz w:val="20"/>
                <w:szCs w:val="20"/>
              </w:rPr>
            </w:pPr>
          </w:p>
          <w:p w14:paraId="4DD808F9" w14:textId="77777777" w:rsidR="007C6D7E" w:rsidRPr="007C6D7E" w:rsidRDefault="007C6D7E" w:rsidP="007C6D7E">
            <w:pPr>
              <w:shd w:val="clear" w:color="auto" w:fill="FFFFFF"/>
              <w:jc w:val="both"/>
              <w:rPr>
                <w:rFonts w:ascii="Palatino Linotype" w:hAnsi="Palatino Linotype"/>
                <w:sz w:val="20"/>
                <w:szCs w:val="20"/>
              </w:rPr>
            </w:pPr>
            <w:r w:rsidRPr="007C6D7E">
              <w:rPr>
                <w:rFonts w:ascii="Palatino Linotype" w:hAnsi="Palatino Linotype"/>
                <w:sz w:val="20"/>
                <w:szCs w:val="20"/>
              </w:rPr>
              <w:t>Regulation 25 (6A) of SEBI (Mutual Funds) Regulations, 1996</w:t>
            </w:r>
          </w:p>
          <w:p w14:paraId="73DD227A" w14:textId="77777777" w:rsidR="007C6D7E" w:rsidRPr="007C6D7E" w:rsidRDefault="007C6D7E" w:rsidP="007C6D7E">
            <w:pPr>
              <w:shd w:val="clear" w:color="auto" w:fill="FFFFFF"/>
              <w:jc w:val="both"/>
              <w:rPr>
                <w:rFonts w:ascii="Palatino Linotype" w:hAnsi="Palatino Linotype"/>
                <w:sz w:val="20"/>
                <w:szCs w:val="20"/>
              </w:rPr>
            </w:pPr>
          </w:p>
          <w:p w14:paraId="0580A35A" w14:textId="77777777" w:rsidR="007C6D7E" w:rsidRPr="007C6D7E" w:rsidRDefault="007C6D7E" w:rsidP="007C6D7E">
            <w:pPr>
              <w:shd w:val="clear" w:color="auto" w:fill="FFFFFF"/>
              <w:jc w:val="both"/>
              <w:rPr>
                <w:rFonts w:ascii="Palatino Linotype" w:hAnsi="Palatino Linotype"/>
                <w:sz w:val="20"/>
                <w:szCs w:val="20"/>
              </w:rPr>
            </w:pPr>
            <w:r w:rsidRPr="007C6D7E">
              <w:rPr>
                <w:rFonts w:ascii="Palatino Linotype" w:hAnsi="Palatino Linotype"/>
                <w:sz w:val="20"/>
                <w:szCs w:val="20"/>
              </w:rPr>
              <w:t>Clause 9.1.1 of SEBI Circular no.  SEBI/HO/IMD/DF4/CIR/P/2019/102 dated September 24, 2019</w:t>
            </w:r>
          </w:p>
          <w:p w14:paraId="33075F14" w14:textId="77777777" w:rsidR="007C6D7E" w:rsidRPr="007C6D7E" w:rsidRDefault="007C6D7E" w:rsidP="007C6D7E">
            <w:pPr>
              <w:shd w:val="clear" w:color="auto" w:fill="FFFFFF"/>
              <w:jc w:val="both"/>
              <w:rPr>
                <w:rFonts w:ascii="Palatino Linotype" w:hAnsi="Palatino Linotype"/>
                <w:sz w:val="20"/>
                <w:szCs w:val="20"/>
              </w:rPr>
            </w:pPr>
          </w:p>
          <w:p w14:paraId="3CD762A0" w14:textId="77777777" w:rsidR="007C6D7E" w:rsidRPr="007C6D7E" w:rsidRDefault="007C6D7E" w:rsidP="007C6D7E">
            <w:pPr>
              <w:shd w:val="clear" w:color="auto" w:fill="FFFFFF"/>
              <w:jc w:val="both"/>
              <w:rPr>
                <w:rFonts w:ascii="Palatino Linotype" w:hAnsi="Palatino Linotype"/>
                <w:sz w:val="20"/>
                <w:szCs w:val="20"/>
              </w:rPr>
            </w:pPr>
            <w:r w:rsidRPr="007C6D7E">
              <w:rPr>
                <w:rFonts w:ascii="Palatino Linotype" w:hAnsi="Palatino Linotype"/>
                <w:sz w:val="20"/>
                <w:szCs w:val="20"/>
              </w:rPr>
              <w:t xml:space="preserve">SEBI Circular no. </w:t>
            </w:r>
          </w:p>
          <w:p w14:paraId="2DEF5E3B" w14:textId="77777777" w:rsidR="007C6D7E" w:rsidRPr="007C6D7E" w:rsidRDefault="007C6D7E" w:rsidP="007C6D7E">
            <w:pPr>
              <w:shd w:val="clear" w:color="auto" w:fill="FFFFFF"/>
              <w:jc w:val="both"/>
              <w:rPr>
                <w:rFonts w:ascii="Palatino Linotype" w:hAnsi="Palatino Linotype"/>
                <w:sz w:val="20"/>
                <w:szCs w:val="20"/>
              </w:rPr>
            </w:pPr>
            <w:r w:rsidRPr="007C6D7E">
              <w:rPr>
                <w:rFonts w:ascii="Palatino Linotype" w:hAnsi="Palatino Linotype"/>
                <w:sz w:val="20"/>
                <w:szCs w:val="20"/>
              </w:rPr>
              <w:t xml:space="preserve">CIR/IMD/DF/21/2012 </w:t>
            </w:r>
          </w:p>
          <w:p w14:paraId="52FEC98F" w14:textId="77777777" w:rsidR="007C6D7E" w:rsidRPr="007C6D7E" w:rsidRDefault="007C6D7E" w:rsidP="007C6D7E">
            <w:pPr>
              <w:shd w:val="clear" w:color="auto" w:fill="FFFFFF"/>
              <w:jc w:val="both"/>
              <w:rPr>
                <w:rFonts w:ascii="Palatino Linotype" w:hAnsi="Palatino Linotype"/>
                <w:sz w:val="20"/>
                <w:szCs w:val="20"/>
              </w:rPr>
            </w:pPr>
            <w:r w:rsidRPr="007C6D7E">
              <w:rPr>
                <w:rFonts w:ascii="Palatino Linotype" w:hAnsi="Palatino Linotype"/>
                <w:sz w:val="20"/>
                <w:szCs w:val="20"/>
              </w:rPr>
              <w:t>dated September 13, 2012</w:t>
            </w:r>
          </w:p>
          <w:p w14:paraId="138761C5" w14:textId="77777777" w:rsidR="007C6D7E" w:rsidRPr="007C6D7E" w:rsidRDefault="007C6D7E" w:rsidP="007C6D7E">
            <w:pPr>
              <w:shd w:val="clear" w:color="auto" w:fill="FFFFFF"/>
              <w:jc w:val="both"/>
              <w:rPr>
                <w:rFonts w:ascii="Palatino Linotype" w:hAnsi="Palatino Linotype"/>
                <w:sz w:val="20"/>
                <w:szCs w:val="20"/>
              </w:rPr>
            </w:pPr>
          </w:p>
          <w:p w14:paraId="4BBE8ED8" w14:textId="77777777" w:rsidR="007C6D7E" w:rsidRPr="007C6D7E" w:rsidRDefault="007C6D7E" w:rsidP="007C6D7E">
            <w:pPr>
              <w:shd w:val="clear" w:color="auto" w:fill="FFFFFF"/>
              <w:jc w:val="both"/>
              <w:rPr>
                <w:rFonts w:ascii="Palatino Linotype" w:hAnsi="Palatino Linotype"/>
                <w:sz w:val="20"/>
                <w:szCs w:val="20"/>
              </w:rPr>
            </w:pPr>
            <w:r w:rsidRPr="007C6D7E">
              <w:rPr>
                <w:rFonts w:ascii="Palatino Linotype" w:hAnsi="Palatino Linotype"/>
                <w:sz w:val="20"/>
                <w:szCs w:val="20"/>
              </w:rPr>
              <w:t>Regulation 18 (7), 18 (8), 18 (9), 18 (22), 44 (3) and clause (2), (6), (8), (9)   of   the   Code   of   Conduct   as specified in the Fifth Schedule to the SEBI  (Mutual  Funds)  Regulations, 1996</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687ACADC" w14:textId="77777777" w:rsidR="007C6D7E" w:rsidRPr="007C6D7E" w:rsidRDefault="007C6D7E" w:rsidP="007C6D7E">
            <w:pPr>
              <w:jc w:val="right"/>
              <w:rPr>
                <w:rFonts w:ascii="Palatino Linotype" w:hAnsi="Palatino Linotype"/>
                <w:sz w:val="20"/>
                <w:szCs w:val="20"/>
              </w:rPr>
            </w:pPr>
            <w:r w:rsidRPr="007C6D7E">
              <w:rPr>
                <w:rFonts w:ascii="Palatino Linotype" w:hAnsi="Palatino Linotype"/>
                <w:sz w:val="20"/>
                <w:szCs w:val="20"/>
              </w:rPr>
              <w:lastRenderedPageBreak/>
              <w:t>15,00,00,000</w:t>
            </w:r>
          </w:p>
        </w:tc>
      </w:tr>
      <w:tr w:rsidR="007C6D7E" w:rsidRPr="00B83873" w14:paraId="64A762F3" w14:textId="77777777" w:rsidTr="007C6D7E">
        <w:trPr>
          <w:trHeight w:val="300"/>
        </w:trPr>
        <w:tc>
          <w:tcPr>
            <w:tcW w:w="567" w:type="dxa"/>
            <w:tcBorders>
              <w:top w:val="single" w:sz="4" w:space="0" w:color="auto"/>
              <w:left w:val="single" w:sz="4" w:space="0" w:color="auto"/>
              <w:bottom w:val="single" w:sz="4" w:space="0" w:color="auto"/>
              <w:right w:val="single" w:sz="4" w:space="0" w:color="auto"/>
            </w:tcBorders>
          </w:tcPr>
          <w:p w14:paraId="2FDAD4EF" w14:textId="77777777" w:rsidR="007C6D7E" w:rsidRPr="007C6D7E" w:rsidRDefault="007C6D7E" w:rsidP="007C6D7E">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lastRenderedPageBreak/>
              <w:t>68</w:t>
            </w:r>
          </w:p>
        </w:tc>
        <w:tc>
          <w:tcPr>
            <w:tcW w:w="1276" w:type="dxa"/>
            <w:tcBorders>
              <w:top w:val="single" w:sz="4" w:space="0" w:color="auto"/>
              <w:bottom w:val="single" w:sz="4" w:space="0" w:color="auto"/>
              <w:right w:val="single" w:sz="4" w:space="0" w:color="auto"/>
            </w:tcBorders>
            <w:shd w:val="clear" w:color="auto" w:fill="auto"/>
            <w:noWrap/>
          </w:tcPr>
          <w:p w14:paraId="792791D0"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15/06/2021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7E11D337"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IKM Investors Private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0CE0F286"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2CC4B6CD"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Pramod Jain, Rahul Malik, Rochak Midha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1A5B230" w14:textId="77777777" w:rsidR="007C6D7E" w:rsidRPr="007C6D7E" w:rsidRDefault="007C6D7E" w:rsidP="007C6D7E">
            <w:pPr>
              <w:shd w:val="clear" w:color="auto" w:fill="FFFFFF"/>
              <w:jc w:val="both"/>
              <w:rPr>
                <w:rFonts w:ascii="Palatino Linotype" w:hAnsi="Palatino Linotype"/>
                <w:sz w:val="20"/>
                <w:szCs w:val="20"/>
              </w:rPr>
            </w:pPr>
            <w:r w:rsidRPr="007C6D7E">
              <w:rPr>
                <w:rFonts w:ascii="Palatino Linotype" w:hAnsi="Palatino Linotype"/>
                <w:sz w:val="20"/>
                <w:szCs w:val="20"/>
              </w:rPr>
              <w:t>Section11 C(2) and Section 11C(3) read with Section 11(2)(i) of the SEBI Act.</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1CB19B81" w14:textId="77777777" w:rsidR="007C6D7E" w:rsidRPr="007C6D7E" w:rsidRDefault="007C6D7E" w:rsidP="007C6D7E">
            <w:pPr>
              <w:jc w:val="right"/>
              <w:rPr>
                <w:rFonts w:ascii="Palatino Linotype" w:hAnsi="Palatino Linotype"/>
                <w:sz w:val="20"/>
                <w:szCs w:val="20"/>
              </w:rPr>
            </w:pPr>
            <w:r w:rsidRPr="007C6D7E">
              <w:rPr>
                <w:rFonts w:ascii="Palatino Linotype" w:hAnsi="Palatino Linotype"/>
                <w:sz w:val="20"/>
                <w:szCs w:val="20"/>
              </w:rPr>
              <w:t>1,00,000</w:t>
            </w:r>
          </w:p>
        </w:tc>
      </w:tr>
      <w:tr w:rsidR="007C6D7E" w:rsidRPr="00B83873" w14:paraId="13783CCE" w14:textId="77777777" w:rsidTr="007C6D7E">
        <w:trPr>
          <w:trHeight w:val="300"/>
        </w:trPr>
        <w:tc>
          <w:tcPr>
            <w:tcW w:w="567" w:type="dxa"/>
            <w:tcBorders>
              <w:top w:val="single" w:sz="4" w:space="0" w:color="auto"/>
              <w:left w:val="single" w:sz="4" w:space="0" w:color="auto"/>
              <w:bottom w:val="single" w:sz="4" w:space="0" w:color="auto"/>
              <w:right w:val="single" w:sz="4" w:space="0" w:color="auto"/>
            </w:tcBorders>
          </w:tcPr>
          <w:p w14:paraId="048C023C" w14:textId="77777777" w:rsidR="007C6D7E" w:rsidRPr="007C6D7E" w:rsidRDefault="007C6D7E" w:rsidP="007C6D7E">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t>69</w:t>
            </w:r>
          </w:p>
        </w:tc>
        <w:tc>
          <w:tcPr>
            <w:tcW w:w="1276" w:type="dxa"/>
            <w:tcBorders>
              <w:top w:val="single" w:sz="4" w:space="0" w:color="auto"/>
              <w:bottom w:val="single" w:sz="4" w:space="0" w:color="auto"/>
              <w:right w:val="single" w:sz="4" w:space="0" w:color="auto"/>
            </w:tcBorders>
            <w:shd w:val="clear" w:color="auto" w:fill="auto"/>
            <w:noWrap/>
          </w:tcPr>
          <w:p w14:paraId="0A3E783D"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15/06/2021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199777BB"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IKM Investors Private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62D903EB"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3A78370C"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IKM Investors Private Limited</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0E497AF" w14:textId="77777777" w:rsidR="007C6D7E" w:rsidRPr="007C6D7E" w:rsidRDefault="007C6D7E" w:rsidP="007C6D7E">
            <w:pPr>
              <w:shd w:val="clear" w:color="auto" w:fill="FFFFFF"/>
              <w:jc w:val="both"/>
              <w:rPr>
                <w:rFonts w:ascii="Palatino Linotype" w:hAnsi="Palatino Linotype"/>
                <w:sz w:val="20"/>
                <w:szCs w:val="20"/>
              </w:rPr>
            </w:pPr>
            <w:r w:rsidRPr="007C6D7E">
              <w:rPr>
                <w:rFonts w:ascii="Palatino Linotype" w:hAnsi="Palatino Linotype"/>
                <w:sz w:val="20"/>
                <w:szCs w:val="20"/>
              </w:rPr>
              <w:t xml:space="preserve">Provisions of Point 2(a) of Chapter V of NSE  bye-laws  read  with  Clause  A(2)  and  Clause  A(5)  of  the  Code  of  Conduct  specified  under Schedule II read with regulation 9(f) of the SBSB Regulations and is thus liable for monetary penalty as  provided  in Regulations  26(xvi)  and  26(xx)  of  the SEBI </w:t>
            </w:r>
            <w:r w:rsidRPr="007C6D7E">
              <w:rPr>
                <w:rFonts w:ascii="Palatino Linotype" w:hAnsi="Palatino Linotype"/>
                <w:sz w:val="20"/>
                <w:szCs w:val="20"/>
              </w:rPr>
              <w:lastRenderedPageBreak/>
              <w:t>(Stock   Brokers   and   Sub-Broker)  Regulations,  1992.</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4C9BE3A0" w14:textId="77777777" w:rsidR="007C6D7E" w:rsidRPr="007C6D7E" w:rsidRDefault="007C6D7E" w:rsidP="007C6D7E">
            <w:pPr>
              <w:jc w:val="right"/>
              <w:rPr>
                <w:rFonts w:ascii="Palatino Linotype" w:hAnsi="Palatino Linotype"/>
                <w:sz w:val="20"/>
                <w:szCs w:val="20"/>
              </w:rPr>
            </w:pPr>
            <w:r w:rsidRPr="007C6D7E">
              <w:rPr>
                <w:rFonts w:ascii="Palatino Linotype" w:hAnsi="Palatino Linotype"/>
                <w:sz w:val="20"/>
                <w:szCs w:val="20"/>
              </w:rPr>
              <w:lastRenderedPageBreak/>
              <w:t>3,00,000</w:t>
            </w:r>
          </w:p>
        </w:tc>
      </w:tr>
      <w:tr w:rsidR="007C6D7E" w:rsidRPr="00B83873" w14:paraId="283BA9FA" w14:textId="77777777" w:rsidTr="007C6D7E">
        <w:trPr>
          <w:trHeight w:val="300"/>
        </w:trPr>
        <w:tc>
          <w:tcPr>
            <w:tcW w:w="567" w:type="dxa"/>
            <w:tcBorders>
              <w:top w:val="single" w:sz="4" w:space="0" w:color="auto"/>
              <w:left w:val="single" w:sz="4" w:space="0" w:color="auto"/>
              <w:bottom w:val="single" w:sz="4" w:space="0" w:color="auto"/>
              <w:right w:val="single" w:sz="4" w:space="0" w:color="auto"/>
            </w:tcBorders>
          </w:tcPr>
          <w:p w14:paraId="06C16FD9" w14:textId="77777777" w:rsidR="007C6D7E" w:rsidRPr="007C6D7E" w:rsidRDefault="007C6D7E" w:rsidP="007C6D7E">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lastRenderedPageBreak/>
              <w:t>70</w:t>
            </w:r>
          </w:p>
        </w:tc>
        <w:tc>
          <w:tcPr>
            <w:tcW w:w="1276" w:type="dxa"/>
            <w:tcBorders>
              <w:top w:val="single" w:sz="4" w:space="0" w:color="auto"/>
              <w:bottom w:val="single" w:sz="4" w:space="0" w:color="auto"/>
              <w:right w:val="single" w:sz="4" w:space="0" w:color="auto"/>
            </w:tcBorders>
            <w:shd w:val="clear" w:color="auto" w:fill="auto"/>
            <w:noWrap/>
          </w:tcPr>
          <w:p w14:paraId="45EC9679"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15/06/2021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2055741B"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Ashapura Intimates Fashion Ltd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0953E29D"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72295A5A"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Bhoomi Mewada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77C2D2D" w14:textId="77777777" w:rsidR="007C6D7E" w:rsidRPr="007C6D7E" w:rsidRDefault="007C6D7E" w:rsidP="007C6D7E">
            <w:pPr>
              <w:shd w:val="clear" w:color="auto" w:fill="FFFFFF"/>
              <w:jc w:val="both"/>
              <w:rPr>
                <w:rFonts w:ascii="Palatino Linotype" w:hAnsi="Palatino Linotype"/>
                <w:sz w:val="20"/>
                <w:szCs w:val="20"/>
              </w:rPr>
            </w:pPr>
            <w:r w:rsidRPr="007C6D7E">
              <w:rPr>
                <w:rFonts w:ascii="Palatino Linotype" w:hAnsi="Palatino Linotype"/>
                <w:sz w:val="20"/>
                <w:szCs w:val="20"/>
              </w:rPr>
              <w:t>Regulation 9(3) of the Code of Conduct under the SEBI Prohibition of (Insider Trading) Regulations, 2015</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31DDE234" w14:textId="77777777" w:rsidR="007C6D7E" w:rsidRPr="007C6D7E" w:rsidRDefault="007C6D7E" w:rsidP="007C6D7E">
            <w:pPr>
              <w:jc w:val="right"/>
              <w:rPr>
                <w:rFonts w:ascii="Palatino Linotype" w:hAnsi="Palatino Linotype"/>
                <w:sz w:val="20"/>
                <w:szCs w:val="20"/>
              </w:rPr>
            </w:pPr>
            <w:r w:rsidRPr="007C6D7E">
              <w:rPr>
                <w:rFonts w:ascii="Palatino Linotype" w:hAnsi="Palatino Linotype"/>
                <w:sz w:val="20"/>
                <w:szCs w:val="20"/>
              </w:rPr>
              <w:t>-</w:t>
            </w:r>
          </w:p>
        </w:tc>
      </w:tr>
      <w:tr w:rsidR="007C6D7E" w:rsidRPr="00B83873" w14:paraId="3C09DA08" w14:textId="77777777" w:rsidTr="007C6D7E">
        <w:trPr>
          <w:trHeight w:val="300"/>
        </w:trPr>
        <w:tc>
          <w:tcPr>
            <w:tcW w:w="567" w:type="dxa"/>
            <w:tcBorders>
              <w:top w:val="single" w:sz="4" w:space="0" w:color="auto"/>
              <w:left w:val="single" w:sz="4" w:space="0" w:color="auto"/>
              <w:bottom w:val="single" w:sz="4" w:space="0" w:color="auto"/>
              <w:right w:val="single" w:sz="4" w:space="0" w:color="auto"/>
            </w:tcBorders>
          </w:tcPr>
          <w:p w14:paraId="13F4A16F" w14:textId="77777777" w:rsidR="007C6D7E" w:rsidRPr="007C6D7E" w:rsidRDefault="007C6D7E" w:rsidP="007C6D7E">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t>71</w:t>
            </w:r>
          </w:p>
        </w:tc>
        <w:tc>
          <w:tcPr>
            <w:tcW w:w="1276" w:type="dxa"/>
            <w:tcBorders>
              <w:top w:val="single" w:sz="4" w:space="0" w:color="auto"/>
              <w:bottom w:val="single" w:sz="4" w:space="0" w:color="auto"/>
              <w:right w:val="single" w:sz="4" w:space="0" w:color="auto"/>
            </w:tcBorders>
            <w:shd w:val="clear" w:color="auto" w:fill="auto"/>
            <w:noWrap/>
          </w:tcPr>
          <w:p w14:paraId="2AE1C8FC"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15/06/2021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32E84516"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Birla Pacific Medspa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13AF3928"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4430770B"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 xml:space="preserve">N P Enterprise, Laxmi Trading. </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253ADBA" w14:textId="77777777" w:rsidR="007C6D7E" w:rsidRPr="007C6D7E" w:rsidRDefault="007C6D7E" w:rsidP="007C6D7E">
            <w:pPr>
              <w:shd w:val="clear" w:color="auto" w:fill="FFFFFF"/>
              <w:jc w:val="both"/>
              <w:rPr>
                <w:rFonts w:ascii="Palatino Linotype" w:hAnsi="Palatino Linotype"/>
                <w:sz w:val="20"/>
                <w:szCs w:val="20"/>
              </w:rPr>
            </w:pPr>
            <w:r w:rsidRPr="007C6D7E">
              <w:rPr>
                <w:rFonts w:ascii="Palatino Linotype" w:hAnsi="Palatino Linotype"/>
                <w:sz w:val="20"/>
                <w:szCs w:val="20"/>
              </w:rPr>
              <w:t>Regulations 3(a), (b), (c), (d) and 4(1) of the PFUTP Regulations read with Section 12A(a), (b) &amp; (c) of the SEBI Act</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2F3C6C0C" w14:textId="77777777" w:rsidR="007C6D7E" w:rsidRPr="007C6D7E" w:rsidRDefault="007C6D7E" w:rsidP="007C6D7E">
            <w:pPr>
              <w:jc w:val="right"/>
              <w:rPr>
                <w:rFonts w:ascii="Palatino Linotype" w:hAnsi="Palatino Linotype"/>
                <w:sz w:val="20"/>
                <w:szCs w:val="20"/>
              </w:rPr>
            </w:pPr>
            <w:r w:rsidRPr="007C6D7E">
              <w:rPr>
                <w:rFonts w:ascii="Palatino Linotype" w:hAnsi="Palatino Linotype"/>
                <w:sz w:val="20"/>
                <w:szCs w:val="20"/>
              </w:rPr>
              <w:t>5,00,000</w:t>
            </w:r>
          </w:p>
        </w:tc>
      </w:tr>
      <w:tr w:rsidR="007C6D7E" w:rsidRPr="00B83873" w14:paraId="6690A06C" w14:textId="77777777" w:rsidTr="007C6D7E">
        <w:trPr>
          <w:trHeight w:val="300"/>
        </w:trPr>
        <w:tc>
          <w:tcPr>
            <w:tcW w:w="567" w:type="dxa"/>
            <w:tcBorders>
              <w:top w:val="single" w:sz="4" w:space="0" w:color="auto"/>
              <w:left w:val="single" w:sz="4" w:space="0" w:color="auto"/>
              <w:bottom w:val="single" w:sz="4" w:space="0" w:color="auto"/>
              <w:right w:val="single" w:sz="4" w:space="0" w:color="auto"/>
            </w:tcBorders>
          </w:tcPr>
          <w:p w14:paraId="60FE3E4B" w14:textId="77777777" w:rsidR="007C6D7E" w:rsidRPr="007C6D7E" w:rsidRDefault="007C6D7E" w:rsidP="007C6D7E">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t>72</w:t>
            </w:r>
          </w:p>
        </w:tc>
        <w:tc>
          <w:tcPr>
            <w:tcW w:w="1276" w:type="dxa"/>
            <w:tcBorders>
              <w:top w:val="single" w:sz="4" w:space="0" w:color="auto"/>
              <w:bottom w:val="single" w:sz="4" w:space="0" w:color="auto"/>
              <w:right w:val="single" w:sz="4" w:space="0" w:color="auto"/>
            </w:tcBorders>
            <w:shd w:val="clear" w:color="auto" w:fill="auto"/>
            <w:noWrap/>
          </w:tcPr>
          <w:p w14:paraId="14A8B7D6"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18/06/2021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27A1587F"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RTS Power Corporation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73CCCC1C"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12BF556C"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 xml:space="preserve">Mukesh  G.  Konde and 7 Others </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13CBE77" w14:textId="77777777" w:rsidR="007C6D7E" w:rsidRPr="007C6D7E" w:rsidRDefault="007C6D7E" w:rsidP="007C6D7E">
            <w:pPr>
              <w:shd w:val="clear" w:color="auto" w:fill="FFFFFF"/>
              <w:jc w:val="both"/>
              <w:rPr>
                <w:rFonts w:ascii="Palatino Linotype" w:hAnsi="Palatino Linotype"/>
                <w:sz w:val="20"/>
                <w:szCs w:val="20"/>
              </w:rPr>
            </w:pPr>
            <w:r w:rsidRPr="007C6D7E">
              <w:rPr>
                <w:rFonts w:ascii="Palatino Linotype" w:hAnsi="Palatino Linotype"/>
                <w:sz w:val="20"/>
                <w:szCs w:val="20"/>
              </w:rPr>
              <w:t>Section 12A (b) and (c)   of   SEBI   Act, 1992 read with  Regulation 3 (a), (c) &amp; (d) and 4 (2) (a) &amp; 4(2) (g) of PFUTP, 2003 and  Section 11 C (2), (3)and (5) of the SEBI Act, 1992.</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2263B7D8" w14:textId="77777777" w:rsidR="007C6D7E" w:rsidRPr="007C6D7E" w:rsidRDefault="007C6D7E" w:rsidP="007C6D7E">
            <w:pPr>
              <w:jc w:val="right"/>
              <w:rPr>
                <w:rFonts w:ascii="Palatino Linotype" w:hAnsi="Palatino Linotype"/>
                <w:sz w:val="20"/>
                <w:szCs w:val="20"/>
              </w:rPr>
            </w:pPr>
            <w:r w:rsidRPr="007C6D7E">
              <w:rPr>
                <w:rFonts w:ascii="Palatino Linotype" w:hAnsi="Palatino Linotype"/>
                <w:sz w:val="20"/>
                <w:szCs w:val="20"/>
              </w:rPr>
              <w:t>90,00,000</w:t>
            </w:r>
          </w:p>
        </w:tc>
      </w:tr>
      <w:tr w:rsidR="007C6D7E" w:rsidRPr="00B83873" w14:paraId="725AFC0D" w14:textId="77777777" w:rsidTr="007C6D7E">
        <w:trPr>
          <w:trHeight w:val="300"/>
        </w:trPr>
        <w:tc>
          <w:tcPr>
            <w:tcW w:w="567" w:type="dxa"/>
            <w:tcBorders>
              <w:top w:val="single" w:sz="4" w:space="0" w:color="auto"/>
              <w:left w:val="single" w:sz="4" w:space="0" w:color="auto"/>
              <w:bottom w:val="single" w:sz="4" w:space="0" w:color="auto"/>
              <w:right w:val="single" w:sz="4" w:space="0" w:color="auto"/>
            </w:tcBorders>
          </w:tcPr>
          <w:p w14:paraId="55674FF6" w14:textId="77777777" w:rsidR="007C6D7E" w:rsidRPr="007C6D7E" w:rsidRDefault="007C6D7E" w:rsidP="007C6D7E">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t>73</w:t>
            </w:r>
          </w:p>
        </w:tc>
        <w:tc>
          <w:tcPr>
            <w:tcW w:w="1276" w:type="dxa"/>
            <w:tcBorders>
              <w:top w:val="single" w:sz="4" w:space="0" w:color="auto"/>
              <w:bottom w:val="single" w:sz="4" w:space="0" w:color="auto"/>
              <w:right w:val="single" w:sz="4" w:space="0" w:color="auto"/>
            </w:tcBorders>
            <w:shd w:val="clear" w:color="auto" w:fill="auto"/>
            <w:noWrap/>
          </w:tcPr>
          <w:p w14:paraId="77736C73" w14:textId="77777777" w:rsidR="007C6D7E" w:rsidRPr="007C6D7E" w:rsidRDefault="007C6D7E" w:rsidP="007C6D7E">
            <w:pPr>
              <w:jc w:val="both"/>
              <w:rPr>
                <w:rFonts w:ascii="Palatino Linotype" w:eastAsia="Calibri" w:hAnsi="Palatino Linotype"/>
                <w:sz w:val="20"/>
                <w:szCs w:val="20"/>
                <w:lang w:val="en-IN"/>
              </w:rPr>
            </w:pPr>
            <w:r w:rsidRPr="007C6D7E">
              <w:rPr>
                <w:rFonts w:ascii="Palatino Linotype" w:eastAsia="Calibri" w:hAnsi="Palatino Linotype"/>
                <w:sz w:val="20"/>
                <w:szCs w:val="20"/>
                <w:lang w:val="en-IN"/>
              </w:rPr>
              <w:t>21/06/2021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2214810C" w14:textId="77777777" w:rsidR="007C6D7E" w:rsidRPr="007C6D7E" w:rsidRDefault="007C6D7E" w:rsidP="007C6D7E">
            <w:pPr>
              <w:jc w:val="both"/>
              <w:rPr>
                <w:rFonts w:ascii="Palatino Linotype" w:eastAsia="Calibri" w:hAnsi="Palatino Linotype"/>
                <w:sz w:val="20"/>
                <w:szCs w:val="20"/>
                <w:lang w:val="en-IN"/>
              </w:rPr>
            </w:pPr>
            <w:r w:rsidRPr="007C6D7E">
              <w:rPr>
                <w:rFonts w:ascii="Palatino Linotype" w:eastAsia="Calibri" w:hAnsi="Palatino Linotype"/>
                <w:sz w:val="20"/>
                <w:szCs w:val="20"/>
                <w:lang w:val="en-IN"/>
              </w:rPr>
              <w:t>Nouveau Global Ventures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07A77A36" w14:textId="77777777" w:rsidR="007C6D7E" w:rsidRPr="007C6D7E" w:rsidRDefault="007C6D7E" w:rsidP="007C6D7E">
            <w:pPr>
              <w:jc w:val="both"/>
              <w:rPr>
                <w:rFonts w:ascii="Palatino Linotype" w:eastAsia="Calibri" w:hAnsi="Palatino Linotype"/>
                <w:sz w:val="20"/>
                <w:szCs w:val="20"/>
                <w:lang w:val="en-IN"/>
              </w:rPr>
            </w:pPr>
            <w:r w:rsidRPr="007C6D7E">
              <w:rPr>
                <w:rFonts w:ascii="Palatino Linotype" w:eastAsia="Calibri" w:hAnsi="Palatino Linotype"/>
                <w:sz w:val="20"/>
                <w:szCs w:val="20"/>
                <w:lang w:val="en-IN"/>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3F081CB8" w14:textId="77777777" w:rsidR="007C6D7E" w:rsidRPr="007C6D7E" w:rsidRDefault="007C6D7E" w:rsidP="007C6D7E">
            <w:pPr>
              <w:jc w:val="both"/>
              <w:rPr>
                <w:rFonts w:ascii="Palatino Linotype" w:eastAsia="Calibri" w:hAnsi="Palatino Linotype"/>
                <w:sz w:val="20"/>
                <w:szCs w:val="20"/>
                <w:lang w:val="en-IN"/>
              </w:rPr>
            </w:pPr>
            <w:r w:rsidRPr="007C6D7E">
              <w:rPr>
                <w:rFonts w:ascii="Palatino Linotype" w:eastAsia="Calibri" w:hAnsi="Palatino Linotype"/>
                <w:sz w:val="20"/>
                <w:szCs w:val="20"/>
                <w:lang w:val="en-IN"/>
              </w:rPr>
              <w:t>Kasturi Overseas  Private Limited</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542940A" w14:textId="77777777" w:rsidR="007C6D7E" w:rsidRPr="007C6D7E" w:rsidRDefault="007C6D7E" w:rsidP="007C6D7E">
            <w:pPr>
              <w:shd w:val="clear" w:color="auto" w:fill="FFFFFF"/>
              <w:jc w:val="both"/>
              <w:rPr>
                <w:rFonts w:ascii="Palatino Linotype" w:eastAsia="Calibri" w:hAnsi="Palatino Linotype"/>
                <w:sz w:val="20"/>
                <w:szCs w:val="20"/>
                <w:lang w:val="en-IN"/>
              </w:rPr>
            </w:pPr>
            <w:r w:rsidRPr="007C6D7E">
              <w:rPr>
                <w:rFonts w:ascii="Palatino Linotype" w:eastAsia="Calibri" w:hAnsi="Palatino Linotype"/>
                <w:sz w:val="20"/>
                <w:szCs w:val="20"/>
                <w:lang w:val="en-IN"/>
              </w:rPr>
              <w:t>Regulation13(1), 13(3) read with Regulation 13(5), Regulation 13(4A) read with Regulation  13(5) of SEBI (Prohibition of Insider Trading) Regulations (PIT Regulations), 1992, Regulation 29(1) read with Regulation 29(3), Regulation 29(2) read with 29(3) of SEBI  (Substantial Acquisition  of  Shares  and  Takeovers)  Regulations, 2011 (SAST Regulations)</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56360B43" w14:textId="77777777" w:rsidR="007C6D7E" w:rsidRPr="007C6D7E" w:rsidRDefault="007C6D7E" w:rsidP="007C6D7E">
            <w:pPr>
              <w:jc w:val="right"/>
              <w:rPr>
                <w:rFonts w:ascii="Palatino Linotype" w:eastAsia="Calibri" w:hAnsi="Palatino Linotype"/>
                <w:sz w:val="20"/>
                <w:szCs w:val="20"/>
                <w:lang w:val="en-IN"/>
              </w:rPr>
            </w:pPr>
            <w:r w:rsidRPr="007C6D7E">
              <w:rPr>
                <w:rFonts w:ascii="Palatino Linotype" w:eastAsia="Calibri" w:hAnsi="Palatino Linotype"/>
                <w:sz w:val="20"/>
                <w:szCs w:val="20"/>
                <w:lang w:val="en-IN"/>
              </w:rPr>
              <w:t>3,00,000</w:t>
            </w:r>
          </w:p>
        </w:tc>
      </w:tr>
      <w:tr w:rsidR="007C6D7E" w:rsidRPr="00B83873" w14:paraId="2486D96A" w14:textId="77777777" w:rsidTr="007C6D7E">
        <w:trPr>
          <w:trHeight w:val="300"/>
        </w:trPr>
        <w:tc>
          <w:tcPr>
            <w:tcW w:w="567" w:type="dxa"/>
            <w:tcBorders>
              <w:top w:val="single" w:sz="4" w:space="0" w:color="auto"/>
              <w:left w:val="single" w:sz="4" w:space="0" w:color="auto"/>
              <w:bottom w:val="single" w:sz="4" w:space="0" w:color="auto"/>
              <w:right w:val="single" w:sz="4" w:space="0" w:color="auto"/>
            </w:tcBorders>
          </w:tcPr>
          <w:p w14:paraId="27848273" w14:textId="77777777" w:rsidR="007C6D7E" w:rsidRPr="007C6D7E" w:rsidRDefault="007C6D7E" w:rsidP="007C6D7E">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t>74</w:t>
            </w:r>
          </w:p>
        </w:tc>
        <w:tc>
          <w:tcPr>
            <w:tcW w:w="1276" w:type="dxa"/>
            <w:tcBorders>
              <w:top w:val="single" w:sz="4" w:space="0" w:color="auto"/>
              <w:bottom w:val="single" w:sz="4" w:space="0" w:color="auto"/>
              <w:right w:val="single" w:sz="4" w:space="0" w:color="auto"/>
            </w:tcBorders>
            <w:shd w:val="clear" w:color="auto" w:fill="auto"/>
            <w:noWrap/>
          </w:tcPr>
          <w:p w14:paraId="218D35D8" w14:textId="77777777" w:rsidR="007C6D7E" w:rsidRPr="007C6D7E" w:rsidRDefault="007C6D7E" w:rsidP="007C6D7E">
            <w:pPr>
              <w:jc w:val="both"/>
              <w:rPr>
                <w:rFonts w:ascii="Palatino Linotype" w:eastAsia="Calibri" w:hAnsi="Palatino Linotype"/>
                <w:sz w:val="20"/>
                <w:szCs w:val="20"/>
                <w:lang w:val="en-IN"/>
              </w:rPr>
            </w:pPr>
            <w:r w:rsidRPr="007C6D7E">
              <w:rPr>
                <w:rFonts w:ascii="Palatino Linotype" w:eastAsia="Calibri" w:hAnsi="Palatino Linotype"/>
                <w:sz w:val="20"/>
                <w:szCs w:val="20"/>
                <w:lang w:val="en-IN"/>
              </w:rPr>
              <w:t>21/06/2021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41575E8F" w14:textId="77777777" w:rsidR="007C6D7E" w:rsidRPr="007C6D7E" w:rsidRDefault="007C6D7E" w:rsidP="007C6D7E">
            <w:pPr>
              <w:jc w:val="both"/>
              <w:rPr>
                <w:rFonts w:ascii="Palatino Linotype" w:eastAsia="Calibri" w:hAnsi="Palatino Linotype"/>
                <w:sz w:val="20"/>
                <w:szCs w:val="20"/>
                <w:lang w:val="en-IN"/>
              </w:rPr>
            </w:pPr>
            <w:r w:rsidRPr="007C6D7E">
              <w:rPr>
                <w:rFonts w:ascii="Palatino Linotype" w:eastAsia="Calibri" w:hAnsi="Palatino Linotype"/>
                <w:sz w:val="20"/>
                <w:szCs w:val="20"/>
                <w:lang w:val="en-IN"/>
              </w:rPr>
              <w:t>Nouveau Global Ventures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4FD36B8A" w14:textId="77777777" w:rsidR="007C6D7E" w:rsidRPr="007C6D7E" w:rsidRDefault="007C6D7E" w:rsidP="007C6D7E">
            <w:pPr>
              <w:jc w:val="both"/>
              <w:rPr>
                <w:rFonts w:ascii="Palatino Linotype" w:eastAsia="Calibri" w:hAnsi="Palatino Linotype"/>
                <w:sz w:val="20"/>
                <w:szCs w:val="20"/>
                <w:lang w:val="en-IN"/>
              </w:rPr>
            </w:pPr>
            <w:r w:rsidRPr="007C6D7E">
              <w:rPr>
                <w:rFonts w:ascii="Palatino Linotype" w:eastAsia="Calibri" w:hAnsi="Palatino Linotype"/>
                <w:sz w:val="20"/>
                <w:szCs w:val="20"/>
                <w:lang w:val="en-IN"/>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7CD173EE" w14:textId="77777777" w:rsidR="007C6D7E" w:rsidRPr="007C6D7E" w:rsidRDefault="007C6D7E" w:rsidP="007C6D7E">
            <w:pPr>
              <w:jc w:val="both"/>
              <w:rPr>
                <w:rFonts w:ascii="Palatino Linotype" w:eastAsia="Calibri" w:hAnsi="Palatino Linotype"/>
                <w:sz w:val="20"/>
                <w:szCs w:val="20"/>
                <w:lang w:val="en-IN"/>
              </w:rPr>
            </w:pPr>
            <w:r w:rsidRPr="007C6D7E">
              <w:rPr>
                <w:rFonts w:ascii="Palatino Linotype" w:eastAsia="Calibri" w:hAnsi="Palatino Linotype"/>
                <w:sz w:val="20"/>
                <w:szCs w:val="20"/>
                <w:lang w:val="en-IN"/>
              </w:rPr>
              <w:t>Navyug Telefilms Private Limited</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A5979C2" w14:textId="77777777" w:rsidR="007C6D7E" w:rsidRPr="007C6D7E" w:rsidRDefault="007C6D7E" w:rsidP="007C6D7E">
            <w:pPr>
              <w:shd w:val="clear" w:color="auto" w:fill="FFFFFF"/>
              <w:jc w:val="both"/>
              <w:rPr>
                <w:rFonts w:ascii="Palatino Linotype" w:eastAsia="Calibri" w:hAnsi="Palatino Linotype"/>
                <w:sz w:val="20"/>
                <w:szCs w:val="20"/>
                <w:lang w:val="en-IN"/>
              </w:rPr>
            </w:pPr>
            <w:r w:rsidRPr="007C6D7E">
              <w:rPr>
                <w:rFonts w:ascii="Palatino Linotype" w:eastAsia="Calibri" w:hAnsi="Palatino Linotype"/>
                <w:sz w:val="20"/>
                <w:szCs w:val="20"/>
                <w:lang w:val="en-IN"/>
              </w:rPr>
              <w:t xml:space="preserve">Regulation 13(1), 13(3) read with Regulation 13(5), Regulation 13(4A) read with Regulation  13(5) of PIT Regulations, 1992, Regulation 29(1) read with Regulation 29(3), Regulation 29(2) read </w:t>
            </w:r>
            <w:r w:rsidRPr="007C6D7E">
              <w:rPr>
                <w:rFonts w:ascii="Palatino Linotype" w:eastAsia="Calibri" w:hAnsi="Palatino Linotype"/>
                <w:sz w:val="20"/>
                <w:szCs w:val="20"/>
                <w:lang w:val="en-IN"/>
              </w:rPr>
              <w:lastRenderedPageBreak/>
              <w:t>with 29(3) of SAST  Regulations, 2011</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25A0CA8A" w14:textId="77777777" w:rsidR="007C6D7E" w:rsidRPr="007C6D7E" w:rsidRDefault="007C6D7E" w:rsidP="007C6D7E">
            <w:pPr>
              <w:jc w:val="right"/>
              <w:rPr>
                <w:rFonts w:ascii="Palatino Linotype" w:eastAsia="Calibri" w:hAnsi="Palatino Linotype"/>
                <w:sz w:val="20"/>
                <w:szCs w:val="20"/>
                <w:lang w:val="en-IN"/>
              </w:rPr>
            </w:pPr>
            <w:r w:rsidRPr="007C6D7E">
              <w:rPr>
                <w:rFonts w:ascii="Palatino Linotype" w:eastAsia="Calibri" w:hAnsi="Palatino Linotype"/>
                <w:sz w:val="20"/>
                <w:szCs w:val="20"/>
                <w:lang w:val="en-IN"/>
              </w:rPr>
              <w:lastRenderedPageBreak/>
              <w:t>3,00,000</w:t>
            </w:r>
          </w:p>
        </w:tc>
      </w:tr>
      <w:tr w:rsidR="007C6D7E" w:rsidRPr="00B83873" w14:paraId="32ACB7B5" w14:textId="77777777" w:rsidTr="007C6D7E">
        <w:trPr>
          <w:trHeight w:val="300"/>
        </w:trPr>
        <w:tc>
          <w:tcPr>
            <w:tcW w:w="567" w:type="dxa"/>
            <w:tcBorders>
              <w:top w:val="single" w:sz="4" w:space="0" w:color="auto"/>
              <w:left w:val="single" w:sz="4" w:space="0" w:color="auto"/>
              <w:bottom w:val="single" w:sz="4" w:space="0" w:color="auto"/>
              <w:right w:val="single" w:sz="4" w:space="0" w:color="auto"/>
            </w:tcBorders>
          </w:tcPr>
          <w:p w14:paraId="644F83B5" w14:textId="77777777" w:rsidR="007C6D7E" w:rsidRPr="007C6D7E" w:rsidRDefault="007C6D7E" w:rsidP="007C6D7E">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lastRenderedPageBreak/>
              <w:t>75</w:t>
            </w:r>
          </w:p>
        </w:tc>
        <w:tc>
          <w:tcPr>
            <w:tcW w:w="1276" w:type="dxa"/>
            <w:tcBorders>
              <w:top w:val="single" w:sz="4" w:space="0" w:color="auto"/>
              <w:bottom w:val="single" w:sz="4" w:space="0" w:color="auto"/>
              <w:right w:val="single" w:sz="4" w:space="0" w:color="auto"/>
            </w:tcBorders>
            <w:shd w:val="clear" w:color="auto" w:fill="auto"/>
            <w:noWrap/>
          </w:tcPr>
          <w:p w14:paraId="597CAC8A" w14:textId="77777777" w:rsidR="007C6D7E" w:rsidRPr="007C6D7E" w:rsidRDefault="007C6D7E" w:rsidP="007C6D7E">
            <w:pPr>
              <w:jc w:val="both"/>
              <w:rPr>
                <w:rFonts w:ascii="Palatino Linotype" w:eastAsia="Calibri" w:hAnsi="Palatino Linotype"/>
                <w:sz w:val="20"/>
                <w:szCs w:val="20"/>
                <w:lang w:val="en-IN"/>
              </w:rPr>
            </w:pPr>
            <w:r w:rsidRPr="007C6D7E">
              <w:rPr>
                <w:rFonts w:ascii="Palatino Linotype" w:eastAsia="Calibri" w:hAnsi="Palatino Linotype"/>
                <w:sz w:val="20"/>
                <w:szCs w:val="20"/>
                <w:lang w:val="en-IN"/>
              </w:rPr>
              <w:t>21/06/2021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1EF418A8" w14:textId="77777777" w:rsidR="007C6D7E" w:rsidRPr="007C6D7E" w:rsidRDefault="007C6D7E" w:rsidP="007C6D7E">
            <w:pPr>
              <w:jc w:val="both"/>
              <w:rPr>
                <w:rFonts w:ascii="Palatino Linotype" w:eastAsia="Calibri" w:hAnsi="Palatino Linotype"/>
                <w:sz w:val="20"/>
                <w:szCs w:val="20"/>
                <w:lang w:val="en-IN"/>
              </w:rPr>
            </w:pPr>
            <w:r w:rsidRPr="007C6D7E">
              <w:rPr>
                <w:rFonts w:ascii="Palatino Linotype" w:eastAsia="Calibri" w:hAnsi="Palatino Linotype"/>
                <w:sz w:val="20"/>
                <w:szCs w:val="20"/>
                <w:lang w:val="en-IN"/>
              </w:rPr>
              <w:t>Nouveau Global Ventures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15629570" w14:textId="77777777" w:rsidR="007C6D7E" w:rsidRPr="007C6D7E" w:rsidRDefault="007C6D7E" w:rsidP="007C6D7E">
            <w:pPr>
              <w:jc w:val="both"/>
              <w:rPr>
                <w:rFonts w:ascii="Palatino Linotype" w:eastAsia="Calibri" w:hAnsi="Palatino Linotype"/>
                <w:sz w:val="20"/>
                <w:szCs w:val="20"/>
                <w:lang w:val="en-IN"/>
              </w:rPr>
            </w:pPr>
            <w:r w:rsidRPr="007C6D7E">
              <w:rPr>
                <w:rFonts w:ascii="Palatino Linotype" w:eastAsia="Calibri" w:hAnsi="Palatino Linotype"/>
                <w:sz w:val="20"/>
                <w:szCs w:val="20"/>
                <w:lang w:val="en-IN"/>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020BAA34" w14:textId="77777777" w:rsidR="007C6D7E" w:rsidRPr="007C6D7E" w:rsidRDefault="007C6D7E" w:rsidP="007C6D7E">
            <w:pPr>
              <w:jc w:val="both"/>
              <w:rPr>
                <w:rFonts w:ascii="Palatino Linotype" w:eastAsia="Calibri" w:hAnsi="Palatino Linotype"/>
                <w:sz w:val="20"/>
                <w:szCs w:val="20"/>
                <w:lang w:val="en-IN"/>
              </w:rPr>
            </w:pPr>
            <w:r w:rsidRPr="007C6D7E">
              <w:rPr>
                <w:rFonts w:ascii="Palatino Linotype" w:eastAsia="Calibri" w:hAnsi="Palatino Linotype"/>
                <w:sz w:val="20"/>
                <w:szCs w:val="20"/>
                <w:lang w:val="en-IN"/>
              </w:rPr>
              <w:t>Pavan Roller Flour Private Limited</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48D4F6E" w14:textId="77777777" w:rsidR="007C6D7E" w:rsidRPr="007C6D7E" w:rsidRDefault="007C6D7E" w:rsidP="007C6D7E">
            <w:pPr>
              <w:shd w:val="clear" w:color="auto" w:fill="FFFFFF"/>
              <w:jc w:val="both"/>
              <w:rPr>
                <w:rFonts w:ascii="Palatino Linotype" w:eastAsia="Calibri" w:hAnsi="Palatino Linotype"/>
                <w:sz w:val="20"/>
                <w:szCs w:val="20"/>
                <w:lang w:val="en-IN"/>
              </w:rPr>
            </w:pPr>
            <w:r w:rsidRPr="007C6D7E">
              <w:rPr>
                <w:rFonts w:ascii="Palatino Linotype" w:eastAsia="Calibri" w:hAnsi="Palatino Linotype"/>
                <w:sz w:val="20"/>
                <w:szCs w:val="20"/>
                <w:lang w:val="en-IN"/>
              </w:rPr>
              <w:t>Regulation13(4A) read with  Regulation  13(5)  of  PIT  Regulations,  1992</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0C2CEDD5" w14:textId="77777777" w:rsidR="007C6D7E" w:rsidRPr="007C6D7E" w:rsidRDefault="007C6D7E" w:rsidP="007C6D7E">
            <w:pPr>
              <w:jc w:val="right"/>
              <w:rPr>
                <w:rFonts w:ascii="Palatino Linotype" w:eastAsia="Calibri" w:hAnsi="Palatino Linotype"/>
                <w:sz w:val="20"/>
                <w:szCs w:val="20"/>
                <w:lang w:val="en-IN"/>
              </w:rPr>
            </w:pPr>
            <w:r w:rsidRPr="007C6D7E">
              <w:rPr>
                <w:rFonts w:ascii="Palatino Linotype" w:eastAsia="Calibri" w:hAnsi="Palatino Linotype"/>
                <w:sz w:val="20"/>
                <w:szCs w:val="20"/>
                <w:lang w:val="en-IN"/>
              </w:rPr>
              <w:t>2,00,000</w:t>
            </w:r>
          </w:p>
        </w:tc>
      </w:tr>
      <w:tr w:rsidR="007C6D7E" w:rsidRPr="00B83873" w14:paraId="4734618F" w14:textId="77777777" w:rsidTr="007C6D7E">
        <w:trPr>
          <w:trHeight w:val="300"/>
        </w:trPr>
        <w:tc>
          <w:tcPr>
            <w:tcW w:w="567" w:type="dxa"/>
            <w:tcBorders>
              <w:top w:val="single" w:sz="4" w:space="0" w:color="auto"/>
              <w:left w:val="single" w:sz="4" w:space="0" w:color="auto"/>
              <w:bottom w:val="single" w:sz="4" w:space="0" w:color="auto"/>
              <w:right w:val="single" w:sz="4" w:space="0" w:color="auto"/>
            </w:tcBorders>
          </w:tcPr>
          <w:p w14:paraId="27105E7E" w14:textId="77777777" w:rsidR="007C6D7E" w:rsidRPr="007C6D7E" w:rsidRDefault="007C6D7E" w:rsidP="007C6D7E">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t>76</w:t>
            </w:r>
          </w:p>
        </w:tc>
        <w:tc>
          <w:tcPr>
            <w:tcW w:w="1276" w:type="dxa"/>
            <w:tcBorders>
              <w:top w:val="single" w:sz="4" w:space="0" w:color="auto"/>
              <w:bottom w:val="single" w:sz="4" w:space="0" w:color="auto"/>
              <w:right w:val="single" w:sz="4" w:space="0" w:color="auto"/>
            </w:tcBorders>
            <w:shd w:val="clear" w:color="auto" w:fill="auto"/>
            <w:noWrap/>
          </w:tcPr>
          <w:p w14:paraId="3A05C30B" w14:textId="77777777" w:rsidR="007C6D7E" w:rsidRPr="007C6D7E" w:rsidRDefault="007C6D7E" w:rsidP="007C6D7E">
            <w:pPr>
              <w:jc w:val="both"/>
              <w:rPr>
                <w:rFonts w:ascii="Palatino Linotype" w:eastAsia="Calibri" w:hAnsi="Palatino Linotype"/>
                <w:sz w:val="20"/>
                <w:szCs w:val="20"/>
                <w:lang w:val="en-IN"/>
              </w:rPr>
            </w:pPr>
            <w:r w:rsidRPr="007C6D7E">
              <w:rPr>
                <w:rFonts w:ascii="Palatino Linotype" w:eastAsia="Calibri" w:hAnsi="Palatino Linotype"/>
                <w:sz w:val="20"/>
                <w:szCs w:val="20"/>
                <w:lang w:val="en-IN"/>
              </w:rPr>
              <w:t>21/06/2021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0A184A7A" w14:textId="77777777" w:rsidR="007C6D7E" w:rsidRPr="007C6D7E" w:rsidRDefault="007C6D7E" w:rsidP="007C6D7E">
            <w:pPr>
              <w:jc w:val="both"/>
              <w:rPr>
                <w:rFonts w:ascii="Palatino Linotype" w:eastAsia="Calibri" w:hAnsi="Palatino Linotype"/>
                <w:sz w:val="20"/>
                <w:szCs w:val="20"/>
                <w:lang w:val="en-IN"/>
              </w:rPr>
            </w:pPr>
            <w:r w:rsidRPr="007C6D7E">
              <w:rPr>
                <w:rFonts w:ascii="Palatino Linotype" w:eastAsia="Calibri" w:hAnsi="Palatino Linotype"/>
                <w:sz w:val="20"/>
                <w:szCs w:val="20"/>
                <w:lang w:val="en-IN"/>
              </w:rPr>
              <w:t>Nouveau Global Ventures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60EDD6C0" w14:textId="77777777" w:rsidR="007C6D7E" w:rsidRPr="007C6D7E" w:rsidRDefault="007C6D7E" w:rsidP="007C6D7E">
            <w:pPr>
              <w:jc w:val="both"/>
              <w:rPr>
                <w:rFonts w:ascii="Palatino Linotype" w:eastAsia="Calibri" w:hAnsi="Palatino Linotype"/>
                <w:sz w:val="20"/>
                <w:szCs w:val="20"/>
                <w:lang w:val="en-IN"/>
              </w:rPr>
            </w:pPr>
            <w:r w:rsidRPr="007C6D7E">
              <w:rPr>
                <w:rFonts w:ascii="Palatino Linotype" w:eastAsia="Calibri" w:hAnsi="Palatino Linotype"/>
                <w:sz w:val="20"/>
                <w:szCs w:val="20"/>
                <w:lang w:val="en-IN"/>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1F5478F1" w14:textId="77777777" w:rsidR="007C6D7E" w:rsidRPr="007C6D7E" w:rsidRDefault="007C6D7E" w:rsidP="007C6D7E">
            <w:pPr>
              <w:jc w:val="both"/>
              <w:rPr>
                <w:rFonts w:ascii="Palatino Linotype" w:eastAsia="Calibri" w:hAnsi="Palatino Linotype"/>
                <w:sz w:val="20"/>
                <w:szCs w:val="20"/>
                <w:lang w:val="en-IN"/>
              </w:rPr>
            </w:pPr>
            <w:r w:rsidRPr="007C6D7E">
              <w:rPr>
                <w:rFonts w:ascii="Palatino Linotype" w:eastAsia="Calibri" w:hAnsi="Palatino Linotype"/>
                <w:sz w:val="20"/>
                <w:szCs w:val="20"/>
                <w:lang w:val="en-IN"/>
              </w:rPr>
              <w:t>Safal Investment Limited</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6B06C54" w14:textId="77777777" w:rsidR="007C6D7E" w:rsidRPr="007C6D7E" w:rsidRDefault="007C6D7E" w:rsidP="007C6D7E">
            <w:pPr>
              <w:shd w:val="clear" w:color="auto" w:fill="FFFFFF"/>
              <w:jc w:val="both"/>
              <w:rPr>
                <w:rFonts w:ascii="Palatino Linotype" w:eastAsia="Calibri" w:hAnsi="Palatino Linotype"/>
                <w:sz w:val="20"/>
                <w:szCs w:val="20"/>
                <w:lang w:val="en-IN"/>
              </w:rPr>
            </w:pPr>
            <w:r w:rsidRPr="007C6D7E">
              <w:rPr>
                <w:rFonts w:ascii="Palatino Linotype" w:eastAsia="Calibri" w:hAnsi="Palatino Linotype"/>
                <w:sz w:val="20"/>
                <w:szCs w:val="20"/>
                <w:lang w:val="en-IN"/>
              </w:rPr>
              <w:t>Regulation 13(4A) read with  Regulation  13(5)  of  PIT  Regulations,  1992</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39387D86" w14:textId="77777777" w:rsidR="007C6D7E" w:rsidRPr="007C6D7E" w:rsidRDefault="007C6D7E" w:rsidP="007C6D7E">
            <w:pPr>
              <w:jc w:val="right"/>
              <w:rPr>
                <w:rFonts w:ascii="Palatino Linotype" w:eastAsia="Calibri" w:hAnsi="Palatino Linotype"/>
                <w:sz w:val="20"/>
                <w:szCs w:val="20"/>
                <w:lang w:val="en-IN"/>
              </w:rPr>
            </w:pPr>
            <w:r w:rsidRPr="007C6D7E">
              <w:rPr>
                <w:rFonts w:ascii="Palatino Linotype" w:eastAsia="Calibri" w:hAnsi="Palatino Linotype"/>
                <w:sz w:val="20"/>
                <w:szCs w:val="20"/>
                <w:lang w:val="en-IN"/>
              </w:rPr>
              <w:t>2,00,000</w:t>
            </w:r>
          </w:p>
        </w:tc>
      </w:tr>
      <w:tr w:rsidR="007C6D7E" w:rsidRPr="00B83873" w14:paraId="0F8DA8E5" w14:textId="77777777" w:rsidTr="007C6D7E">
        <w:trPr>
          <w:trHeight w:val="300"/>
        </w:trPr>
        <w:tc>
          <w:tcPr>
            <w:tcW w:w="567" w:type="dxa"/>
            <w:tcBorders>
              <w:top w:val="single" w:sz="4" w:space="0" w:color="auto"/>
              <w:left w:val="single" w:sz="4" w:space="0" w:color="auto"/>
              <w:bottom w:val="single" w:sz="4" w:space="0" w:color="auto"/>
              <w:right w:val="single" w:sz="4" w:space="0" w:color="auto"/>
            </w:tcBorders>
          </w:tcPr>
          <w:p w14:paraId="3F8F89A9" w14:textId="77777777" w:rsidR="007C6D7E" w:rsidRPr="007C6D7E" w:rsidRDefault="007C6D7E" w:rsidP="007C6D7E">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t>77</w:t>
            </w:r>
          </w:p>
        </w:tc>
        <w:tc>
          <w:tcPr>
            <w:tcW w:w="1276" w:type="dxa"/>
            <w:tcBorders>
              <w:top w:val="single" w:sz="4" w:space="0" w:color="auto"/>
              <w:bottom w:val="single" w:sz="4" w:space="0" w:color="auto"/>
              <w:right w:val="single" w:sz="4" w:space="0" w:color="auto"/>
            </w:tcBorders>
            <w:shd w:val="clear" w:color="auto" w:fill="auto"/>
            <w:noWrap/>
          </w:tcPr>
          <w:p w14:paraId="00A0E2A7" w14:textId="77777777" w:rsidR="007C6D7E" w:rsidRPr="007C6D7E" w:rsidRDefault="007C6D7E" w:rsidP="007C6D7E">
            <w:pPr>
              <w:jc w:val="both"/>
              <w:rPr>
                <w:rFonts w:ascii="Palatino Linotype" w:eastAsia="Calibri" w:hAnsi="Palatino Linotype"/>
                <w:sz w:val="20"/>
                <w:szCs w:val="20"/>
                <w:lang w:val="en-IN"/>
              </w:rPr>
            </w:pPr>
            <w:r w:rsidRPr="007C6D7E">
              <w:rPr>
                <w:rFonts w:ascii="Palatino Linotype" w:eastAsia="Calibri" w:hAnsi="Palatino Linotype"/>
                <w:sz w:val="20"/>
                <w:szCs w:val="20"/>
                <w:lang w:val="en-IN"/>
              </w:rPr>
              <w:t>21/06/2021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3723D45F" w14:textId="77777777" w:rsidR="007C6D7E" w:rsidRPr="007C6D7E" w:rsidRDefault="007C6D7E" w:rsidP="007C6D7E">
            <w:pPr>
              <w:jc w:val="both"/>
              <w:rPr>
                <w:rFonts w:ascii="Palatino Linotype" w:eastAsia="Calibri" w:hAnsi="Palatino Linotype"/>
                <w:sz w:val="20"/>
                <w:szCs w:val="20"/>
                <w:lang w:val="en-IN"/>
              </w:rPr>
            </w:pPr>
            <w:r w:rsidRPr="007C6D7E">
              <w:rPr>
                <w:rFonts w:ascii="Palatino Linotype" w:eastAsia="Calibri" w:hAnsi="Palatino Linotype"/>
                <w:sz w:val="20"/>
                <w:szCs w:val="20"/>
                <w:lang w:val="en-IN"/>
              </w:rPr>
              <w:t>Nouveau Global Ventures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749700B9" w14:textId="77777777" w:rsidR="007C6D7E" w:rsidRPr="007C6D7E" w:rsidRDefault="007C6D7E" w:rsidP="007C6D7E">
            <w:pPr>
              <w:jc w:val="both"/>
              <w:rPr>
                <w:rFonts w:ascii="Palatino Linotype" w:eastAsia="Calibri" w:hAnsi="Palatino Linotype"/>
                <w:sz w:val="20"/>
                <w:szCs w:val="20"/>
                <w:lang w:val="en-IN"/>
              </w:rPr>
            </w:pPr>
            <w:r w:rsidRPr="007C6D7E">
              <w:rPr>
                <w:rFonts w:ascii="Palatino Linotype" w:eastAsia="Calibri" w:hAnsi="Palatino Linotype"/>
                <w:sz w:val="20"/>
                <w:szCs w:val="20"/>
                <w:lang w:val="en-IN"/>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6003B80F" w14:textId="77777777" w:rsidR="007C6D7E" w:rsidRPr="007C6D7E" w:rsidRDefault="007C6D7E" w:rsidP="007C6D7E">
            <w:pPr>
              <w:jc w:val="both"/>
              <w:rPr>
                <w:rFonts w:ascii="Palatino Linotype" w:eastAsia="Calibri" w:hAnsi="Palatino Linotype"/>
                <w:sz w:val="20"/>
                <w:szCs w:val="20"/>
                <w:lang w:val="en-IN"/>
              </w:rPr>
            </w:pPr>
            <w:r w:rsidRPr="007C6D7E">
              <w:rPr>
                <w:rFonts w:ascii="Palatino Linotype" w:eastAsia="Calibri" w:hAnsi="Palatino Linotype"/>
                <w:sz w:val="20"/>
                <w:szCs w:val="20"/>
                <w:lang w:val="en-IN"/>
              </w:rPr>
              <w:t>Rajat Commercial Enterprises Private Limited</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9B90539" w14:textId="77777777" w:rsidR="007C6D7E" w:rsidRPr="007C6D7E" w:rsidRDefault="007C6D7E" w:rsidP="007C6D7E">
            <w:pPr>
              <w:shd w:val="clear" w:color="auto" w:fill="FFFFFF"/>
              <w:jc w:val="both"/>
              <w:rPr>
                <w:rFonts w:ascii="Palatino Linotype" w:eastAsia="Calibri" w:hAnsi="Palatino Linotype"/>
                <w:sz w:val="20"/>
                <w:szCs w:val="20"/>
                <w:lang w:val="en-IN"/>
              </w:rPr>
            </w:pPr>
            <w:r w:rsidRPr="007C6D7E">
              <w:rPr>
                <w:rFonts w:ascii="Palatino Linotype" w:eastAsia="Calibri" w:hAnsi="Palatino Linotype"/>
                <w:sz w:val="20"/>
                <w:szCs w:val="20"/>
                <w:lang w:val="en-IN"/>
              </w:rPr>
              <w:t>Regulation 13(1), 13(3) read with Regulation 13(5), Regulation 13(4A) read with Regulation  13(5) of PIT Regulations, 1992, Regulation 29(1) read with Regulation 29(3), Regulation 29(2) read with 29(3) of SAST  Regulations, 2011</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1A0A1328" w14:textId="77777777" w:rsidR="007C6D7E" w:rsidRPr="007C6D7E" w:rsidRDefault="007C6D7E" w:rsidP="007C6D7E">
            <w:pPr>
              <w:jc w:val="right"/>
              <w:rPr>
                <w:rFonts w:ascii="Palatino Linotype" w:eastAsia="Calibri" w:hAnsi="Palatino Linotype"/>
                <w:sz w:val="20"/>
                <w:szCs w:val="20"/>
                <w:lang w:val="en-IN"/>
              </w:rPr>
            </w:pPr>
            <w:r w:rsidRPr="007C6D7E">
              <w:rPr>
                <w:rFonts w:ascii="Palatino Linotype" w:eastAsia="Calibri" w:hAnsi="Palatino Linotype"/>
                <w:sz w:val="20"/>
                <w:szCs w:val="20"/>
                <w:lang w:val="en-IN"/>
              </w:rPr>
              <w:t>3,00,000</w:t>
            </w:r>
          </w:p>
        </w:tc>
      </w:tr>
      <w:tr w:rsidR="007C6D7E" w:rsidRPr="00B83873" w14:paraId="4BD1FBD2" w14:textId="77777777" w:rsidTr="007C6D7E">
        <w:trPr>
          <w:trHeight w:val="300"/>
        </w:trPr>
        <w:tc>
          <w:tcPr>
            <w:tcW w:w="567" w:type="dxa"/>
            <w:tcBorders>
              <w:top w:val="single" w:sz="4" w:space="0" w:color="auto"/>
              <w:left w:val="single" w:sz="4" w:space="0" w:color="auto"/>
              <w:bottom w:val="single" w:sz="4" w:space="0" w:color="auto"/>
              <w:right w:val="single" w:sz="4" w:space="0" w:color="auto"/>
            </w:tcBorders>
          </w:tcPr>
          <w:p w14:paraId="489517FB" w14:textId="77777777" w:rsidR="007C6D7E" w:rsidRPr="007C6D7E" w:rsidRDefault="007C6D7E" w:rsidP="007C6D7E">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t>78</w:t>
            </w:r>
          </w:p>
        </w:tc>
        <w:tc>
          <w:tcPr>
            <w:tcW w:w="1276" w:type="dxa"/>
            <w:tcBorders>
              <w:top w:val="single" w:sz="4" w:space="0" w:color="auto"/>
              <w:bottom w:val="single" w:sz="4" w:space="0" w:color="auto"/>
              <w:right w:val="single" w:sz="4" w:space="0" w:color="auto"/>
            </w:tcBorders>
            <w:shd w:val="clear" w:color="auto" w:fill="auto"/>
            <w:noWrap/>
          </w:tcPr>
          <w:p w14:paraId="1AC5DA44" w14:textId="77777777" w:rsidR="007C6D7E" w:rsidRPr="007C6D7E" w:rsidRDefault="007C6D7E" w:rsidP="007C6D7E">
            <w:pPr>
              <w:jc w:val="both"/>
              <w:rPr>
                <w:rFonts w:ascii="Palatino Linotype" w:eastAsia="Calibri" w:hAnsi="Palatino Linotype"/>
                <w:sz w:val="20"/>
                <w:szCs w:val="20"/>
                <w:lang w:val="en-IN"/>
              </w:rPr>
            </w:pPr>
            <w:r w:rsidRPr="007C6D7E">
              <w:rPr>
                <w:rFonts w:ascii="Palatino Linotype" w:eastAsia="Calibri" w:hAnsi="Palatino Linotype"/>
                <w:sz w:val="20"/>
                <w:szCs w:val="20"/>
                <w:lang w:val="en-IN"/>
              </w:rPr>
              <w:t>22/06/2021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335333A0" w14:textId="77777777" w:rsidR="007C6D7E" w:rsidRPr="007C6D7E" w:rsidRDefault="007C6D7E" w:rsidP="007C6D7E">
            <w:pPr>
              <w:jc w:val="both"/>
              <w:rPr>
                <w:rFonts w:ascii="Palatino Linotype" w:eastAsia="Calibri" w:hAnsi="Palatino Linotype"/>
                <w:sz w:val="20"/>
                <w:szCs w:val="20"/>
                <w:lang w:val="en-IN"/>
              </w:rPr>
            </w:pPr>
            <w:r w:rsidRPr="007C6D7E">
              <w:rPr>
                <w:rFonts w:ascii="Palatino Linotype" w:eastAsia="Calibri" w:hAnsi="Palatino Linotype"/>
                <w:sz w:val="20"/>
                <w:szCs w:val="20"/>
                <w:lang w:val="en-IN"/>
              </w:rPr>
              <w:t>Himachal Fibres Ltd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19F0618F" w14:textId="77777777" w:rsidR="007C6D7E" w:rsidRPr="007C6D7E" w:rsidRDefault="007C6D7E" w:rsidP="007C6D7E">
            <w:pPr>
              <w:jc w:val="both"/>
              <w:rPr>
                <w:rFonts w:ascii="Palatino Linotype" w:eastAsia="Calibri" w:hAnsi="Palatino Linotype"/>
                <w:sz w:val="20"/>
                <w:szCs w:val="20"/>
                <w:lang w:val="en-IN"/>
              </w:rPr>
            </w:pPr>
            <w:r w:rsidRPr="007C6D7E">
              <w:rPr>
                <w:rFonts w:ascii="Palatino Linotype" w:eastAsia="Calibri" w:hAnsi="Palatino Linotype"/>
                <w:sz w:val="20"/>
                <w:szCs w:val="20"/>
                <w:lang w:val="en-IN"/>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35DB7C06" w14:textId="77777777" w:rsidR="007C6D7E" w:rsidRPr="007C6D7E" w:rsidRDefault="007C6D7E" w:rsidP="007C6D7E">
            <w:pPr>
              <w:jc w:val="both"/>
              <w:rPr>
                <w:rFonts w:ascii="Palatino Linotype" w:eastAsia="Calibri" w:hAnsi="Palatino Linotype"/>
                <w:sz w:val="20"/>
                <w:szCs w:val="20"/>
                <w:lang w:val="en-IN"/>
              </w:rPr>
            </w:pPr>
            <w:r w:rsidRPr="007C6D7E">
              <w:rPr>
                <w:rFonts w:ascii="Palatino Linotype" w:eastAsia="Calibri" w:hAnsi="Palatino Linotype"/>
                <w:sz w:val="20"/>
                <w:szCs w:val="20"/>
                <w:lang w:val="en-IN"/>
              </w:rPr>
              <w:t xml:space="preserve">Rishi Jain and 6 Others </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031BA30" w14:textId="77777777" w:rsidR="007C6D7E" w:rsidRPr="007C6D7E" w:rsidRDefault="007C6D7E" w:rsidP="007C6D7E">
            <w:pPr>
              <w:shd w:val="clear" w:color="auto" w:fill="FFFFFF"/>
              <w:jc w:val="both"/>
              <w:rPr>
                <w:rFonts w:ascii="Palatino Linotype" w:eastAsia="Calibri" w:hAnsi="Palatino Linotype"/>
                <w:sz w:val="20"/>
                <w:szCs w:val="20"/>
                <w:lang w:val="en-IN"/>
              </w:rPr>
            </w:pPr>
            <w:r w:rsidRPr="007C6D7E">
              <w:rPr>
                <w:rFonts w:ascii="Palatino Linotype" w:eastAsia="Calibri" w:hAnsi="Palatino Linotype"/>
                <w:sz w:val="20"/>
                <w:szCs w:val="20"/>
                <w:lang w:val="en-IN"/>
              </w:rPr>
              <w:t>Section 12A(a), (b), (c) of the SEBI Act,  1992 and Regulations 3(a),  (b), (c), (d) and 4(1), 4(2)(a)  and (e) of SEBI (Prohibition of Fraudulent and Unfair Trade Practices) Regulations, 2003 (PFUTP Regulations)</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4EC08C44" w14:textId="77777777" w:rsidR="007C6D7E" w:rsidRPr="007C6D7E" w:rsidRDefault="007C6D7E" w:rsidP="007C6D7E">
            <w:pPr>
              <w:jc w:val="right"/>
              <w:rPr>
                <w:rFonts w:ascii="Palatino Linotype" w:eastAsia="Calibri" w:hAnsi="Palatino Linotype"/>
                <w:sz w:val="20"/>
                <w:szCs w:val="20"/>
                <w:lang w:val="en-IN"/>
              </w:rPr>
            </w:pPr>
            <w:r w:rsidRPr="007C6D7E">
              <w:rPr>
                <w:rFonts w:ascii="Palatino Linotype" w:eastAsia="Calibri" w:hAnsi="Palatino Linotype"/>
                <w:sz w:val="20"/>
                <w:szCs w:val="20"/>
                <w:lang w:val="en-IN"/>
              </w:rPr>
              <w:t>10,00,000</w:t>
            </w:r>
          </w:p>
        </w:tc>
      </w:tr>
      <w:tr w:rsidR="007C6D7E" w:rsidRPr="00B83873" w14:paraId="2B86C986" w14:textId="77777777" w:rsidTr="007C6D7E">
        <w:trPr>
          <w:trHeight w:val="300"/>
        </w:trPr>
        <w:tc>
          <w:tcPr>
            <w:tcW w:w="567" w:type="dxa"/>
            <w:tcBorders>
              <w:top w:val="single" w:sz="4" w:space="0" w:color="auto"/>
              <w:left w:val="single" w:sz="4" w:space="0" w:color="auto"/>
              <w:bottom w:val="single" w:sz="4" w:space="0" w:color="auto"/>
              <w:right w:val="single" w:sz="4" w:space="0" w:color="auto"/>
            </w:tcBorders>
          </w:tcPr>
          <w:p w14:paraId="51B68F70" w14:textId="77777777" w:rsidR="007C6D7E" w:rsidRPr="007C6D7E" w:rsidRDefault="007C6D7E" w:rsidP="007C6D7E">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t>79</w:t>
            </w:r>
          </w:p>
        </w:tc>
        <w:tc>
          <w:tcPr>
            <w:tcW w:w="1276" w:type="dxa"/>
            <w:tcBorders>
              <w:top w:val="single" w:sz="4" w:space="0" w:color="auto"/>
              <w:bottom w:val="single" w:sz="4" w:space="0" w:color="auto"/>
              <w:right w:val="single" w:sz="4" w:space="0" w:color="auto"/>
            </w:tcBorders>
            <w:shd w:val="clear" w:color="auto" w:fill="auto"/>
            <w:noWrap/>
          </w:tcPr>
          <w:p w14:paraId="63A9A7F5" w14:textId="77777777" w:rsidR="007C6D7E" w:rsidRPr="007C6D7E" w:rsidRDefault="007C6D7E" w:rsidP="007C6D7E">
            <w:pPr>
              <w:jc w:val="both"/>
              <w:rPr>
                <w:rFonts w:ascii="Palatino Linotype" w:eastAsia="Calibri" w:hAnsi="Palatino Linotype"/>
                <w:sz w:val="20"/>
                <w:szCs w:val="20"/>
                <w:lang w:val="en-IN"/>
              </w:rPr>
            </w:pPr>
            <w:r w:rsidRPr="007C6D7E">
              <w:rPr>
                <w:rFonts w:ascii="Palatino Linotype" w:eastAsia="Calibri" w:hAnsi="Palatino Linotype"/>
                <w:sz w:val="20"/>
                <w:szCs w:val="20"/>
                <w:lang w:val="en-IN"/>
              </w:rPr>
              <w:t>24/06/2021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7E9D4DE6" w14:textId="77777777" w:rsidR="007C6D7E" w:rsidRPr="007C6D7E" w:rsidRDefault="007C6D7E" w:rsidP="007C6D7E">
            <w:pPr>
              <w:jc w:val="both"/>
              <w:rPr>
                <w:rFonts w:ascii="Palatino Linotype" w:eastAsia="Calibri" w:hAnsi="Palatino Linotype"/>
                <w:sz w:val="20"/>
                <w:szCs w:val="20"/>
                <w:lang w:val="en-IN"/>
              </w:rPr>
            </w:pPr>
            <w:r w:rsidRPr="007C6D7E">
              <w:rPr>
                <w:rFonts w:ascii="Palatino Linotype" w:eastAsia="Calibri" w:hAnsi="Palatino Linotype"/>
                <w:sz w:val="20"/>
                <w:szCs w:val="20"/>
                <w:lang w:val="en-IN"/>
              </w:rPr>
              <w:t>Dealings in Illiquid Stock Options at BSE</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73C25FF8" w14:textId="77777777" w:rsidR="007C6D7E" w:rsidRPr="007C6D7E" w:rsidRDefault="007C6D7E" w:rsidP="007C6D7E">
            <w:pPr>
              <w:jc w:val="both"/>
              <w:rPr>
                <w:rFonts w:ascii="Palatino Linotype" w:eastAsia="Calibri" w:hAnsi="Palatino Linotype"/>
                <w:sz w:val="20"/>
                <w:szCs w:val="20"/>
                <w:lang w:val="en-IN"/>
              </w:rPr>
            </w:pPr>
            <w:r w:rsidRPr="007C6D7E">
              <w:rPr>
                <w:rFonts w:ascii="Palatino Linotype" w:eastAsia="Calibri" w:hAnsi="Palatino Linotype"/>
                <w:sz w:val="20"/>
                <w:szCs w:val="20"/>
                <w:lang w:val="en-IN"/>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02E8B132" w14:textId="77777777" w:rsidR="007C6D7E" w:rsidRPr="007C6D7E" w:rsidRDefault="007C6D7E" w:rsidP="007C6D7E">
            <w:pPr>
              <w:jc w:val="both"/>
              <w:rPr>
                <w:rFonts w:ascii="Palatino Linotype" w:eastAsia="Calibri" w:hAnsi="Palatino Linotype"/>
                <w:sz w:val="20"/>
                <w:szCs w:val="20"/>
                <w:lang w:val="en-IN"/>
              </w:rPr>
            </w:pPr>
            <w:r w:rsidRPr="007C6D7E">
              <w:rPr>
                <w:rFonts w:ascii="Palatino Linotype" w:eastAsia="Calibri" w:hAnsi="Palatino Linotype"/>
                <w:sz w:val="20"/>
                <w:szCs w:val="20"/>
                <w:lang w:val="en-IN"/>
              </w:rPr>
              <w:t>Prime Gold International Limited</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3E287A2" w14:textId="77777777" w:rsidR="007C6D7E" w:rsidRPr="007C6D7E" w:rsidRDefault="007C6D7E" w:rsidP="007C6D7E">
            <w:pPr>
              <w:shd w:val="clear" w:color="auto" w:fill="FFFFFF"/>
              <w:jc w:val="both"/>
              <w:rPr>
                <w:rFonts w:ascii="Palatino Linotype" w:eastAsia="Calibri" w:hAnsi="Palatino Linotype"/>
                <w:sz w:val="20"/>
                <w:szCs w:val="20"/>
                <w:lang w:val="en-IN"/>
              </w:rPr>
            </w:pPr>
            <w:r w:rsidRPr="007C6D7E">
              <w:rPr>
                <w:rFonts w:ascii="Palatino Linotype" w:eastAsia="Calibri" w:hAnsi="Palatino Linotype"/>
                <w:sz w:val="20"/>
                <w:szCs w:val="20"/>
                <w:lang w:val="en-IN"/>
              </w:rPr>
              <w:t xml:space="preserve">Regulations 3(a), (b), (c), (d), 4(1) and  4(2)(a)  of  PFUTP  Regulations 2003. </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147A1BBC" w14:textId="77777777" w:rsidR="007C6D7E" w:rsidRPr="007C6D7E" w:rsidRDefault="007C6D7E" w:rsidP="007C6D7E">
            <w:pPr>
              <w:jc w:val="right"/>
              <w:rPr>
                <w:rFonts w:ascii="Palatino Linotype" w:eastAsia="Calibri" w:hAnsi="Palatino Linotype"/>
                <w:sz w:val="20"/>
                <w:szCs w:val="20"/>
                <w:lang w:val="en-IN"/>
              </w:rPr>
            </w:pPr>
            <w:r w:rsidRPr="007C6D7E">
              <w:rPr>
                <w:rFonts w:ascii="Palatino Linotype" w:eastAsia="Calibri" w:hAnsi="Palatino Linotype"/>
                <w:sz w:val="20"/>
                <w:szCs w:val="20"/>
                <w:lang w:val="en-IN"/>
              </w:rPr>
              <w:t>6,40,000</w:t>
            </w:r>
          </w:p>
        </w:tc>
      </w:tr>
      <w:tr w:rsidR="007C6D7E" w:rsidRPr="00B83873" w14:paraId="2F8B935F" w14:textId="77777777" w:rsidTr="007C6D7E">
        <w:trPr>
          <w:trHeight w:val="300"/>
        </w:trPr>
        <w:tc>
          <w:tcPr>
            <w:tcW w:w="567" w:type="dxa"/>
            <w:tcBorders>
              <w:top w:val="single" w:sz="4" w:space="0" w:color="auto"/>
              <w:left w:val="single" w:sz="4" w:space="0" w:color="auto"/>
              <w:bottom w:val="single" w:sz="4" w:space="0" w:color="auto"/>
              <w:right w:val="single" w:sz="4" w:space="0" w:color="auto"/>
            </w:tcBorders>
          </w:tcPr>
          <w:p w14:paraId="6CEDE56E" w14:textId="77777777" w:rsidR="007C6D7E" w:rsidRPr="007C6D7E" w:rsidRDefault="007C6D7E" w:rsidP="007C6D7E">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t>80</w:t>
            </w:r>
          </w:p>
        </w:tc>
        <w:tc>
          <w:tcPr>
            <w:tcW w:w="1276" w:type="dxa"/>
            <w:tcBorders>
              <w:top w:val="single" w:sz="4" w:space="0" w:color="auto"/>
              <w:bottom w:val="single" w:sz="4" w:space="0" w:color="auto"/>
              <w:right w:val="single" w:sz="4" w:space="0" w:color="auto"/>
            </w:tcBorders>
            <w:shd w:val="clear" w:color="auto" w:fill="auto"/>
            <w:noWrap/>
          </w:tcPr>
          <w:p w14:paraId="7D879F4C" w14:textId="77777777" w:rsidR="007C6D7E" w:rsidRPr="007C6D7E" w:rsidRDefault="007C6D7E" w:rsidP="007C6D7E">
            <w:pPr>
              <w:jc w:val="both"/>
              <w:rPr>
                <w:rFonts w:ascii="Palatino Linotype" w:eastAsia="Calibri" w:hAnsi="Palatino Linotype"/>
                <w:sz w:val="20"/>
                <w:szCs w:val="20"/>
                <w:lang w:val="en-IN"/>
              </w:rPr>
            </w:pPr>
            <w:r w:rsidRPr="007C6D7E">
              <w:rPr>
                <w:rFonts w:ascii="Palatino Linotype" w:eastAsia="Calibri" w:hAnsi="Palatino Linotype"/>
                <w:sz w:val="20"/>
                <w:szCs w:val="20"/>
                <w:lang w:val="en-IN"/>
              </w:rPr>
              <w:t>22/06/2021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56F72E01" w14:textId="77777777" w:rsidR="007C6D7E" w:rsidRPr="007C6D7E" w:rsidRDefault="007C6D7E" w:rsidP="007C6D7E">
            <w:pPr>
              <w:spacing w:before="100" w:beforeAutospacing="1" w:after="100" w:afterAutospacing="1"/>
              <w:outlineLvl w:val="0"/>
              <w:rPr>
                <w:rFonts w:ascii="Palatino Linotype" w:eastAsia="Calibri" w:hAnsi="Palatino Linotype"/>
                <w:sz w:val="20"/>
                <w:szCs w:val="20"/>
                <w:lang w:val="en-IN"/>
              </w:rPr>
            </w:pPr>
            <w:r w:rsidRPr="007C6D7E">
              <w:rPr>
                <w:rFonts w:ascii="Palatino Linotype" w:eastAsia="Calibri" w:hAnsi="Palatino Linotype"/>
                <w:sz w:val="20"/>
                <w:szCs w:val="20"/>
                <w:lang w:val="en-IN"/>
              </w:rPr>
              <w:t>Camson Biotechnologies Ltd</w:t>
            </w:r>
          </w:p>
          <w:p w14:paraId="63ACBEE4" w14:textId="77777777" w:rsidR="007C6D7E" w:rsidRPr="007C6D7E" w:rsidRDefault="007C6D7E" w:rsidP="007C6D7E">
            <w:pPr>
              <w:jc w:val="both"/>
              <w:rPr>
                <w:rFonts w:ascii="Palatino Linotype" w:eastAsia="Calibri" w:hAnsi="Palatino Linotype"/>
                <w:sz w:val="20"/>
                <w:szCs w:val="20"/>
                <w:lang w:val="en-IN"/>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75242B8F" w14:textId="77777777" w:rsidR="007C6D7E" w:rsidRPr="007C6D7E" w:rsidRDefault="007C6D7E" w:rsidP="007C6D7E">
            <w:pPr>
              <w:jc w:val="both"/>
              <w:rPr>
                <w:rFonts w:ascii="Palatino Linotype" w:eastAsia="Calibri" w:hAnsi="Palatino Linotype"/>
                <w:sz w:val="20"/>
                <w:szCs w:val="20"/>
                <w:lang w:val="en-IN"/>
              </w:rPr>
            </w:pPr>
            <w:r w:rsidRPr="007C6D7E">
              <w:rPr>
                <w:rFonts w:ascii="Palatino Linotype" w:eastAsia="Calibri" w:hAnsi="Palatino Linotype"/>
                <w:sz w:val="20"/>
                <w:szCs w:val="20"/>
                <w:lang w:val="en-IN"/>
              </w:rPr>
              <w:t>SAST Regulations</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07A7FB06" w14:textId="77777777" w:rsidR="007C6D7E" w:rsidRPr="007C6D7E" w:rsidRDefault="007C6D7E" w:rsidP="007C6D7E">
            <w:pPr>
              <w:spacing w:before="100" w:beforeAutospacing="1" w:after="100" w:afterAutospacing="1"/>
              <w:outlineLvl w:val="0"/>
              <w:rPr>
                <w:rFonts w:ascii="Palatino Linotype" w:eastAsia="Calibri" w:hAnsi="Palatino Linotype"/>
                <w:sz w:val="20"/>
                <w:szCs w:val="20"/>
                <w:lang w:val="en-IN"/>
              </w:rPr>
            </w:pPr>
            <w:r w:rsidRPr="007C6D7E">
              <w:rPr>
                <w:rFonts w:ascii="Palatino Linotype" w:eastAsia="Calibri" w:hAnsi="Palatino Linotype"/>
                <w:sz w:val="20"/>
                <w:szCs w:val="20"/>
                <w:lang w:val="en-IN"/>
              </w:rPr>
              <w:t>Camson Biotechnologies Ltd. And 12 others</w:t>
            </w:r>
          </w:p>
          <w:p w14:paraId="5255C236" w14:textId="77777777" w:rsidR="007C6D7E" w:rsidRPr="007C6D7E" w:rsidRDefault="007C6D7E" w:rsidP="007C6D7E">
            <w:pPr>
              <w:jc w:val="both"/>
              <w:rPr>
                <w:rFonts w:ascii="Palatino Linotype" w:eastAsia="Calibri" w:hAnsi="Palatino Linotype"/>
                <w:sz w:val="20"/>
                <w:szCs w:val="20"/>
                <w:lang w:val="en-IN"/>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F0871D3" w14:textId="77777777" w:rsidR="007C6D7E" w:rsidRPr="007C6D7E" w:rsidRDefault="007C6D7E" w:rsidP="007C6D7E">
            <w:pPr>
              <w:jc w:val="both"/>
              <w:rPr>
                <w:rFonts w:ascii="Palatino Linotype" w:hAnsi="Palatino Linotype"/>
                <w:sz w:val="20"/>
                <w:szCs w:val="20"/>
                <w:lang w:val="en-IN" w:eastAsia="en-IN" w:bidi="hi-IN"/>
              </w:rPr>
            </w:pPr>
            <w:r w:rsidRPr="007C6D7E">
              <w:rPr>
                <w:rFonts w:ascii="Palatino Linotype" w:hAnsi="Palatino Linotype"/>
                <w:sz w:val="20"/>
                <w:szCs w:val="20"/>
                <w:lang w:val="en-IN" w:eastAsia="en-IN" w:bidi="hi-IN"/>
              </w:rPr>
              <w:t xml:space="preserve">Violation of the Clause 13.1.2.3(b), </w:t>
            </w:r>
            <w:r w:rsidRPr="007C6D7E">
              <w:rPr>
                <w:rFonts w:ascii="Palatino Linotype" w:eastAsia="Calibri" w:hAnsi="Palatino Linotype"/>
                <w:sz w:val="20"/>
                <w:szCs w:val="20"/>
                <w:lang w:val="en-IN"/>
              </w:rPr>
              <w:t>Clause 13.1C</w:t>
            </w:r>
            <w:r w:rsidRPr="007C6D7E">
              <w:rPr>
                <w:rFonts w:ascii="Palatino Linotype" w:hAnsi="Palatino Linotype"/>
                <w:sz w:val="20"/>
                <w:szCs w:val="20"/>
                <w:lang w:val="en-IN" w:eastAsia="en-IN" w:bidi="hi-IN"/>
              </w:rPr>
              <w:t xml:space="preserve"> of the DIP Guidelines, 2000 read with Regulation 111 of the ICDR Regulations, 2009, Regulation 13(4) </w:t>
            </w:r>
          </w:p>
          <w:p w14:paraId="42038E2F" w14:textId="77777777" w:rsidR="007C6D7E" w:rsidRPr="007C6D7E" w:rsidRDefault="007C6D7E" w:rsidP="007C6D7E">
            <w:pPr>
              <w:jc w:val="both"/>
              <w:rPr>
                <w:rFonts w:ascii="Palatino Linotype" w:hAnsi="Palatino Linotype"/>
                <w:sz w:val="20"/>
                <w:szCs w:val="20"/>
                <w:lang w:val="en-IN" w:eastAsia="en-IN" w:bidi="hi-IN"/>
              </w:rPr>
            </w:pPr>
            <w:r w:rsidRPr="007C6D7E">
              <w:rPr>
                <w:rFonts w:ascii="Palatino Linotype" w:hAnsi="Palatino Linotype"/>
                <w:sz w:val="20"/>
                <w:szCs w:val="20"/>
                <w:lang w:val="en-IN" w:eastAsia="en-IN" w:bidi="hi-IN"/>
              </w:rPr>
              <w:t xml:space="preserve">read with Regulation 13(5) of the Insider Trading Regulations, 1992, Clause 4.2 of the Code of Conduct in Part A of Schedule I read with Regulation 12(1) of the Insider Trading Regulations, </w:t>
            </w:r>
            <w:r w:rsidRPr="007C6D7E">
              <w:rPr>
                <w:rFonts w:ascii="Palatino Linotype" w:hAnsi="Palatino Linotype"/>
                <w:sz w:val="20"/>
                <w:szCs w:val="20"/>
                <w:lang w:val="en-IN" w:eastAsia="en-IN" w:bidi="hi-IN"/>
              </w:rPr>
              <w:lastRenderedPageBreak/>
              <w:t xml:space="preserve">1992, Regulation 7(1) read with 7(2) of the Takeover Regulations, </w:t>
            </w:r>
          </w:p>
          <w:p w14:paraId="1D727572" w14:textId="77777777" w:rsidR="007C6D7E" w:rsidRPr="007C6D7E" w:rsidRDefault="007C6D7E" w:rsidP="007C6D7E">
            <w:pPr>
              <w:jc w:val="both"/>
              <w:rPr>
                <w:rFonts w:ascii="Palatino Linotype" w:hAnsi="Palatino Linotype"/>
                <w:sz w:val="20"/>
                <w:szCs w:val="20"/>
                <w:lang w:val="en-IN" w:eastAsia="en-IN" w:bidi="hi-IN"/>
              </w:rPr>
            </w:pPr>
            <w:r w:rsidRPr="007C6D7E">
              <w:rPr>
                <w:rFonts w:ascii="Palatino Linotype" w:hAnsi="Palatino Linotype"/>
                <w:sz w:val="20"/>
                <w:szCs w:val="20"/>
                <w:lang w:val="en-IN" w:eastAsia="en-IN" w:bidi="hi-IN"/>
              </w:rPr>
              <w:t>1997, Regulation 13(1) and Regulation 13(4) read with Regulation 13(5) of the Insider Trading Regulations, 1992</w:t>
            </w:r>
          </w:p>
          <w:p w14:paraId="4B105E1F" w14:textId="77777777" w:rsidR="007C6D7E" w:rsidRPr="007C6D7E" w:rsidRDefault="007C6D7E" w:rsidP="007C6D7E">
            <w:pPr>
              <w:jc w:val="both"/>
              <w:rPr>
                <w:rFonts w:ascii="Palatino Linotype" w:eastAsia="Calibri" w:hAnsi="Palatino Linotype"/>
                <w:sz w:val="20"/>
                <w:szCs w:val="20"/>
                <w:lang w:val="en-IN"/>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4DF79E95" w14:textId="77777777" w:rsidR="007C6D7E" w:rsidRPr="007C6D7E" w:rsidRDefault="007C6D7E" w:rsidP="007C6D7E">
            <w:pPr>
              <w:jc w:val="right"/>
              <w:rPr>
                <w:rFonts w:ascii="Palatino Linotype" w:eastAsia="Calibri" w:hAnsi="Palatino Linotype"/>
                <w:sz w:val="20"/>
                <w:szCs w:val="20"/>
                <w:lang w:val="en-IN"/>
              </w:rPr>
            </w:pPr>
            <w:r w:rsidRPr="007C6D7E">
              <w:rPr>
                <w:rFonts w:ascii="Palatino Linotype" w:eastAsia="Calibri" w:hAnsi="Palatino Linotype"/>
                <w:sz w:val="20"/>
                <w:szCs w:val="20"/>
                <w:lang w:val="en-IN"/>
              </w:rPr>
              <w:lastRenderedPageBreak/>
              <w:t>-</w:t>
            </w:r>
          </w:p>
        </w:tc>
      </w:tr>
      <w:tr w:rsidR="007C6D7E" w:rsidRPr="00B83873" w14:paraId="44811342" w14:textId="77777777" w:rsidTr="007C6D7E">
        <w:trPr>
          <w:trHeight w:val="300"/>
        </w:trPr>
        <w:tc>
          <w:tcPr>
            <w:tcW w:w="567" w:type="dxa"/>
            <w:tcBorders>
              <w:top w:val="single" w:sz="4" w:space="0" w:color="auto"/>
              <w:left w:val="single" w:sz="4" w:space="0" w:color="auto"/>
              <w:bottom w:val="single" w:sz="4" w:space="0" w:color="auto"/>
              <w:right w:val="single" w:sz="4" w:space="0" w:color="auto"/>
            </w:tcBorders>
          </w:tcPr>
          <w:p w14:paraId="18A163CE" w14:textId="77777777" w:rsidR="007C6D7E" w:rsidRPr="007C6D7E" w:rsidRDefault="007C6D7E" w:rsidP="007C6D7E">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lastRenderedPageBreak/>
              <w:t>81</w:t>
            </w:r>
          </w:p>
        </w:tc>
        <w:tc>
          <w:tcPr>
            <w:tcW w:w="1276" w:type="dxa"/>
            <w:tcBorders>
              <w:top w:val="single" w:sz="4" w:space="0" w:color="auto"/>
              <w:bottom w:val="single" w:sz="4" w:space="0" w:color="auto"/>
              <w:right w:val="single" w:sz="4" w:space="0" w:color="auto"/>
            </w:tcBorders>
            <w:shd w:val="clear" w:color="auto" w:fill="auto"/>
            <w:noWrap/>
          </w:tcPr>
          <w:p w14:paraId="027E8379"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29/06/2021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4A865DD2"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Mystic Electronics Ltd.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1FCA2938"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299C115A"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 xml:space="preserve">Topwell Properties P Ltd, Shivkhori Construction P Ltd, Limestone Properties P Ltd. </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3527286" w14:textId="77777777" w:rsidR="007C6D7E" w:rsidRPr="007C6D7E" w:rsidRDefault="007C6D7E" w:rsidP="007C6D7E">
            <w:pPr>
              <w:shd w:val="clear" w:color="auto" w:fill="FFFFFF"/>
              <w:jc w:val="both"/>
              <w:rPr>
                <w:rFonts w:ascii="Palatino Linotype" w:hAnsi="Palatino Linotype"/>
                <w:sz w:val="20"/>
                <w:szCs w:val="20"/>
              </w:rPr>
            </w:pPr>
            <w:r w:rsidRPr="007C6D7E">
              <w:rPr>
                <w:rFonts w:ascii="Palatino Linotype" w:hAnsi="Palatino Linotype"/>
                <w:sz w:val="20"/>
                <w:szCs w:val="20"/>
              </w:rPr>
              <w:t>Regulations 3(a), (b), (c), (d), 4(1) and 4(2)(a) and (e) of SEBI (Prohibition of Fraudulent and Unfair Trade Practices) Regulations, 2003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6D006DCC" w14:textId="77777777" w:rsidR="007C6D7E" w:rsidRPr="007C6D7E" w:rsidRDefault="007C6D7E" w:rsidP="007C6D7E">
            <w:pPr>
              <w:jc w:val="right"/>
              <w:rPr>
                <w:rFonts w:ascii="Palatino Linotype" w:hAnsi="Palatino Linotype"/>
                <w:sz w:val="20"/>
                <w:szCs w:val="20"/>
              </w:rPr>
            </w:pPr>
            <w:r w:rsidRPr="007C6D7E">
              <w:rPr>
                <w:rFonts w:ascii="Palatino Linotype" w:hAnsi="Palatino Linotype"/>
                <w:sz w:val="20"/>
                <w:szCs w:val="20"/>
              </w:rPr>
              <w:t>5,00,000</w:t>
            </w:r>
          </w:p>
        </w:tc>
      </w:tr>
      <w:tr w:rsidR="007C6D7E" w:rsidRPr="00B83873" w14:paraId="4845B67B" w14:textId="77777777" w:rsidTr="007C6D7E">
        <w:trPr>
          <w:trHeight w:val="300"/>
        </w:trPr>
        <w:tc>
          <w:tcPr>
            <w:tcW w:w="567" w:type="dxa"/>
            <w:tcBorders>
              <w:top w:val="single" w:sz="4" w:space="0" w:color="auto"/>
              <w:left w:val="single" w:sz="4" w:space="0" w:color="auto"/>
              <w:bottom w:val="single" w:sz="4" w:space="0" w:color="auto"/>
              <w:right w:val="single" w:sz="4" w:space="0" w:color="auto"/>
            </w:tcBorders>
          </w:tcPr>
          <w:p w14:paraId="26CCB766" w14:textId="77777777" w:rsidR="007C6D7E" w:rsidRPr="007C6D7E" w:rsidRDefault="007C6D7E" w:rsidP="007C6D7E">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t>82</w:t>
            </w:r>
          </w:p>
        </w:tc>
        <w:tc>
          <w:tcPr>
            <w:tcW w:w="1276" w:type="dxa"/>
            <w:tcBorders>
              <w:top w:val="single" w:sz="4" w:space="0" w:color="auto"/>
              <w:bottom w:val="single" w:sz="4" w:space="0" w:color="auto"/>
              <w:right w:val="single" w:sz="4" w:space="0" w:color="auto"/>
            </w:tcBorders>
            <w:shd w:val="clear" w:color="auto" w:fill="auto"/>
            <w:noWrap/>
          </w:tcPr>
          <w:p w14:paraId="16A49787"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29/06/2021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4355D6DB"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Linkhouse Industries Ltd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4F206DF8"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2A2797D7"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Linkhouse Industries Ltd</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BF8D74A" w14:textId="77777777" w:rsidR="007C6D7E" w:rsidRPr="007C6D7E" w:rsidRDefault="007C6D7E" w:rsidP="007C6D7E">
            <w:pPr>
              <w:shd w:val="clear" w:color="auto" w:fill="FFFFFF"/>
              <w:jc w:val="both"/>
              <w:rPr>
                <w:rFonts w:ascii="Palatino Linotype" w:hAnsi="Palatino Linotype"/>
                <w:sz w:val="20"/>
                <w:szCs w:val="20"/>
              </w:rPr>
            </w:pPr>
            <w:r w:rsidRPr="007C6D7E">
              <w:rPr>
                <w:rFonts w:ascii="Palatino Linotype" w:hAnsi="Palatino Linotype"/>
                <w:sz w:val="20"/>
                <w:szCs w:val="20"/>
              </w:rPr>
              <w:t>Clause 35 of the Listing Agreement with BSE read with Section 21 of SEBI Securities Contracts (Regulations)  (Procedure  for  Holding  Inquiry  and Imposing Penalties) Rules, 2005</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246816F7" w14:textId="77777777" w:rsidR="007C6D7E" w:rsidRPr="007C6D7E" w:rsidRDefault="007C6D7E" w:rsidP="007C6D7E">
            <w:pPr>
              <w:jc w:val="right"/>
              <w:rPr>
                <w:rFonts w:ascii="Palatino Linotype" w:hAnsi="Palatino Linotype"/>
                <w:sz w:val="20"/>
                <w:szCs w:val="20"/>
              </w:rPr>
            </w:pPr>
            <w:r w:rsidRPr="007C6D7E">
              <w:rPr>
                <w:rFonts w:ascii="Palatino Linotype" w:hAnsi="Palatino Linotype"/>
                <w:sz w:val="20"/>
                <w:szCs w:val="20"/>
              </w:rPr>
              <w:t>3,00,000</w:t>
            </w:r>
          </w:p>
        </w:tc>
      </w:tr>
      <w:tr w:rsidR="007C6D7E" w:rsidRPr="00B83873" w14:paraId="3B5EB565" w14:textId="77777777" w:rsidTr="007C6D7E">
        <w:trPr>
          <w:trHeight w:val="300"/>
        </w:trPr>
        <w:tc>
          <w:tcPr>
            <w:tcW w:w="567" w:type="dxa"/>
            <w:tcBorders>
              <w:top w:val="single" w:sz="4" w:space="0" w:color="auto"/>
              <w:left w:val="single" w:sz="4" w:space="0" w:color="auto"/>
              <w:bottom w:val="single" w:sz="4" w:space="0" w:color="auto"/>
              <w:right w:val="single" w:sz="4" w:space="0" w:color="auto"/>
            </w:tcBorders>
          </w:tcPr>
          <w:p w14:paraId="357661BA" w14:textId="77777777" w:rsidR="007C6D7E" w:rsidRPr="007C6D7E" w:rsidRDefault="007C6D7E" w:rsidP="007C6D7E">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t>83</w:t>
            </w:r>
          </w:p>
        </w:tc>
        <w:tc>
          <w:tcPr>
            <w:tcW w:w="1276" w:type="dxa"/>
            <w:tcBorders>
              <w:top w:val="single" w:sz="4" w:space="0" w:color="auto"/>
              <w:bottom w:val="single" w:sz="4" w:space="0" w:color="auto"/>
              <w:right w:val="single" w:sz="4" w:space="0" w:color="auto"/>
            </w:tcBorders>
            <w:shd w:val="clear" w:color="auto" w:fill="auto"/>
            <w:noWrap/>
          </w:tcPr>
          <w:p w14:paraId="198FFCA2"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29/06/2021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43DB8115"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Scrip of Jyoti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56F3DF3D"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64C8147B"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 xml:space="preserve">Hridaynath Consultancy Pvt. Ltd, Vanraj  Vinodchandra Shah, Vanraj  Vinodchandra Shah HUF. </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AC68D0B" w14:textId="77777777" w:rsidR="007C6D7E" w:rsidRPr="007C6D7E" w:rsidRDefault="007C6D7E" w:rsidP="007C6D7E">
            <w:pPr>
              <w:shd w:val="clear" w:color="auto" w:fill="FFFFFF"/>
              <w:jc w:val="both"/>
              <w:rPr>
                <w:rFonts w:ascii="Palatino Linotype" w:hAnsi="Palatino Linotype"/>
                <w:sz w:val="20"/>
                <w:szCs w:val="20"/>
              </w:rPr>
            </w:pPr>
            <w:r w:rsidRPr="007C6D7E">
              <w:rPr>
                <w:rFonts w:ascii="Palatino Linotype" w:hAnsi="Palatino Linotype"/>
                <w:sz w:val="20"/>
                <w:szCs w:val="20"/>
              </w:rPr>
              <w:t>Section 16 of SC(R)A, 1956 read with SEBI Notification No. S.O. 184(E)  dated March   1,   2000&amp; SEBI Notification No. LAD-NRO/GN/2013-14/26/6667    dated October  03,  2013, Section     13    and Section 18 of SC(R)A, 1956 read with  Section  2(i)  of Regulation 29(1) read  with  29(3)  of the SAST Regulations</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5E1DE172" w14:textId="77777777" w:rsidR="007C6D7E" w:rsidRPr="007C6D7E" w:rsidRDefault="007C6D7E" w:rsidP="007C6D7E">
            <w:pPr>
              <w:jc w:val="right"/>
              <w:rPr>
                <w:rFonts w:ascii="Palatino Linotype" w:hAnsi="Palatino Linotype"/>
                <w:sz w:val="20"/>
                <w:szCs w:val="20"/>
              </w:rPr>
            </w:pPr>
            <w:r w:rsidRPr="007C6D7E">
              <w:rPr>
                <w:rFonts w:ascii="Palatino Linotype" w:hAnsi="Palatino Linotype"/>
                <w:sz w:val="20"/>
                <w:szCs w:val="20"/>
              </w:rPr>
              <w:t>8,00,000</w:t>
            </w:r>
          </w:p>
        </w:tc>
      </w:tr>
      <w:tr w:rsidR="007C6D7E" w:rsidRPr="00B83873" w14:paraId="03CD5483" w14:textId="77777777" w:rsidTr="007C6D7E">
        <w:trPr>
          <w:trHeight w:val="300"/>
        </w:trPr>
        <w:tc>
          <w:tcPr>
            <w:tcW w:w="567" w:type="dxa"/>
            <w:tcBorders>
              <w:top w:val="single" w:sz="4" w:space="0" w:color="auto"/>
              <w:left w:val="single" w:sz="4" w:space="0" w:color="auto"/>
              <w:bottom w:val="single" w:sz="4" w:space="0" w:color="auto"/>
              <w:right w:val="single" w:sz="4" w:space="0" w:color="auto"/>
            </w:tcBorders>
          </w:tcPr>
          <w:p w14:paraId="3B61BB82" w14:textId="77777777" w:rsidR="007C6D7E" w:rsidRPr="007C6D7E" w:rsidRDefault="007C6D7E" w:rsidP="007C6D7E">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t>84</w:t>
            </w:r>
          </w:p>
        </w:tc>
        <w:tc>
          <w:tcPr>
            <w:tcW w:w="1276" w:type="dxa"/>
            <w:tcBorders>
              <w:top w:val="single" w:sz="4" w:space="0" w:color="auto"/>
              <w:bottom w:val="single" w:sz="4" w:space="0" w:color="auto"/>
              <w:right w:val="single" w:sz="4" w:space="0" w:color="auto"/>
            </w:tcBorders>
            <w:shd w:val="clear" w:color="auto" w:fill="auto"/>
            <w:noWrap/>
          </w:tcPr>
          <w:p w14:paraId="2F633F92"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29/06/2021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0D8A999C"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Scrip of Jyoti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1933B9C9"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706B0BC3"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Gandiv Investment Pvt. Ltd.</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5AF3D70" w14:textId="77777777" w:rsidR="007C6D7E" w:rsidRPr="007C6D7E" w:rsidRDefault="007C6D7E" w:rsidP="007C6D7E">
            <w:pPr>
              <w:shd w:val="clear" w:color="auto" w:fill="FFFFFF"/>
              <w:jc w:val="both"/>
              <w:rPr>
                <w:rFonts w:ascii="Palatino Linotype" w:hAnsi="Palatino Linotype"/>
                <w:sz w:val="20"/>
                <w:szCs w:val="20"/>
              </w:rPr>
            </w:pPr>
            <w:r w:rsidRPr="007C6D7E">
              <w:rPr>
                <w:rFonts w:ascii="Palatino Linotype" w:hAnsi="Palatino Linotype"/>
                <w:sz w:val="20"/>
                <w:szCs w:val="20"/>
              </w:rPr>
              <w:t xml:space="preserve">Section  16  of  SC(R)A, 1956  read  with SEBI  Notification  No.  S.O.  184(E)  dated March  1,  2000&amp;  SEBI  Notification  No. LAD-NRO/GN/2013-14/26/6667 dated October  03,  2013,  </w:t>
            </w:r>
            <w:r w:rsidRPr="007C6D7E">
              <w:rPr>
                <w:rFonts w:ascii="Palatino Linotype" w:hAnsi="Palatino Linotype"/>
                <w:sz w:val="20"/>
                <w:szCs w:val="20"/>
              </w:rPr>
              <w:lastRenderedPageBreak/>
              <w:t>Section  13 and  Section 18  of  SC(R)A,  1956  read  with  Section  2(i) of SC(R)A, 1956</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3ED4C66F" w14:textId="77777777" w:rsidR="007C6D7E" w:rsidRPr="007C6D7E" w:rsidRDefault="007C6D7E" w:rsidP="007C6D7E">
            <w:pPr>
              <w:jc w:val="right"/>
              <w:rPr>
                <w:rFonts w:ascii="Palatino Linotype" w:hAnsi="Palatino Linotype"/>
                <w:sz w:val="20"/>
                <w:szCs w:val="20"/>
              </w:rPr>
            </w:pPr>
            <w:r w:rsidRPr="007C6D7E">
              <w:rPr>
                <w:rFonts w:ascii="Palatino Linotype" w:hAnsi="Palatino Linotype"/>
                <w:sz w:val="20"/>
                <w:szCs w:val="20"/>
              </w:rPr>
              <w:lastRenderedPageBreak/>
              <w:t>5,00,000</w:t>
            </w:r>
          </w:p>
        </w:tc>
      </w:tr>
      <w:tr w:rsidR="007C6D7E" w:rsidRPr="00B83873" w14:paraId="21888D45" w14:textId="77777777" w:rsidTr="007C6D7E">
        <w:trPr>
          <w:trHeight w:val="300"/>
        </w:trPr>
        <w:tc>
          <w:tcPr>
            <w:tcW w:w="567" w:type="dxa"/>
            <w:tcBorders>
              <w:top w:val="single" w:sz="4" w:space="0" w:color="auto"/>
              <w:left w:val="single" w:sz="4" w:space="0" w:color="auto"/>
              <w:bottom w:val="single" w:sz="4" w:space="0" w:color="auto"/>
              <w:right w:val="single" w:sz="4" w:space="0" w:color="auto"/>
            </w:tcBorders>
          </w:tcPr>
          <w:p w14:paraId="772FE44D" w14:textId="77777777" w:rsidR="007C6D7E" w:rsidRPr="007C6D7E" w:rsidRDefault="007C6D7E" w:rsidP="007C6D7E">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lastRenderedPageBreak/>
              <w:t>85</w:t>
            </w:r>
          </w:p>
        </w:tc>
        <w:tc>
          <w:tcPr>
            <w:tcW w:w="1276" w:type="dxa"/>
            <w:tcBorders>
              <w:top w:val="single" w:sz="4" w:space="0" w:color="auto"/>
              <w:bottom w:val="single" w:sz="4" w:space="0" w:color="auto"/>
              <w:right w:val="single" w:sz="4" w:space="0" w:color="auto"/>
            </w:tcBorders>
            <w:shd w:val="clear" w:color="auto" w:fill="auto"/>
            <w:noWrap/>
          </w:tcPr>
          <w:p w14:paraId="03565F74"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29/06/2021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239893D3"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scrip of Jyoti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2F6BBF59"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53988DED"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 xml:space="preserve">Bharat Jayantilal Patel and 6 Others </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E8999B6" w14:textId="77777777" w:rsidR="007C6D7E" w:rsidRPr="007C6D7E" w:rsidRDefault="007C6D7E" w:rsidP="007C6D7E">
            <w:pPr>
              <w:shd w:val="clear" w:color="auto" w:fill="FFFFFF"/>
              <w:jc w:val="both"/>
              <w:rPr>
                <w:rFonts w:ascii="Palatino Linotype" w:hAnsi="Palatino Linotype"/>
                <w:sz w:val="20"/>
                <w:szCs w:val="20"/>
              </w:rPr>
            </w:pPr>
            <w:r w:rsidRPr="007C6D7E">
              <w:rPr>
                <w:rFonts w:ascii="Palatino Linotype" w:hAnsi="Palatino Linotype"/>
                <w:sz w:val="20"/>
                <w:szCs w:val="20"/>
              </w:rPr>
              <w:t>Section 16 of SC(R)A, 1956, SEBI Notification No. S.O. 184(E) dated March 1, 2000&amp; SEBI Notification No. LAD-NRO/GN/2013-14/26/6667 dated October 03, 2013, Section 13 and Section 18 of SC(R)A, 1956 read with Section 2(i) of SC(R)A, 1956. Regulation 29(2) read with 29(3) of the SAST Regulations</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1FDAA214" w14:textId="77777777" w:rsidR="007C6D7E" w:rsidRPr="007C6D7E" w:rsidRDefault="007C6D7E" w:rsidP="007C6D7E">
            <w:pPr>
              <w:jc w:val="right"/>
              <w:rPr>
                <w:rFonts w:ascii="Palatino Linotype" w:hAnsi="Palatino Linotype"/>
                <w:sz w:val="20"/>
                <w:szCs w:val="20"/>
              </w:rPr>
            </w:pPr>
            <w:r w:rsidRPr="007C6D7E">
              <w:rPr>
                <w:rFonts w:ascii="Palatino Linotype" w:hAnsi="Palatino Linotype"/>
                <w:sz w:val="20"/>
                <w:szCs w:val="20"/>
              </w:rPr>
              <w:t>22,00,000</w:t>
            </w:r>
          </w:p>
        </w:tc>
      </w:tr>
      <w:tr w:rsidR="007C6D7E" w:rsidRPr="00B83873" w14:paraId="5643E080" w14:textId="77777777" w:rsidTr="007C6D7E">
        <w:trPr>
          <w:trHeight w:val="300"/>
        </w:trPr>
        <w:tc>
          <w:tcPr>
            <w:tcW w:w="567" w:type="dxa"/>
            <w:tcBorders>
              <w:top w:val="single" w:sz="4" w:space="0" w:color="auto"/>
              <w:left w:val="single" w:sz="4" w:space="0" w:color="auto"/>
              <w:bottom w:val="single" w:sz="4" w:space="0" w:color="auto"/>
              <w:right w:val="single" w:sz="4" w:space="0" w:color="auto"/>
            </w:tcBorders>
          </w:tcPr>
          <w:p w14:paraId="0EA045CB" w14:textId="77777777" w:rsidR="007C6D7E" w:rsidRPr="007C6D7E" w:rsidRDefault="007C6D7E" w:rsidP="007C6D7E">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t>86</w:t>
            </w:r>
          </w:p>
        </w:tc>
        <w:tc>
          <w:tcPr>
            <w:tcW w:w="1276" w:type="dxa"/>
            <w:tcBorders>
              <w:top w:val="single" w:sz="4" w:space="0" w:color="auto"/>
              <w:bottom w:val="single" w:sz="4" w:space="0" w:color="auto"/>
              <w:right w:val="single" w:sz="4" w:space="0" w:color="auto"/>
            </w:tcBorders>
            <w:shd w:val="clear" w:color="auto" w:fill="auto"/>
            <w:noWrap/>
          </w:tcPr>
          <w:p w14:paraId="35A2394A"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29/06/2021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2B7C9CBB"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India Max Group</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66958B65"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12119D40"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 xml:space="preserve">DDP –ICICI  Bank  Limited, FPI –India  Max  Investment  Fund  Limited, FPI –Grovsnor  Investment  Fund  Limited </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8CA67E2" w14:textId="77777777" w:rsidR="007C6D7E" w:rsidRPr="007C6D7E" w:rsidRDefault="007C6D7E" w:rsidP="007C6D7E">
            <w:pPr>
              <w:shd w:val="clear" w:color="auto" w:fill="FFFFFF"/>
              <w:jc w:val="both"/>
              <w:rPr>
                <w:rFonts w:ascii="Palatino Linotype" w:hAnsi="Palatino Linotype"/>
                <w:sz w:val="20"/>
                <w:szCs w:val="20"/>
              </w:rPr>
            </w:pPr>
            <w:r w:rsidRPr="007C6D7E">
              <w:rPr>
                <w:rFonts w:ascii="Palatino Linotype" w:hAnsi="Palatino Linotype"/>
                <w:sz w:val="20"/>
                <w:szCs w:val="20"/>
              </w:rPr>
              <w:t>Regulations 23(1)(a), 23(1)(b), 23(1)(g), 23(3), Clauses (1), (2), (5) and (6) of Third Schedule read with Regulation 24 of SEBI (Foreign Portfolio Investors), 2014 read with Regulation 45(2) of the FPI Regulations, 2019</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18001575" w14:textId="77777777" w:rsidR="007C6D7E" w:rsidRPr="007C6D7E" w:rsidRDefault="007C6D7E" w:rsidP="007C6D7E">
            <w:pPr>
              <w:jc w:val="right"/>
              <w:rPr>
                <w:rFonts w:ascii="Palatino Linotype" w:hAnsi="Palatino Linotype"/>
                <w:sz w:val="20"/>
                <w:szCs w:val="20"/>
              </w:rPr>
            </w:pPr>
            <w:r w:rsidRPr="007C6D7E">
              <w:rPr>
                <w:rFonts w:ascii="Palatino Linotype" w:hAnsi="Palatino Linotype"/>
                <w:sz w:val="20"/>
                <w:szCs w:val="20"/>
              </w:rPr>
              <w:t>10,00,000</w:t>
            </w:r>
          </w:p>
        </w:tc>
      </w:tr>
      <w:tr w:rsidR="007C6D7E" w:rsidRPr="00B83873" w14:paraId="227DB6C8" w14:textId="77777777" w:rsidTr="007C6D7E">
        <w:trPr>
          <w:trHeight w:val="300"/>
        </w:trPr>
        <w:tc>
          <w:tcPr>
            <w:tcW w:w="567" w:type="dxa"/>
            <w:tcBorders>
              <w:top w:val="single" w:sz="4" w:space="0" w:color="auto"/>
              <w:left w:val="single" w:sz="4" w:space="0" w:color="auto"/>
              <w:bottom w:val="single" w:sz="4" w:space="0" w:color="auto"/>
              <w:right w:val="single" w:sz="4" w:space="0" w:color="auto"/>
            </w:tcBorders>
          </w:tcPr>
          <w:p w14:paraId="050874C8" w14:textId="77777777" w:rsidR="007C6D7E" w:rsidRPr="007C6D7E" w:rsidRDefault="007C6D7E" w:rsidP="007C6D7E">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t>87</w:t>
            </w:r>
          </w:p>
        </w:tc>
        <w:tc>
          <w:tcPr>
            <w:tcW w:w="1276" w:type="dxa"/>
            <w:tcBorders>
              <w:top w:val="single" w:sz="4" w:space="0" w:color="auto"/>
              <w:bottom w:val="single" w:sz="4" w:space="0" w:color="auto"/>
              <w:right w:val="single" w:sz="4" w:space="0" w:color="auto"/>
            </w:tcBorders>
            <w:shd w:val="clear" w:color="auto" w:fill="auto"/>
            <w:noWrap/>
          </w:tcPr>
          <w:p w14:paraId="3074CDCF"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29/06/2021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0C085E09"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Dealing in Illiquid Options on the BSE</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380C3EF6"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48D825FA"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Kewal Chand Jain</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735D405" w14:textId="77777777" w:rsidR="007C6D7E" w:rsidRPr="007C6D7E" w:rsidRDefault="007C6D7E" w:rsidP="007C6D7E">
            <w:pPr>
              <w:shd w:val="clear" w:color="auto" w:fill="FFFFFF"/>
              <w:jc w:val="both"/>
              <w:rPr>
                <w:rFonts w:ascii="Palatino Linotype" w:hAnsi="Palatino Linotype"/>
                <w:sz w:val="20"/>
                <w:szCs w:val="20"/>
              </w:rPr>
            </w:pPr>
            <w:r w:rsidRPr="007C6D7E">
              <w:rPr>
                <w:rFonts w:ascii="Palatino Linotype" w:hAnsi="Palatino Linotype"/>
                <w:sz w:val="20"/>
                <w:szCs w:val="20"/>
              </w:rPr>
              <w:t>Regulations 3(a), 4(1), 4(2)(a)  of  the  PFUTP  Regulations, 2003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57138261" w14:textId="77777777" w:rsidR="007C6D7E" w:rsidRPr="007C6D7E" w:rsidRDefault="007C6D7E" w:rsidP="007C6D7E">
            <w:pPr>
              <w:jc w:val="right"/>
              <w:rPr>
                <w:rFonts w:ascii="Palatino Linotype" w:hAnsi="Palatino Linotype"/>
                <w:sz w:val="20"/>
                <w:szCs w:val="20"/>
              </w:rPr>
            </w:pPr>
            <w:r w:rsidRPr="007C6D7E">
              <w:rPr>
                <w:rFonts w:ascii="Palatino Linotype" w:hAnsi="Palatino Linotype"/>
                <w:sz w:val="20"/>
                <w:szCs w:val="20"/>
              </w:rPr>
              <w:t>6,00,000</w:t>
            </w:r>
          </w:p>
        </w:tc>
      </w:tr>
      <w:tr w:rsidR="007C6D7E" w:rsidRPr="00B83873" w14:paraId="51EC7A4E" w14:textId="77777777" w:rsidTr="007C6D7E">
        <w:trPr>
          <w:trHeight w:val="300"/>
        </w:trPr>
        <w:tc>
          <w:tcPr>
            <w:tcW w:w="567" w:type="dxa"/>
            <w:tcBorders>
              <w:top w:val="single" w:sz="4" w:space="0" w:color="auto"/>
              <w:left w:val="single" w:sz="4" w:space="0" w:color="auto"/>
              <w:bottom w:val="single" w:sz="4" w:space="0" w:color="auto"/>
              <w:right w:val="single" w:sz="4" w:space="0" w:color="auto"/>
            </w:tcBorders>
          </w:tcPr>
          <w:p w14:paraId="4BD9CD94" w14:textId="77777777" w:rsidR="007C6D7E" w:rsidRPr="007C6D7E" w:rsidRDefault="007C6D7E" w:rsidP="007C6D7E">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t>88</w:t>
            </w:r>
          </w:p>
        </w:tc>
        <w:tc>
          <w:tcPr>
            <w:tcW w:w="1276" w:type="dxa"/>
            <w:tcBorders>
              <w:top w:val="single" w:sz="4" w:space="0" w:color="auto"/>
              <w:bottom w:val="single" w:sz="4" w:space="0" w:color="auto"/>
              <w:right w:val="single" w:sz="4" w:space="0" w:color="auto"/>
            </w:tcBorders>
            <w:shd w:val="clear" w:color="auto" w:fill="auto"/>
            <w:noWrap/>
          </w:tcPr>
          <w:p w14:paraId="7DB08612"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29/06/2021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78146289"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Mystic Electronics Ltd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411527AB"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639F9560"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Function Financial  Consultants  P  Ltd.  and  Helpful  Investment  Advisory  P  Ltd.</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C325DEF" w14:textId="77777777" w:rsidR="007C6D7E" w:rsidRPr="007C6D7E" w:rsidRDefault="007C6D7E" w:rsidP="007C6D7E">
            <w:pPr>
              <w:shd w:val="clear" w:color="auto" w:fill="FFFFFF"/>
              <w:jc w:val="both"/>
              <w:rPr>
                <w:rFonts w:ascii="Palatino Linotype" w:hAnsi="Palatino Linotype"/>
                <w:sz w:val="20"/>
                <w:szCs w:val="20"/>
              </w:rPr>
            </w:pPr>
            <w:r w:rsidRPr="007C6D7E">
              <w:rPr>
                <w:rFonts w:ascii="Palatino Linotype" w:hAnsi="Palatino Linotype"/>
                <w:sz w:val="20"/>
                <w:szCs w:val="20"/>
              </w:rPr>
              <w:t>Regulations 3(a), (b), (c), (d), 4(1), 4(2) (a) and (e) of  PFUTP Regulations</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334AA6C4" w14:textId="77777777" w:rsidR="007C6D7E" w:rsidRPr="007C6D7E" w:rsidRDefault="007C6D7E" w:rsidP="007C6D7E">
            <w:pPr>
              <w:jc w:val="right"/>
              <w:rPr>
                <w:rFonts w:ascii="Palatino Linotype" w:hAnsi="Palatino Linotype"/>
                <w:sz w:val="20"/>
                <w:szCs w:val="20"/>
              </w:rPr>
            </w:pPr>
            <w:r w:rsidRPr="007C6D7E">
              <w:rPr>
                <w:rFonts w:ascii="Palatino Linotype" w:hAnsi="Palatino Linotype"/>
                <w:sz w:val="20"/>
                <w:szCs w:val="20"/>
              </w:rPr>
              <w:t>7,00,000</w:t>
            </w:r>
          </w:p>
        </w:tc>
      </w:tr>
      <w:tr w:rsidR="007C6D7E" w:rsidRPr="00B83873" w14:paraId="6845A39E" w14:textId="77777777" w:rsidTr="007C6D7E">
        <w:trPr>
          <w:trHeight w:val="300"/>
        </w:trPr>
        <w:tc>
          <w:tcPr>
            <w:tcW w:w="567" w:type="dxa"/>
            <w:tcBorders>
              <w:top w:val="single" w:sz="4" w:space="0" w:color="auto"/>
              <w:left w:val="single" w:sz="4" w:space="0" w:color="auto"/>
              <w:bottom w:val="single" w:sz="4" w:space="0" w:color="auto"/>
              <w:right w:val="single" w:sz="4" w:space="0" w:color="auto"/>
            </w:tcBorders>
          </w:tcPr>
          <w:p w14:paraId="781CD8A6" w14:textId="77777777" w:rsidR="007C6D7E" w:rsidRPr="007C6D7E" w:rsidRDefault="007C6D7E" w:rsidP="007C6D7E">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t>89</w:t>
            </w:r>
          </w:p>
        </w:tc>
        <w:tc>
          <w:tcPr>
            <w:tcW w:w="1276" w:type="dxa"/>
            <w:tcBorders>
              <w:top w:val="single" w:sz="4" w:space="0" w:color="auto"/>
              <w:bottom w:val="single" w:sz="4" w:space="0" w:color="auto"/>
              <w:right w:val="single" w:sz="4" w:space="0" w:color="auto"/>
            </w:tcBorders>
            <w:shd w:val="clear" w:color="auto" w:fill="auto"/>
            <w:noWrap/>
          </w:tcPr>
          <w:p w14:paraId="05B0621A"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30/06/2021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5AB0346B"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Dealings in Illiquid Stock Options at BSE</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34D7D6D2"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575909FC"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York  Financial  Services Private Limited</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DE0DE45" w14:textId="77777777" w:rsidR="007C6D7E" w:rsidRPr="007C6D7E" w:rsidRDefault="007C6D7E" w:rsidP="007C6D7E">
            <w:pPr>
              <w:shd w:val="clear" w:color="auto" w:fill="FFFFFF"/>
              <w:jc w:val="both"/>
              <w:rPr>
                <w:rFonts w:ascii="Palatino Linotype" w:hAnsi="Palatino Linotype"/>
                <w:sz w:val="20"/>
                <w:szCs w:val="20"/>
              </w:rPr>
            </w:pPr>
            <w:r w:rsidRPr="007C6D7E">
              <w:rPr>
                <w:rFonts w:ascii="Palatino Linotype" w:hAnsi="Palatino Linotype"/>
                <w:sz w:val="20"/>
                <w:szCs w:val="20"/>
              </w:rPr>
              <w:t>Regulations 3(a), (b), (c), (d), 4(1) and  4(2)(a)  of  PFUTP  Regulations</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06BBA8C1" w14:textId="77777777" w:rsidR="007C6D7E" w:rsidRPr="007C6D7E" w:rsidRDefault="007C6D7E" w:rsidP="007C6D7E">
            <w:pPr>
              <w:jc w:val="right"/>
              <w:rPr>
                <w:rFonts w:ascii="Palatino Linotype" w:hAnsi="Palatino Linotype"/>
                <w:sz w:val="20"/>
                <w:szCs w:val="20"/>
              </w:rPr>
            </w:pPr>
            <w:r w:rsidRPr="007C6D7E">
              <w:rPr>
                <w:rFonts w:ascii="Palatino Linotype" w:hAnsi="Palatino Linotype"/>
                <w:sz w:val="20"/>
                <w:szCs w:val="20"/>
              </w:rPr>
              <w:t>5,00,000</w:t>
            </w:r>
          </w:p>
        </w:tc>
      </w:tr>
      <w:tr w:rsidR="007C6D7E" w:rsidRPr="00B83873" w14:paraId="4883FF1B" w14:textId="77777777" w:rsidTr="007C6D7E">
        <w:trPr>
          <w:trHeight w:val="300"/>
        </w:trPr>
        <w:tc>
          <w:tcPr>
            <w:tcW w:w="567" w:type="dxa"/>
            <w:tcBorders>
              <w:top w:val="single" w:sz="4" w:space="0" w:color="auto"/>
              <w:left w:val="single" w:sz="4" w:space="0" w:color="auto"/>
              <w:bottom w:val="single" w:sz="4" w:space="0" w:color="auto"/>
              <w:right w:val="single" w:sz="4" w:space="0" w:color="auto"/>
            </w:tcBorders>
          </w:tcPr>
          <w:p w14:paraId="52A2C461" w14:textId="77777777" w:rsidR="007C6D7E" w:rsidRPr="007C6D7E" w:rsidRDefault="007C6D7E" w:rsidP="007C6D7E">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t>90</w:t>
            </w:r>
          </w:p>
        </w:tc>
        <w:tc>
          <w:tcPr>
            <w:tcW w:w="1276" w:type="dxa"/>
            <w:tcBorders>
              <w:top w:val="single" w:sz="4" w:space="0" w:color="auto"/>
              <w:bottom w:val="single" w:sz="4" w:space="0" w:color="auto"/>
              <w:right w:val="single" w:sz="4" w:space="0" w:color="auto"/>
            </w:tcBorders>
            <w:shd w:val="clear" w:color="auto" w:fill="auto"/>
            <w:noWrap/>
          </w:tcPr>
          <w:p w14:paraId="4954B13A"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30/06/2021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511FDECD"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Tijaria Polypipes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4EB34B6B"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4F6125C1"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 xml:space="preserve">Grishma Securities Private Limited,   Chandrika   H Gandhi, Ketan C Shah, Chhabil C Shah, Mihir Ghelani. </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CF24DCE" w14:textId="77777777" w:rsidR="007C6D7E" w:rsidRPr="007C6D7E" w:rsidRDefault="007C6D7E" w:rsidP="007C6D7E">
            <w:pPr>
              <w:shd w:val="clear" w:color="auto" w:fill="FFFFFF"/>
              <w:jc w:val="both"/>
              <w:rPr>
                <w:rFonts w:ascii="Palatino Linotype" w:hAnsi="Palatino Linotype"/>
                <w:sz w:val="20"/>
                <w:szCs w:val="20"/>
              </w:rPr>
            </w:pPr>
            <w:r w:rsidRPr="007C6D7E">
              <w:rPr>
                <w:rFonts w:ascii="Palatino Linotype" w:hAnsi="Palatino Linotype"/>
                <w:sz w:val="20"/>
                <w:szCs w:val="20"/>
              </w:rPr>
              <w:t xml:space="preserve">Section   12A(a),   12A(b), 12A(c)  and  12A(d)  of  the SEBI   Act,   read   with Regulations 3(a), 3(b), 3(c), 4(1),  4(2)(a),  4(2)(d)  and 4(2)(p)   of   the   PFUTP Regulations, 2003. Section  23D  of  SCRA  and Regulations </w:t>
            </w:r>
            <w:r w:rsidRPr="007C6D7E">
              <w:rPr>
                <w:rFonts w:ascii="Palatino Linotype" w:hAnsi="Palatino Linotype"/>
                <w:sz w:val="20"/>
                <w:szCs w:val="20"/>
              </w:rPr>
              <w:lastRenderedPageBreak/>
              <w:t>26(xiii), 26(xvi), Regulation  7  of  the  Stock Brokers  Regulations  read with Clauses A(1), A(2), A(3) and  A(4)  of  the  Code  of Conduct for Stock Brokers of Schedule I</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569FB8DE" w14:textId="77777777" w:rsidR="007C6D7E" w:rsidRPr="007C6D7E" w:rsidRDefault="007C6D7E" w:rsidP="007C6D7E">
            <w:pPr>
              <w:jc w:val="right"/>
              <w:rPr>
                <w:rFonts w:ascii="Palatino Linotype" w:hAnsi="Palatino Linotype"/>
                <w:sz w:val="20"/>
                <w:szCs w:val="20"/>
              </w:rPr>
            </w:pPr>
            <w:r w:rsidRPr="007C6D7E">
              <w:rPr>
                <w:rFonts w:ascii="Palatino Linotype" w:hAnsi="Palatino Linotype"/>
                <w:sz w:val="20"/>
                <w:szCs w:val="20"/>
              </w:rPr>
              <w:lastRenderedPageBreak/>
              <w:t>70,00,000</w:t>
            </w:r>
          </w:p>
        </w:tc>
      </w:tr>
      <w:tr w:rsidR="007C6D7E" w:rsidRPr="00B83873" w14:paraId="27327BDD" w14:textId="77777777" w:rsidTr="007C6D7E">
        <w:trPr>
          <w:trHeight w:val="300"/>
        </w:trPr>
        <w:tc>
          <w:tcPr>
            <w:tcW w:w="567" w:type="dxa"/>
            <w:tcBorders>
              <w:top w:val="single" w:sz="4" w:space="0" w:color="auto"/>
              <w:left w:val="single" w:sz="4" w:space="0" w:color="auto"/>
              <w:bottom w:val="single" w:sz="4" w:space="0" w:color="auto"/>
              <w:right w:val="single" w:sz="4" w:space="0" w:color="auto"/>
            </w:tcBorders>
          </w:tcPr>
          <w:p w14:paraId="0ADE7C37" w14:textId="77777777" w:rsidR="007C6D7E" w:rsidRPr="007C6D7E" w:rsidRDefault="007C6D7E" w:rsidP="007C6D7E">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lastRenderedPageBreak/>
              <w:t>91</w:t>
            </w:r>
          </w:p>
        </w:tc>
        <w:tc>
          <w:tcPr>
            <w:tcW w:w="1276" w:type="dxa"/>
            <w:tcBorders>
              <w:top w:val="single" w:sz="4" w:space="0" w:color="auto"/>
              <w:bottom w:val="single" w:sz="4" w:space="0" w:color="auto"/>
              <w:right w:val="single" w:sz="4" w:space="0" w:color="auto"/>
            </w:tcBorders>
            <w:shd w:val="clear" w:color="auto" w:fill="auto"/>
            <w:noWrap/>
          </w:tcPr>
          <w:p w14:paraId="144FEF73"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30/06/2021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59A1BB5C"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PMC Fincorp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2C9D952F"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347100F8"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 xml:space="preserve">J M S Financial Services Ltd, Mindex Capital Market Private Limited, M K N Commodity Brokers Private Limited, S K Aggarwal HUF, MK Aggarwal HUF, K K Aggarwal HUF, Nitin Aggarwal HUF. </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E3EFC36" w14:textId="77777777" w:rsidR="007C6D7E" w:rsidRPr="007C6D7E" w:rsidRDefault="007C6D7E" w:rsidP="007C6D7E">
            <w:pPr>
              <w:shd w:val="clear" w:color="auto" w:fill="FFFFFF"/>
              <w:jc w:val="both"/>
              <w:rPr>
                <w:rFonts w:ascii="Palatino Linotype" w:hAnsi="Palatino Linotype"/>
                <w:sz w:val="20"/>
                <w:szCs w:val="20"/>
              </w:rPr>
            </w:pPr>
            <w:r w:rsidRPr="007C6D7E">
              <w:rPr>
                <w:rFonts w:ascii="Palatino Linotype" w:hAnsi="Palatino Linotype"/>
                <w:sz w:val="20"/>
                <w:szCs w:val="20"/>
              </w:rPr>
              <w:t>Section   12A(a),(b),(c)   of   SEBI   Act read   with   Regulation 3(a),(b),(c),(d) and Regulations 4(1), 4(2) (a), (e) of PFUTP Regulations.</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015EA6D2" w14:textId="77777777" w:rsidR="007C6D7E" w:rsidRPr="007C6D7E" w:rsidRDefault="007C6D7E" w:rsidP="007C6D7E">
            <w:pPr>
              <w:jc w:val="right"/>
              <w:rPr>
                <w:rFonts w:ascii="Palatino Linotype" w:hAnsi="Palatino Linotype"/>
                <w:sz w:val="20"/>
                <w:szCs w:val="20"/>
              </w:rPr>
            </w:pPr>
            <w:r w:rsidRPr="007C6D7E">
              <w:rPr>
                <w:rFonts w:ascii="Palatino Linotype" w:hAnsi="Palatino Linotype"/>
                <w:sz w:val="20"/>
                <w:szCs w:val="20"/>
              </w:rPr>
              <w:t>10,00,000</w:t>
            </w:r>
          </w:p>
        </w:tc>
      </w:tr>
      <w:tr w:rsidR="007C6D7E" w:rsidRPr="00B83873" w14:paraId="5B448465" w14:textId="77777777" w:rsidTr="007C6D7E">
        <w:trPr>
          <w:trHeight w:val="300"/>
        </w:trPr>
        <w:tc>
          <w:tcPr>
            <w:tcW w:w="567" w:type="dxa"/>
            <w:tcBorders>
              <w:top w:val="single" w:sz="4" w:space="0" w:color="auto"/>
              <w:left w:val="single" w:sz="4" w:space="0" w:color="auto"/>
              <w:bottom w:val="single" w:sz="4" w:space="0" w:color="auto"/>
              <w:right w:val="single" w:sz="4" w:space="0" w:color="auto"/>
            </w:tcBorders>
          </w:tcPr>
          <w:p w14:paraId="56C6A241" w14:textId="77777777" w:rsidR="007C6D7E" w:rsidRPr="007C6D7E" w:rsidRDefault="007C6D7E" w:rsidP="007C6D7E">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t>92</w:t>
            </w:r>
          </w:p>
        </w:tc>
        <w:tc>
          <w:tcPr>
            <w:tcW w:w="1276" w:type="dxa"/>
            <w:tcBorders>
              <w:top w:val="single" w:sz="4" w:space="0" w:color="auto"/>
              <w:bottom w:val="single" w:sz="4" w:space="0" w:color="auto"/>
              <w:right w:val="single" w:sz="4" w:space="0" w:color="auto"/>
            </w:tcBorders>
            <w:shd w:val="clear" w:color="auto" w:fill="auto"/>
            <w:noWrap/>
          </w:tcPr>
          <w:p w14:paraId="1D4B7C35"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30/06/2021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73E8BE4A"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Dealings in Illiquid Stock Options at BSE</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42D91033"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1C4F3CFC"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Radha Mohan Purshottam Das Jewels Pvt Ltd</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6E35BD3" w14:textId="77777777" w:rsidR="007C6D7E" w:rsidRPr="007C6D7E" w:rsidRDefault="007C6D7E" w:rsidP="007C6D7E">
            <w:pPr>
              <w:shd w:val="clear" w:color="auto" w:fill="FFFFFF"/>
              <w:jc w:val="both"/>
              <w:rPr>
                <w:rFonts w:ascii="Palatino Linotype" w:hAnsi="Palatino Linotype"/>
                <w:sz w:val="20"/>
                <w:szCs w:val="20"/>
              </w:rPr>
            </w:pPr>
            <w:r w:rsidRPr="007C6D7E">
              <w:rPr>
                <w:rFonts w:ascii="Palatino Linotype" w:hAnsi="Palatino Linotype"/>
                <w:sz w:val="20"/>
                <w:szCs w:val="20"/>
              </w:rPr>
              <w:t>Regulations 3(a), (b), (c), (d), 4(1) and  4(2)(a)  of  PFUTP  Regulations</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7B46840B" w14:textId="77777777" w:rsidR="007C6D7E" w:rsidRPr="007C6D7E" w:rsidRDefault="007C6D7E" w:rsidP="007C6D7E">
            <w:pPr>
              <w:jc w:val="right"/>
              <w:rPr>
                <w:rFonts w:ascii="Palatino Linotype" w:hAnsi="Palatino Linotype"/>
                <w:sz w:val="20"/>
                <w:szCs w:val="20"/>
              </w:rPr>
            </w:pPr>
            <w:r w:rsidRPr="007C6D7E">
              <w:rPr>
                <w:rFonts w:ascii="Palatino Linotype" w:hAnsi="Palatino Linotype"/>
                <w:sz w:val="20"/>
                <w:szCs w:val="20"/>
              </w:rPr>
              <w:t>16,50,000</w:t>
            </w:r>
          </w:p>
        </w:tc>
      </w:tr>
      <w:tr w:rsidR="007C6D7E" w:rsidRPr="00B83873" w14:paraId="64D1B58C" w14:textId="77777777" w:rsidTr="007C6D7E">
        <w:trPr>
          <w:trHeight w:val="300"/>
        </w:trPr>
        <w:tc>
          <w:tcPr>
            <w:tcW w:w="567" w:type="dxa"/>
            <w:tcBorders>
              <w:top w:val="single" w:sz="4" w:space="0" w:color="auto"/>
              <w:left w:val="single" w:sz="4" w:space="0" w:color="auto"/>
              <w:bottom w:val="single" w:sz="4" w:space="0" w:color="auto"/>
              <w:right w:val="single" w:sz="4" w:space="0" w:color="auto"/>
            </w:tcBorders>
          </w:tcPr>
          <w:p w14:paraId="6E97EDD5" w14:textId="77777777" w:rsidR="007C6D7E" w:rsidRPr="007C6D7E" w:rsidRDefault="007C6D7E" w:rsidP="007C6D7E">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t>93</w:t>
            </w:r>
          </w:p>
        </w:tc>
        <w:tc>
          <w:tcPr>
            <w:tcW w:w="1276" w:type="dxa"/>
            <w:tcBorders>
              <w:top w:val="single" w:sz="4" w:space="0" w:color="auto"/>
              <w:bottom w:val="single" w:sz="4" w:space="0" w:color="auto"/>
              <w:right w:val="single" w:sz="4" w:space="0" w:color="auto"/>
            </w:tcBorders>
            <w:shd w:val="clear" w:color="auto" w:fill="auto"/>
            <w:noWrap/>
          </w:tcPr>
          <w:p w14:paraId="558BE7BC"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30/06/2021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7345EBBD"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Dealings in Illiquid Stock Options at BSE</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5C71A6B2"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0F14F061"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AHK Developers  Private  Limited</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1567A6D" w14:textId="77777777" w:rsidR="007C6D7E" w:rsidRPr="007C6D7E" w:rsidRDefault="007C6D7E" w:rsidP="007C6D7E">
            <w:pPr>
              <w:shd w:val="clear" w:color="auto" w:fill="FFFFFF"/>
              <w:jc w:val="both"/>
              <w:rPr>
                <w:rFonts w:ascii="Palatino Linotype" w:hAnsi="Palatino Linotype"/>
                <w:sz w:val="20"/>
                <w:szCs w:val="20"/>
              </w:rPr>
            </w:pPr>
            <w:r w:rsidRPr="007C6D7E">
              <w:rPr>
                <w:rFonts w:ascii="Palatino Linotype" w:hAnsi="Palatino Linotype"/>
                <w:sz w:val="20"/>
                <w:szCs w:val="20"/>
              </w:rPr>
              <w:t>Regulation 3(a), 4(1) and 4(2)(a) of the PFUTP Regulations</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5DA3827C" w14:textId="77777777" w:rsidR="007C6D7E" w:rsidRPr="007C6D7E" w:rsidRDefault="007C6D7E" w:rsidP="007C6D7E">
            <w:pPr>
              <w:jc w:val="right"/>
              <w:rPr>
                <w:rFonts w:ascii="Palatino Linotype" w:hAnsi="Palatino Linotype"/>
                <w:sz w:val="20"/>
                <w:szCs w:val="20"/>
              </w:rPr>
            </w:pPr>
            <w:r w:rsidRPr="007C6D7E">
              <w:rPr>
                <w:rFonts w:ascii="Palatino Linotype" w:hAnsi="Palatino Linotype"/>
                <w:sz w:val="20"/>
                <w:szCs w:val="20"/>
              </w:rPr>
              <w:t>6,00,000</w:t>
            </w:r>
          </w:p>
        </w:tc>
      </w:tr>
      <w:tr w:rsidR="007C6D7E" w:rsidRPr="00B83873" w14:paraId="075C033C" w14:textId="77777777" w:rsidTr="007C6D7E">
        <w:trPr>
          <w:trHeight w:val="300"/>
        </w:trPr>
        <w:tc>
          <w:tcPr>
            <w:tcW w:w="567" w:type="dxa"/>
            <w:tcBorders>
              <w:top w:val="single" w:sz="4" w:space="0" w:color="auto"/>
              <w:left w:val="single" w:sz="4" w:space="0" w:color="auto"/>
              <w:bottom w:val="single" w:sz="4" w:space="0" w:color="auto"/>
              <w:right w:val="single" w:sz="4" w:space="0" w:color="auto"/>
            </w:tcBorders>
          </w:tcPr>
          <w:p w14:paraId="5C2EA847" w14:textId="77777777" w:rsidR="007C6D7E" w:rsidRPr="007C6D7E" w:rsidRDefault="007C6D7E" w:rsidP="007C6D7E">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t>94</w:t>
            </w:r>
          </w:p>
        </w:tc>
        <w:tc>
          <w:tcPr>
            <w:tcW w:w="1276" w:type="dxa"/>
            <w:tcBorders>
              <w:top w:val="single" w:sz="4" w:space="0" w:color="auto"/>
              <w:bottom w:val="single" w:sz="4" w:space="0" w:color="auto"/>
              <w:right w:val="single" w:sz="4" w:space="0" w:color="auto"/>
            </w:tcBorders>
            <w:shd w:val="clear" w:color="auto" w:fill="auto"/>
            <w:noWrap/>
          </w:tcPr>
          <w:p w14:paraId="04FAA5A1"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30/06/2021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1EB0D24E"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Ram Minerals and Chemicals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0080B263"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64482E58"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Jai Ambe Foils Limited, currently known  as  Filtus  Infrastructure Limited</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026D085" w14:textId="77777777" w:rsidR="007C6D7E" w:rsidRPr="007C6D7E" w:rsidRDefault="007C6D7E" w:rsidP="007C6D7E">
            <w:pPr>
              <w:shd w:val="clear" w:color="auto" w:fill="FFFFFF"/>
              <w:jc w:val="both"/>
              <w:rPr>
                <w:rFonts w:ascii="Palatino Linotype" w:hAnsi="Palatino Linotype"/>
                <w:sz w:val="20"/>
                <w:szCs w:val="20"/>
              </w:rPr>
            </w:pPr>
            <w:r w:rsidRPr="007C6D7E">
              <w:rPr>
                <w:rFonts w:ascii="Palatino Linotype" w:hAnsi="Palatino Linotype"/>
                <w:sz w:val="20"/>
                <w:szCs w:val="20"/>
              </w:rPr>
              <w:t>Regulation 3 (a), (b), (c), (d) and4(1) of PFUTP Regulations</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2C1A487F" w14:textId="77777777" w:rsidR="007C6D7E" w:rsidRPr="007C6D7E" w:rsidRDefault="007C6D7E" w:rsidP="007C6D7E">
            <w:pPr>
              <w:jc w:val="right"/>
              <w:rPr>
                <w:rFonts w:ascii="Palatino Linotype" w:hAnsi="Palatino Linotype"/>
                <w:sz w:val="20"/>
                <w:szCs w:val="20"/>
              </w:rPr>
            </w:pPr>
            <w:r w:rsidRPr="007C6D7E">
              <w:rPr>
                <w:rFonts w:ascii="Palatino Linotype" w:hAnsi="Palatino Linotype"/>
                <w:sz w:val="20"/>
                <w:szCs w:val="20"/>
              </w:rPr>
              <w:t>5,00,000</w:t>
            </w:r>
          </w:p>
        </w:tc>
      </w:tr>
      <w:tr w:rsidR="007C6D7E" w:rsidRPr="00B83873" w14:paraId="3071B295" w14:textId="77777777" w:rsidTr="007C6D7E">
        <w:trPr>
          <w:trHeight w:val="300"/>
        </w:trPr>
        <w:tc>
          <w:tcPr>
            <w:tcW w:w="567" w:type="dxa"/>
            <w:tcBorders>
              <w:top w:val="single" w:sz="4" w:space="0" w:color="auto"/>
              <w:left w:val="single" w:sz="4" w:space="0" w:color="auto"/>
              <w:bottom w:val="single" w:sz="4" w:space="0" w:color="auto"/>
              <w:right w:val="single" w:sz="4" w:space="0" w:color="auto"/>
            </w:tcBorders>
          </w:tcPr>
          <w:p w14:paraId="6FF4D921" w14:textId="77777777" w:rsidR="007C6D7E" w:rsidRPr="007C6D7E" w:rsidRDefault="007C6D7E" w:rsidP="007C6D7E">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t>95</w:t>
            </w:r>
          </w:p>
        </w:tc>
        <w:tc>
          <w:tcPr>
            <w:tcW w:w="1276" w:type="dxa"/>
            <w:tcBorders>
              <w:top w:val="single" w:sz="4" w:space="0" w:color="auto"/>
              <w:bottom w:val="single" w:sz="4" w:space="0" w:color="auto"/>
              <w:right w:val="single" w:sz="4" w:space="0" w:color="auto"/>
            </w:tcBorders>
            <w:shd w:val="clear" w:color="auto" w:fill="auto"/>
            <w:noWrap/>
          </w:tcPr>
          <w:p w14:paraId="1F3ABA01"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30/06/2021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2AFE8B4F"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Pyramid Saimira Theatre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02333277"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0123ADC4"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Rajesh  Jani</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0CDE3F7" w14:textId="77777777" w:rsidR="007C6D7E" w:rsidRPr="007C6D7E" w:rsidRDefault="007C6D7E" w:rsidP="007C6D7E">
            <w:pPr>
              <w:shd w:val="clear" w:color="auto" w:fill="FFFFFF"/>
              <w:jc w:val="both"/>
              <w:rPr>
                <w:rFonts w:ascii="Palatino Linotype" w:hAnsi="Palatino Linotype"/>
                <w:sz w:val="20"/>
                <w:szCs w:val="20"/>
              </w:rPr>
            </w:pPr>
            <w:r w:rsidRPr="007C6D7E">
              <w:rPr>
                <w:rFonts w:ascii="Palatino Linotype" w:hAnsi="Palatino Linotype"/>
                <w:sz w:val="20"/>
                <w:szCs w:val="20"/>
              </w:rPr>
              <w:t>Section 12A of the SEBI Act and Regulations 3(a), (b), (c) (d), 4(1), 4(2)(a), (b)and (e) of the PFUTP Regulations, 2003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05AF4834" w14:textId="77777777" w:rsidR="007C6D7E" w:rsidRPr="007C6D7E" w:rsidRDefault="007C6D7E" w:rsidP="007C6D7E">
            <w:pPr>
              <w:jc w:val="right"/>
              <w:rPr>
                <w:rFonts w:ascii="Palatino Linotype" w:hAnsi="Palatino Linotype"/>
                <w:sz w:val="20"/>
                <w:szCs w:val="20"/>
              </w:rPr>
            </w:pPr>
            <w:r w:rsidRPr="007C6D7E">
              <w:rPr>
                <w:rFonts w:ascii="Palatino Linotype" w:hAnsi="Palatino Linotype"/>
                <w:sz w:val="20"/>
                <w:szCs w:val="20"/>
              </w:rPr>
              <w:t>2,00,000</w:t>
            </w:r>
          </w:p>
        </w:tc>
      </w:tr>
      <w:tr w:rsidR="007C6D7E" w:rsidRPr="00B83873" w14:paraId="0C58DDF6" w14:textId="77777777" w:rsidTr="007C6D7E">
        <w:trPr>
          <w:trHeight w:val="300"/>
        </w:trPr>
        <w:tc>
          <w:tcPr>
            <w:tcW w:w="567" w:type="dxa"/>
            <w:tcBorders>
              <w:top w:val="single" w:sz="4" w:space="0" w:color="auto"/>
              <w:left w:val="single" w:sz="4" w:space="0" w:color="auto"/>
              <w:bottom w:val="single" w:sz="4" w:space="0" w:color="auto"/>
              <w:right w:val="single" w:sz="4" w:space="0" w:color="auto"/>
            </w:tcBorders>
          </w:tcPr>
          <w:p w14:paraId="14DCC0BE" w14:textId="77777777" w:rsidR="007C6D7E" w:rsidRPr="007C6D7E" w:rsidRDefault="007C6D7E" w:rsidP="007C6D7E">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t>96</w:t>
            </w:r>
          </w:p>
        </w:tc>
        <w:tc>
          <w:tcPr>
            <w:tcW w:w="1276" w:type="dxa"/>
            <w:tcBorders>
              <w:top w:val="single" w:sz="4" w:space="0" w:color="auto"/>
              <w:bottom w:val="single" w:sz="4" w:space="0" w:color="auto"/>
              <w:right w:val="single" w:sz="4" w:space="0" w:color="auto"/>
            </w:tcBorders>
            <w:shd w:val="clear" w:color="auto" w:fill="auto"/>
            <w:noWrap/>
          </w:tcPr>
          <w:p w14:paraId="73DAFEDB"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30/06/2021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336FFC7D"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Pyramid Saimira Theatre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6A3614A9"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37C37BA6"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Nitin  Goradia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16B6A7E" w14:textId="77777777" w:rsidR="007C6D7E" w:rsidRPr="007C6D7E" w:rsidRDefault="007C6D7E" w:rsidP="007C6D7E">
            <w:pPr>
              <w:shd w:val="clear" w:color="auto" w:fill="FFFFFF"/>
              <w:jc w:val="both"/>
              <w:rPr>
                <w:rFonts w:ascii="Palatino Linotype" w:hAnsi="Palatino Linotype"/>
                <w:sz w:val="20"/>
                <w:szCs w:val="20"/>
              </w:rPr>
            </w:pPr>
            <w:r w:rsidRPr="007C6D7E">
              <w:rPr>
                <w:rFonts w:ascii="Palatino Linotype" w:hAnsi="Palatino Linotype"/>
                <w:sz w:val="20"/>
                <w:szCs w:val="20"/>
              </w:rPr>
              <w:t>Section 12Aof SEBI Act and Regulation 3(a), 3(b), 3(c), 3(d), 4(1), 4(2)(a), 4(2)(b)and 4(2)(e) of PFUTP Regulations, 2003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70E13FC8" w14:textId="77777777" w:rsidR="007C6D7E" w:rsidRPr="007C6D7E" w:rsidRDefault="007C6D7E" w:rsidP="007C6D7E">
            <w:pPr>
              <w:jc w:val="right"/>
              <w:rPr>
                <w:rFonts w:ascii="Palatino Linotype" w:hAnsi="Palatino Linotype"/>
                <w:sz w:val="20"/>
                <w:szCs w:val="20"/>
              </w:rPr>
            </w:pPr>
            <w:r w:rsidRPr="007C6D7E">
              <w:rPr>
                <w:rFonts w:ascii="Palatino Linotype" w:hAnsi="Palatino Linotype"/>
                <w:sz w:val="20"/>
                <w:szCs w:val="20"/>
              </w:rPr>
              <w:t>2,00,000</w:t>
            </w:r>
          </w:p>
        </w:tc>
      </w:tr>
      <w:tr w:rsidR="007C6D7E" w:rsidRPr="00B83873" w14:paraId="3423790C" w14:textId="77777777" w:rsidTr="007C6D7E">
        <w:trPr>
          <w:trHeight w:val="300"/>
        </w:trPr>
        <w:tc>
          <w:tcPr>
            <w:tcW w:w="567" w:type="dxa"/>
            <w:tcBorders>
              <w:top w:val="single" w:sz="4" w:space="0" w:color="auto"/>
              <w:left w:val="single" w:sz="4" w:space="0" w:color="auto"/>
              <w:bottom w:val="single" w:sz="4" w:space="0" w:color="auto"/>
              <w:right w:val="single" w:sz="4" w:space="0" w:color="auto"/>
            </w:tcBorders>
          </w:tcPr>
          <w:p w14:paraId="4847D50C" w14:textId="77777777" w:rsidR="007C6D7E" w:rsidRPr="007C6D7E" w:rsidRDefault="007C6D7E" w:rsidP="007C6D7E">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t>97</w:t>
            </w:r>
          </w:p>
        </w:tc>
        <w:tc>
          <w:tcPr>
            <w:tcW w:w="1276" w:type="dxa"/>
            <w:tcBorders>
              <w:top w:val="single" w:sz="4" w:space="0" w:color="auto"/>
              <w:bottom w:val="single" w:sz="4" w:space="0" w:color="auto"/>
              <w:right w:val="single" w:sz="4" w:space="0" w:color="auto"/>
            </w:tcBorders>
            <w:shd w:val="clear" w:color="auto" w:fill="auto"/>
            <w:noWrap/>
          </w:tcPr>
          <w:p w14:paraId="06C50D6C"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30/06/2021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50A09677"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Pyramid Saimira Theatre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3BB92FD8"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4A6D386D"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Nirmal Kotecha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B1A87F6" w14:textId="77777777" w:rsidR="007C6D7E" w:rsidRPr="007C6D7E" w:rsidRDefault="007C6D7E" w:rsidP="007C6D7E">
            <w:pPr>
              <w:shd w:val="clear" w:color="auto" w:fill="FFFFFF"/>
              <w:jc w:val="both"/>
              <w:rPr>
                <w:rFonts w:ascii="Palatino Linotype" w:hAnsi="Palatino Linotype"/>
                <w:sz w:val="20"/>
                <w:szCs w:val="20"/>
              </w:rPr>
            </w:pPr>
            <w:r w:rsidRPr="007C6D7E">
              <w:rPr>
                <w:rFonts w:ascii="Palatino Linotype" w:hAnsi="Palatino Linotype"/>
                <w:sz w:val="20"/>
                <w:szCs w:val="20"/>
              </w:rPr>
              <w:t>Regulation 7(1A) of SAST Regulations,   1997   and   Regulation   13(3)   read   with   13(5)   of   SEBI  (Prohibition  of  Insider  Trading)  Regulations  1992</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23DEC475" w14:textId="77777777" w:rsidR="007C6D7E" w:rsidRPr="007C6D7E" w:rsidRDefault="007C6D7E" w:rsidP="007C6D7E">
            <w:pPr>
              <w:jc w:val="right"/>
              <w:rPr>
                <w:rFonts w:ascii="Palatino Linotype" w:hAnsi="Palatino Linotype"/>
                <w:sz w:val="20"/>
                <w:szCs w:val="20"/>
              </w:rPr>
            </w:pPr>
            <w:r w:rsidRPr="007C6D7E">
              <w:rPr>
                <w:rFonts w:ascii="Palatino Linotype" w:hAnsi="Palatino Linotype"/>
                <w:sz w:val="20"/>
                <w:szCs w:val="20"/>
              </w:rPr>
              <w:t>40,00,000</w:t>
            </w:r>
          </w:p>
        </w:tc>
      </w:tr>
      <w:tr w:rsidR="007C6D7E" w:rsidRPr="00B83873" w14:paraId="6A7FC510" w14:textId="77777777" w:rsidTr="007C6D7E">
        <w:trPr>
          <w:trHeight w:val="300"/>
        </w:trPr>
        <w:tc>
          <w:tcPr>
            <w:tcW w:w="567" w:type="dxa"/>
            <w:tcBorders>
              <w:top w:val="single" w:sz="4" w:space="0" w:color="auto"/>
              <w:left w:val="single" w:sz="4" w:space="0" w:color="auto"/>
              <w:bottom w:val="single" w:sz="4" w:space="0" w:color="auto"/>
              <w:right w:val="single" w:sz="4" w:space="0" w:color="auto"/>
            </w:tcBorders>
          </w:tcPr>
          <w:p w14:paraId="4FE79235" w14:textId="77777777" w:rsidR="007C6D7E" w:rsidRPr="007C6D7E" w:rsidRDefault="007C6D7E" w:rsidP="007C6D7E">
            <w:pPr>
              <w:jc w:val="both"/>
              <w:rPr>
                <w:rFonts w:ascii="Palatino Linotype" w:hAnsi="Palatino Linotype"/>
                <w:color w:val="000000"/>
                <w:sz w:val="20"/>
                <w:szCs w:val="20"/>
                <w:lang w:val="en-IN" w:eastAsia="en-IN" w:bidi="hi-IN"/>
              </w:rPr>
            </w:pPr>
            <w:r w:rsidRPr="007C6D7E">
              <w:rPr>
                <w:rFonts w:ascii="Palatino Linotype" w:hAnsi="Palatino Linotype"/>
                <w:color w:val="000000"/>
                <w:sz w:val="20"/>
                <w:szCs w:val="20"/>
                <w:lang w:val="en-IN" w:eastAsia="en-IN" w:bidi="hi-IN"/>
              </w:rPr>
              <w:lastRenderedPageBreak/>
              <w:t>98</w:t>
            </w:r>
          </w:p>
        </w:tc>
        <w:tc>
          <w:tcPr>
            <w:tcW w:w="1276" w:type="dxa"/>
            <w:tcBorders>
              <w:top w:val="single" w:sz="4" w:space="0" w:color="auto"/>
              <w:bottom w:val="single" w:sz="4" w:space="0" w:color="auto"/>
              <w:right w:val="single" w:sz="4" w:space="0" w:color="auto"/>
            </w:tcBorders>
            <w:shd w:val="clear" w:color="auto" w:fill="auto"/>
            <w:noWrap/>
          </w:tcPr>
          <w:p w14:paraId="01E0D4B9"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30/06/2021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294D6C0A"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Pyramid Saimira Theatre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1A368345"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3856AB0F" w14:textId="77777777" w:rsidR="007C6D7E" w:rsidRPr="007C6D7E" w:rsidRDefault="007C6D7E" w:rsidP="007C6D7E">
            <w:pPr>
              <w:jc w:val="both"/>
              <w:rPr>
                <w:rFonts w:ascii="Palatino Linotype" w:hAnsi="Palatino Linotype"/>
                <w:sz w:val="20"/>
                <w:szCs w:val="20"/>
              </w:rPr>
            </w:pPr>
            <w:r w:rsidRPr="007C6D7E">
              <w:rPr>
                <w:rFonts w:ascii="Palatino Linotype" w:hAnsi="Palatino Linotype"/>
                <w:sz w:val="20"/>
                <w:szCs w:val="20"/>
              </w:rPr>
              <w:t>Nikhil Securities Limited</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FED32BE" w14:textId="77777777" w:rsidR="007C6D7E" w:rsidRPr="007C6D7E" w:rsidRDefault="007C6D7E" w:rsidP="007C6D7E">
            <w:pPr>
              <w:shd w:val="clear" w:color="auto" w:fill="FFFFFF"/>
              <w:jc w:val="both"/>
              <w:rPr>
                <w:rFonts w:ascii="Palatino Linotype" w:hAnsi="Palatino Linotype"/>
                <w:sz w:val="20"/>
                <w:szCs w:val="20"/>
              </w:rPr>
            </w:pPr>
            <w:r w:rsidRPr="007C6D7E">
              <w:rPr>
                <w:rFonts w:ascii="Palatino Linotype" w:hAnsi="Palatino Linotype"/>
                <w:sz w:val="20"/>
                <w:szCs w:val="20"/>
              </w:rPr>
              <w:t>Section 12Aof SEBI Act and Regulation 3(a), 3(b), 3(c), 3(d),  4(1),  4(2)(a),  4(2)(b)and  4(2)(e)  of  PFUTP  Regulations,  2003.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79C08A1F" w14:textId="77777777" w:rsidR="007C6D7E" w:rsidRPr="007C6D7E" w:rsidRDefault="007C6D7E" w:rsidP="007C6D7E">
            <w:pPr>
              <w:jc w:val="right"/>
              <w:rPr>
                <w:rFonts w:ascii="Palatino Linotype" w:hAnsi="Palatino Linotype"/>
                <w:sz w:val="20"/>
                <w:szCs w:val="20"/>
              </w:rPr>
            </w:pPr>
            <w:r w:rsidRPr="007C6D7E">
              <w:rPr>
                <w:rFonts w:ascii="Palatino Linotype" w:hAnsi="Palatino Linotype"/>
                <w:sz w:val="20"/>
                <w:szCs w:val="20"/>
              </w:rPr>
              <w:t>3,00,000</w:t>
            </w:r>
          </w:p>
        </w:tc>
      </w:tr>
    </w:tbl>
    <w:p w14:paraId="42B7F61E" w14:textId="77777777" w:rsidR="00272724" w:rsidRDefault="00272724" w:rsidP="00272724">
      <w:pPr>
        <w:pStyle w:val="ListParagraph"/>
        <w:rPr>
          <w:rFonts w:ascii="Garamond" w:hAnsi="Garamond"/>
          <w:sz w:val="24"/>
          <w:szCs w:val="24"/>
        </w:rPr>
      </w:pPr>
    </w:p>
    <w:p w14:paraId="2669A7AE" w14:textId="77777777" w:rsidR="00272724" w:rsidRPr="00E71481" w:rsidRDefault="00272724" w:rsidP="00272724">
      <w:pPr>
        <w:spacing w:after="120"/>
        <w:rPr>
          <w:rFonts w:ascii="Garamond" w:hAnsi="Garamond"/>
          <w:i/>
          <w:color w:val="0000FF"/>
          <w:sz w:val="18"/>
          <w:u w:val="single"/>
        </w:rPr>
      </w:pPr>
      <w:r>
        <w:rPr>
          <w:rFonts w:ascii="Garamond" w:hAnsi="Garamond" w:cs="Arial"/>
          <w:i/>
          <w:szCs w:val="32"/>
        </w:rPr>
        <w:t xml:space="preserve">Disclaimer: </w:t>
      </w:r>
      <w:r w:rsidR="00D22F0B">
        <w:rPr>
          <w:rFonts w:ascii="Garamond" w:hAnsi="Garamond" w:cs="Arial"/>
          <w:i/>
          <w:szCs w:val="32"/>
        </w:rPr>
        <w:t xml:space="preserve">Regulatory actions consist of orders passed by Whole Time Member/Adjudication Officer.  Please refer SEBI website for exhaustive list.  </w:t>
      </w:r>
      <w:r>
        <w:rPr>
          <w:rFonts w:ascii="Garamond" w:hAnsi="Garamond" w:cs="Arial"/>
          <w:i/>
          <w:szCs w:val="32"/>
        </w:rPr>
        <w:t>The summary has been prepared for the convenience of readers. In case of any ambiguity, please refer to the original order</w:t>
      </w:r>
      <w:r w:rsidRPr="00E71481">
        <w:rPr>
          <w:rFonts w:ascii="Garamond" w:hAnsi="Garamond" w:cs="Arial"/>
          <w:i/>
          <w:szCs w:val="32"/>
        </w:rPr>
        <w:t>.</w:t>
      </w:r>
    </w:p>
    <w:p w14:paraId="3E527C54" w14:textId="77777777" w:rsidR="00272724" w:rsidRPr="006F32FA" w:rsidRDefault="00272724" w:rsidP="00272724">
      <w:pPr>
        <w:spacing w:after="120"/>
        <w:rPr>
          <w:rStyle w:val="Hyperlink"/>
          <w:rFonts w:ascii="Garamond" w:hAnsi="Garamond"/>
          <w:i/>
          <w:sz w:val="18"/>
        </w:rPr>
      </w:pPr>
    </w:p>
    <w:p w14:paraId="7D786C3E" w14:textId="77777777" w:rsidR="006F32FA" w:rsidRPr="006F32FA" w:rsidRDefault="006F32FA" w:rsidP="00272724">
      <w:pPr>
        <w:shd w:val="clear" w:color="auto" w:fill="FFFFFF"/>
        <w:spacing w:line="276" w:lineRule="auto"/>
        <w:jc w:val="both"/>
        <w:textAlignment w:val="baseline"/>
        <w:rPr>
          <w:rStyle w:val="Hyperlink"/>
          <w:rFonts w:ascii="Garamond" w:hAnsi="Garamond"/>
          <w:i/>
          <w:sz w:val="18"/>
        </w:rPr>
      </w:pPr>
    </w:p>
    <w:sectPr w:rsidR="006F32FA" w:rsidRPr="006F32FA" w:rsidSect="00332F86">
      <w:headerReference w:type="even" r:id="rId47"/>
      <w:headerReference w:type="default" r:id="rId48"/>
      <w:footerReference w:type="even" r:id="rId49"/>
      <w:footerReference w:type="default" r:id="rId50"/>
      <w:pgSz w:w="11906" w:h="16838" w:code="9"/>
      <w:pgMar w:top="578" w:right="1009" w:bottom="578" w:left="1009" w:header="431" w:footer="431"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576445" w14:textId="77777777" w:rsidR="00EA65EF" w:rsidRDefault="00EA65EF" w:rsidP="00E07645">
      <w:r>
        <w:separator/>
      </w:r>
    </w:p>
  </w:endnote>
  <w:endnote w:type="continuationSeparator" w:id="0">
    <w:p w14:paraId="7313D6A0" w14:textId="77777777" w:rsidR="00EA65EF" w:rsidRDefault="00EA65EF" w:rsidP="00E07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rinda">
    <w:panose1 w:val="020B0502040204020203"/>
    <w:charset w:val="01"/>
    <w:family w:val="roman"/>
    <w:notTrueType/>
    <w:pitch w:val="variable"/>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WCDV-Prakash">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Mangal">
    <w:altName w:val="Courier New"/>
    <w:panose1 w:val="02040503050203030202"/>
    <w:charset w:val="01"/>
    <w:family w:val="roman"/>
    <w:notTrueType/>
    <w:pitch w:val="variable"/>
    <w:sig w:usb0="00002000" w:usb1="00000000" w:usb2="00000000" w:usb3="00000000" w:csb0="00000000" w:csb1="00000000"/>
  </w:font>
  <w:font w:name="Rupee">
    <w:altName w:val="Times New Roman"/>
    <w:panose1 w:val="00000000000000000000"/>
    <w:charset w:val="00"/>
    <w:family w:val="roman"/>
    <w:notTrueType/>
    <w:pitch w:val="default"/>
  </w:font>
  <w:font w:name="Rupee Foradian">
    <w:panose1 w:val="020B0603030804020204"/>
    <w:charset w:val="00"/>
    <w:family w:val="swiss"/>
    <w:pitch w:val="variable"/>
    <w:sig w:usb0="800000AF" w:usb1="1000204A" w:usb2="00000000" w:usb3="00000000" w:csb0="00000001" w:csb1="00000000"/>
  </w:font>
  <w:font w:name="CIDFont+F3">
    <w:panose1 w:val="00000000000000000000"/>
    <w:charset w:val="00"/>
    <w:family w:val="auto"/>
    <w:notTrueType/>
    <w:pitch w:val="default"/>
    <w:sig w:usb0="00000003" w:usb1="00000000" w:usb2="00000000" w:usb3="00000000" w:csb0="00000001" w:csb1="00000000"/>
  </w:font>
  <w:font w:name="CIDFont+F5">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F2BA87" w14:textId="77777777" w:rsidR="00E213CE" w:rsidRDefault="00E213CE">
    <w:pPr>
      <w:pStyle w:val="Footer"/>
    </w:pPr>
  </w:p>
  <w:p w14:paraId="7CEAB079" w14:textId="77777777" w:rsidR="00E213CE" w:rsidRDefault="00E213CE"/>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8BD8B2" w14:textId="381058B0" w:rsidR="00E213CE" w:rsidRDefault="00E213CE" w:rsidP="00E213CE">
    <w:pPr>
      <w:pStyle w:val="Footer"/>
      <w:pBdr>
        <w:top w:val="single" w:sz="4" w:space="1" w:color="D9D9D9"/>
      </w:pBdr>
      <w:jc w:val="right"/>
    </w:pPr>
    <w:r>
      <w:fldChar w:fldCharType="begin"/>
    </w:r>
    <w:r>
      <w:instrText xml:space="preserve"> PAGE   \* MERGEFORMAT </w:instrText>
    </w:r>
    <w:r>
      <w:fldChar w:fldCharType="separate"/>
    </w:r>
    <w:r w:rsidR="002D724A">
      <w:rPr>
        <w:noProof/>
      </w:rPr>
      <w:t>19</w:t>
    </w:r>
    <w:r>
      <w:rPr>
        <w:noProof/>
      </w:rPr>
      <w:fldChar w:fldCharType="end"/>
    </w:r>
    <w:r>
      <w:t xml:space="preserve"> | </w:t>
    </w:r>
    <w:r w:rsidRPr="00601592">
      <w:rPr>
        <w:color w:val="7F7F7F"/>
        <w:spacing w:val="60"/>
      </w:rPr>
      <w:t>Page</w:t>
    </w:r>
  </w:p>
  <w:p w14:paraId="22050446" w14:textId="77777777" w:rsidR="00E213CE" w:rsidRDefault="00E213CE">
    <w:pPr>
      <w:pStyle w:val="Footer"/>
    </w:pPr>
  </w:p>
  <w:p w14:paraId="3581C294" w14:textId="77777777" w:rsidR="00E213CE" w:rsidRDefault="00E213CE"/>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8B44C" w14:textId="77777777" w:rsidR="00E213CE" w:rsidRDefault="00E213CE">
    <w:pPr>
      <w:pStyle w:val="Footer"/>
    </w:pPr>
  </w:p>
  <w:p w14:paraId="6E799469" w14:textId="77777777" w:rsidR="00E213CE" w:rsidRDefault="00E213CE"/>
  <w:p w14:paraId="493F60F4" w14:textId="77777777" w:rsidR="00E213CE" w:rsidRDefault="00E213CE"/>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5008751"/>
      <w:docPartObj>
        <w:docPartGallery w:val="Page Numbers (Bottom of Page)"/>
        <w:docPartUnique/>
      </w:docPartObj>
    </w:sdtPr>
    <w:sdtEndPr>
      <w:rPr>
        <w:color w:val="7F7F7F" w:themeColor="background1" w:themeShade="7F"/>
        <w:spacing w:val="60"/>
      </w:rPr>
    </w:sdtEndPr>
    <w:sdtContent>
      <w:p w14:paraId="3C99B791" w14:textId="6650C540" w:rsidR="00E213CE" w:rsidRDefault="00E213CE">
        <w:pPr>
          <w:pStyle w:val="Footer"/>
          <w:pBdr>
            <w:top w:val="single" w:sz="4" w:space="1" w:color="D9D9D9" w:themeColor="background1" w:themeShade="D9"/>
          </w:pBdr>
          <w:jc w:val="right"/>
        </w:pPr>
        <w:r>
          <w:fldChar w:fldCharType="begin"/>
        </w:r>
        <w:r>
          <w:instrText xml:space="preserve"> PAGE   \* MERGEFORMAT </w:instrText>
        </w:r>
        <w:r>
          <w:fldChar w:fldCharType="separate"/>
        </w:r>
        <w:r w:rsidR="002D724A">
          <w:rPr>
            <w:noProof/>
          </w:rPr>
          <w:t>28</w:t>
        </w:r>
        <w:r>
          <w:rPr>
            <w:noProof/>
          </w:rPr>
          <w:fldChar w:fldCharType="end"/>
        </w:r>
        <w:r>
          <w:t xml:space="preserve"> | </w:t>
        </w:r>
        <w:r>
          <w:rPr>
            <w:color w:val="7F7F7F" w:themeColor="background1" w:themeShade="7F"/>
            <w:spacing w:val="60"/>
          </w:rPr>
          <w:t>Page</w:t>
        </w:r>
      </w:p>
    </w:sdtContent>
  </w:sdt>
  <w:p w14:paraId="70240060" w14:textId="77777777" w:rsidR="00E213CE" w:rsidRDefault="00E213CE">
    <w:pPr>
      <w:pStyle w:val="Footer"/>
    </w:pPr>
  </w:p>
  <w:p w14:paraId="302F66C0" w14:textId="77777777" w:rsidR="00E213CE" w:rsidRDefault="00E213CE"/>
  <w:p w14:paraId="2585A19A" w14:textId="77777777" w:rsidR="00E213CE" w:rsidRDefault="00E213C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68D5C7" w14:textId="77777777" w:rsidR="00EA65EF" w:rsidRDefault="00EA65EF" w:rsidP="00E07645">
      <w:r>
        <w:separator/>
      </w:r>
    </w:p>
  </w:footnote>
  <w:footnote w:type="continuationSeparator" w:id="0">
    <w:p w14:paraId="42D56A10" w14:textId="77777777" w:rsidR="00EA65EF" w:rsidRDefault="00EA65EF" w:rsidP="00E07645">
      <w:r>
        <w:continuationSeparator/>
      </w:r>
    </w:p>
  </w:footnote>
  <w:footnote w:id="1">
    <w:p w14:paraId="0D282CF0" w14:textId="77777777" w:rsidR="00E213CE" w:rsidRPr="005B5517" w:rsidRDefault="00E213CE" w:rsidP="00D33F7C">
      <w:pPr>
        <w:pStyle w:val="FootnoteText"/>
        <w:rPr>
          <w:rFonts w:ascii="Palatino Linotype" w:hAnsi="Palatino Linotype"/>
          <w:i/>
          <w:lang w:val="en-IN"/>
        </w:rPr>
      </w:pPr>
      <w:r w:rsidRPr="005B5517">
        <w:rPr>
          <w:rStyle w:val="FootnoteReference"/>
          <w:rFonts w:ascii="Palatino Linotype" w:hAnsi="Palatino Linotype"/>
          <w:i/>
        </w:rPr>
        <w:footnoteRef/>
      </w:r>
      <w:r w:rsidRPr="005B5517">
        <w:rPr>
          <w:rFonts w:ascii="Palatino Linotype" w:hAnsi="Palatino Linotype"/>
          <w:i/>
        </w:rPr>
        <w:t xml:space="preserve"> In case of close ended schemes, at the time of maturity, AMC repurchases it units.</w:t>
      </w:r>
    </w:p>
  </w:footnote>
  <w:footnote w:id="2">
    <w:p w14:paraId="5950BCC4" w14:textId="77777777" w:rsidR="00E213CE" w:rsidRDefault="00E213CE" w:rsidP="00D33F7C">
      <w:pPr>
        <w:pStyle w:val="FootnoteText"/>
        <w:jc w:val="both"/>
      </w:pPr>
      <w:r>
        <w:rPr>
          <w:rStyle w:val="FootnoteReference"/>
        </w:rPr>
        <w:footnoteRef/>
      </w:r>
      <w:r>
        <w:t xml:space="preserve"> Based on data available on World Federation of Exchanges as on 09 August 2021. BSE data from WFE has not been included as BSE is no longer providing data to WFE since June 2019.</w:t>
      </w:r>
    </w:p>
  </w:footnote>
  <w:footnote w:id="3">
    <w:p w14:paraId="09669348" w14:textId="77777777" w:rsidR="00E213CE" w:rsidRDefault="00E213CE" w:rsidP="00D33F7C">
      <w:pPr>
        <w:pStyle w:val="FootnoteText"/>
      </w:pPr>
      <w:r>
        <w:rPr>
          <w:rStyle w:val="FootnoteReference"/>
        </w:rPr>
        <w:footnoteRef/>
      </w:r>
      <w:r>
        <w:t xml:space="preserve"> </w:t>
      </w:r>
      <w:r w:rsidRPr="000D159E">
        <w:t>Brazil, Russia, India, India, China, South Africa, USA, USA, France, Germany, UK, Hong Kong</w:t>
      </w:r>
      <w:r>
        <w:t>, South Korea, Japan, Singapore and</w:t>
      </w:r>
      <w:r w:rsidRPr="000D159E">
        <w:t xml:space="preserve"> Taiwan</w:t>
      </w:r>
    </w:p>
  </w:footnote>
  <w:footnote w:id="4">
    <w:p w14:paraId="3F2CF019" w14:textId="77777777" w:rsidR="00E213CE" w:rsidRDefault="00E213CE" w:rsidP="00D33F7C">
      <w:pPr>
        <w:pStyle w:val="FootnoteText"/>
      </w:pPr>
      <w:r>
        <w:rPr>
          <w:rStyle w:val="FootnoteReference"/>
        </w:rPr>
        <w:footnoteRef/>
      </w:r>
      <w:r>
        <w:t xml:space="preserve"> Germany, Spain, USA, UK, Japan, India, China, Brazil and Russia.</w:t>
      </w:r>
    </w:p>
  </w:footnote>
  <w:footnote w:id="5">
    <w:p w14:paraId="3A03B8BD" w14:textId="77777777" w:rsidR="00E213CE" w:rsidRDefault="00E213CE" w:rsidP="00D33F7C">
      <w:pPr>
        <w:pStyle w:val="FootnoteText"/>
      </w:pPr>
      <w:r>
        <w:rPr>
          <w:rStyle w:val="FootnoteReference"/>
        </w:rPr>
        <w:footnoteRef/>
      </w:r>
      <w:r>
        <w:t xml:space="preserve"> Data available on as on 09 August 2021 on WFE as submitted by exchanges which are members of WFE,</w:t>
      </w:r>
    </w:p>
  </w:footnote>
  <w:footnote w:id="6">
    <w:p w14:paraId="3BD2F357" w14:textId="77777777" w:rsidR="00E213CE" w:rsidRDefault="00E213CE" w:rsidP="00D33F7C">
      <w:pPr>
        <w:pStyle w:val="FootnoteText"/>
      </w:pPr>
      <w:r>
        <w:rPr>
          <w:rStyle w:val="FootnoteReference"/>
        </w:rPr>
        <w:footnoteRef/>
      </w:r>
      <w:r>
        <w:t xml:space="preserve"> USA, UK, Germany, France, Japan, Singapore, Hong Kong, China, Russia, India, S. Korea and Australia.</w:t>
      </w:r>
    </w:p>
  </w:footnote>
  <w:footnote w:id="7">
    <w:p w14:paraId="26CE31CA" w14:textId="77777777" w:rsidR="00E213CE" w:rsidRDefault="00E213CE" w:rsidP="00D33F7C">
      <w:pPr>
        <w:pStyle w:val="FootnoteText"/>
      </w:pPr>
      <w:r>
        <w:rPr>
          <w:rStyle w:val="FootnoteReference"/>
        </w:rPr>
        <w:footnoteRef/>
      </w:r>
      <w:r>
        <w:t xml:space="preserve"> </w:t>
      </w:r>
      <w:r w:rsidRPr="003D2887">
        <w:t>Real, Rouble, Rupee, Renminbi, Rand, Won, Pound, Euro, Yen, Franc</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68202" w14:textId="77777777" w:rsidR="00E213CE" w:rsidRDefault="00E213CE">
    <w:pPr>
      <w:pStyle w:val="Header"/>
    </w:pPr>
  </w:p>
  <w:p w14:paraId="77B655EC" w14:textId="77777777" w:rsidR="00E213CE" w:rsidRDefault="00E213CE"/>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71AF40" w14:textId="77777777" w:rsidR="00E213CE" w:rsidRDefault="001A4E83">
    <w:pPr>
      <w:pStyle w:val="Header"/>
    </w:pPr>
    <w:r>
      <w:rPr>
        <w:noProof/>
      </w:rPr>
      <w:pict w14:anchorId="192A771C">
        <v:shapetype id="_x0000_t202" coordsize="21600,21600" o:spt="202" path="m,l,21600r21600,l21600,xe">
          <v:stroke joinstyle="miter"/>
          <v:path gradientshapeok="t" o:connecttype="rect"/>
        </v:shapetype>
        <v:shape id="expertsource_watermark" o:spid="_x0000_s2060" type="#_x0000_t202" style="position:absolute;margin-left:0;margin-top:0;width:406.1pt;height:270.7pt;rotation:-45;z-index:251659264;visibility:visible;mso-position-horizontal:center;mso-position-horizontal-relative:margin;mso-position-vertical:center;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NkA0gIAAM8FAAAOAAAAZHJzL2Uyb0RvYy54bWysVMGOmzAQvVfqP1jcWSCBENCSVZINvWzb&#10;lTbVHisHm+AWsGs7gajqv3dsyGbTXqq2HCwz9ryZefM8t3d9U6MjlYrxNnOCG99BtC04Ye0+cz5t&#10;c3fuIKVxS3DNW5o5J6qcu8XbN7edSOmEV7wmVCIAaVXaicyptBap56miog1WN1zQFg5LLhus4Vfu&#10;PSJxB+hN7U18f+Z1XBIheUGVAuv9cOgsLH5Z0kJ/LEtFNaozB3LTdpV23ZnVW9zidC+xqFgxpoH/&#10;IosGsxaCvkDdY43RQbLfoBpWSK54qW8K3ni8LFlBbQ1QTeD/Us1ThQW1tQA5SrzQpP4fbPHh+CgR&#10;I9A7B7W4gRbRXlCpFT/Ign7usKbAvfxqmOqESsHhSYCL7le8N16maiUeePFVoZavK9zu6VIJYH7A&#10;PJuk5F1FMYHkTajRbEvcngTEtdYt7fWGMOsLEb1XIYf4ygTfde85ARd80Nwm0JeyQZIbt3nim8+a&#10;gV8ESULjTy/NhgCoAGMURHEYw1EBZ9NwGoOjKdLDqUEzZQmp9DvKG2Q2mSOhJguLjw9KD1fPV8x1&#10;QAb7uBu6/z0JJqG/miRuPpvHbpiHkZvE/tz1g2SVzPwwCe/zHwY0CNOKEULbB9bSsxKD8M86Pb6J&#10;QUNWi6jLnCSaRDZfxWtGclbXJjcl97t1LdERmycxcDXUcnVN8kNLwI5T07TNuNeY1cPeu87Y8gYE&#10;XFe/zCM/DqdzN46jqRtON767mudrd7kOZrN4s1qvNsF19Rv7ZtW/E2ATsWDnXr0wPMa4pAwtP/fO&#10;Cs5obFCb7nc9kGBUuOPkBNLrYFZkjvp2wJKCjA/NmgOPoN1S8uYZhtFSGhVa3o04tv0zlmJUkIYw&#10;j/V5VlgZmTz3ZHx6mHwBoKaGEQTtQZEV8tCc8TKkekE1vkos4RHkzOrxkuf4dGBq2DLHCWfG0ut/&#10;e+syhxc/AQAA//8DAFBLAwQUAAYACAAAACEA22D4ENsAAAAFAQAADwAAAGRycy9kb3ducmV2Lnht&#10;bEyPzU7DMBCE70i8g7VI3KiTUFAV4lSIiEOP/RFnN94mAXsdYqdJeXoWLnBZaTSjmW+L9eysOOMQ&#10;Ok8K0kUCAqn2pqNGwWH/ercCEaImo60nVHDBAOvy+qrQufETbfG8i43gEgq5VtDG2OdShrpFp8PC&#10;90jsnfzgdGQ5NNIMeuJyZ2WWJI/S6Y54odU9vrRYf+xGp8B8nS79/TTtN5ttNX7arqrw7V2p25v5&#10;+QlExDn+heEHn9GhZKajH8kEYRXwI/H3srdKswzEUcHDMl2CLAv5n778BgAA//8DAFBLAQItABQA&#10;BgAIAAAAIQC2gziS/gAAAOEBAAATAAAAAAAAAAAAAAAAAAAAAABbQ29udGVudF9UeXBlc10ueG1s&#10;UEsBAi0AFAAGAAgAAAAhADj9If/WAAAAlAEAAAsAAAAAAAAAAAAAAAAALwEAAF9yZWxzLy5yZWxz&#10;UEsBAi0AFAAGAAgAAAAhAMbk2QDSAgAAzwUAAA4AAAAAAAAAAAAAAAAALgIAAGRycy9lMm9Eb2Mu&#10;eG1sUEsBAi0AFAAGAAgAAAAhANtg+BDbAAAABQEAAA8AAAAAAAAAAAAAAAAALAUAAGRycy9kb3du&#10;cmV2LnhtbFBLBQYAAAAABAAEAPMAAAA0BgAAAAA=&#10;" filled="f" stroked="f">
          <v:stroke joinstyle="round"/>
          <o:lock v:ext="edit" aspectratio="t" shapetype="t"/>
          <v:textbox style="mso-next-textbox:#expertsource_watermark;mso-fit-shape-to-text:t">
            <w:txbxContent>
              <w:p w14:paraId="1F0C93AB" w14:textId="77777777" w:rsidR="00E213CE" w:rsidRDefault="00E213CE" w:rsidP="00E213CE">
                <w:pPr>
                  <w:pStyle w:val="NormalWeb"/>
                  <w:spacing w:before="0" w:beforeAutospacing="0" w:after="0" w:afterAutospacing="0"/>
                  <w:jc w:val="center"/>
                </w:pPr>
                <w:r w:rsidRPr="00996EC6">
                  <w:rPr>
                    <w:color w:val="C0C0C0"/>
                    <w:sz w:val="2"/>
                    <w:szCs w:val="2"/>
                  </w:rPr>
                  <w:t xml:space="preserve">   </w:t>
                </w:r>
              </w:p>
            </w:txbxContent>
          </v:textbox>
          <w10:wrap anchorx="margin" anchory="margin"/>
        </v:shape>
      </w:pict>
    </w:r>
  </w:p>
  <w:p w14:paraId="375CE9A4" w14:textId="77777777" w:rsidR="00E213CE" w:rsidRDefault="00E213CE"/>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621BBC" w14:textId="77777777" w:rsidR="00E213CE" w:rsidRDefault="00E213CE">
    <w:pPr>
      <w:pStyle w:val="Header"/>
    </w:pPr>
  </w:p>
  <w:p w14:paraId="0FCEC46E" w14:textId="77777777" w:rsidR="00E213CE" w:rsidRDefault="00E213CE"/>
  <w:p w14:paraId="0A526E3B" w14:textId="77777777" w:rsidR="00E213CE" w:rsidRDefault="00E213CE"/>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9E012" w14:textId="77777777" w:rsidR="00E213CE" w:rsidRDefault="00E213CE">
    <w:pPr>
      <w:pStyle w:val="Header"/>
    </w:pPr>
  </w:p>
  <w:p w14:paraId="77B5C9FC" w14:textId="77777777" w:rsidR="00E213CE" w:rsidRDefault="00E213CE"/>
  <w:p w14:paraId="1412B246" w14:textId="77777777" w:rsidR="00E213CE" w:rsidRDefault="00E213CE"/>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D"/>
    <w:multiLevelType w:val="hybridMultilevel"/>
    <w:tmpl w:val="61067A92"/>
    <w:lvl w:ilvl="0" w:tplc="A2BA30F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0000019"/>
    <w:multiLevelType w:val="multilevel"/>
    <w:tmpl w:val="396D53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0000022"/>
    <w:multiLevelType w:val="multilevel"/>
    <w:tmpl w:val="4FE373B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0000023"/>
    <w:multiLevelType w:val="multilevel"/>
    <w:tmpl w:val="50477FA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000002C"/>
    <w:multiLevelType w:val="hybridMultilevel"/>
    <w:tmpl w:val="EEA0001C"/>
    <w:lvl w:ilvl="0" w:tplc="40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47939D9"/>
    <w:multiLevelType w:val="multilevel"/>
    <w:tmpl w:val="11E00ED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07980DCB"/>
    <w:multiLevelType w:val="hybridMultilevel"/>
    <w:tmpl w:val="FF2E175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9C45371"/>
    <w:multiLevelType w:val="multilevel"/>
    <w:tmpl w:val="9B8243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FFD16E1"/>
    <w:multiLevelType w:val="multilevel"/>
    <w:tmpl w:val="B800761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1AD537F"/>
    <w:multiLevelType w:val="hybridMultilevel"/>
    <w:tmpl w:val="00D8A4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59F384B"/>
    <w:multiLevelType w:val="hybridMultilevel"/>
    <w:tmpl w:val="CD7CC59E"/>
    <w:lvl w:ilvl="0" w:tplc="09765F1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8193A3E"/>
    <w:multiLevelType w:val="hybridMultilevel"/>
    <w:tmpl w:val="40AC50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18F760C0"/>
    <w:multiLevelType w:val="multilevel"/>
    <w:tmpl w:val="C93809D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195331BD"/>
    <w:multiLevelType w:val="hybridMultilevel"/>
    <w:tmpl w:val="61067A92"/>
    <w:lvl w:ilvl="0" w:tplc="A2BA30F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BE427DF"/>
    <w:multiLevelType w:val="multilevel"/>
    <w:tmpl w:val="50477FA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CB45C15"/>
    <w:multiLevelType w:val="hybridMultilevel"/>
    <w:tmpl w:val="26D0858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D2D7D95"/>
    <w:multiLevelType w:val="hybridMultilevel"/>
    <w:tmpl w:val="40FA3CD6"/>
    <w:lvl w:ilvl="0" w:tplc="1DBAE696">
      <w:start w:val="1"/>
      <w:numFmt w:val="decimal"/>
      <w:lvlText w:val="%1."/>
      <w:lvlJc w:val="left"/>
      <w:pPr>
        <w:ind w:left="644" w:hanging="360"/>
      </w:pPr>
      <w:rPr>
        <w:b w:val="0"/>
        <w:bCs/>
        <w:strike w:val="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15:restartNumberingAfterBreak="0">
    <w:nsid w:val="21420D67"/>
    <w:multiLevelType w:val="multilevel"/>
    <w:tmpl w:val="B7105E1C"/>
    <w:lvl w:ilvl="0">
      <w:start w:val="1"/>
      <w:numFmt w:val="upperLetter"/>
      <w:lvlText w:val="%1."/>
      <w:lvlJc w:val="left"/>
      <w:pPr>
        <w:ind w:left="360" w:hanging="360"/>
      </w:pPr>
      <w:rPr>
        <w:color w:val="000000"/>
      </w:r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22F010AE"/>
    <w:multiLevelType w:val="hybridMultilevel"/>
    <w:tmpl w:val="48F8C13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22FC48A6"/>
    <w:multiLevelType w:val="hybridMultilevel"/>
    <w:tmpl w:val="AACCC50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64439A5"/>
    <w:multiLevelType w:val="hybridMultilevel"/>
    <w:tmpl w:val="47CCC6B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1" w15:restartNumberingAfterBreak="0">
    <w:nsid w:val="2740796C"/>
    <w:multiLevelType w:val="hybridMultilevel"/>
    <w:tmpl w:val="F7F40D22"/>
    <w:lvl w:ilvl="0" w:tplc="04090001">
      <w:start w:val="1"/>
      <w:numFmt w:val="bullet"/>
      <w:lvlText w:val=""/>
      <w:lvlJc w:val="left"/>
      <w:pPr>
        <w:ind w:left="859" w:hanging="360"/>
      </w:pPr>
      <w:rPr>
        <w:rFonts w:ascii="Symbol" w:hAnsi="Symbol" w:hint="default"/>
      </w:rPr>
    </w:lvl>
    <w:lvl w:ilvl="1" w:tplc="04090003" w:tentative="1">
      <w:start w:val="1"/>
      <w:numFmt w:val="bullet"/>
      <w:lvlText w:val="o"/>
      <w:lvlJc w:val="left"/>
      <w:pPr>
        <w:ind w:left="1579" w:hanging="360"/>
      </w:pPr>
      <w:rPr>
        <w:rFonts w:ascii="Courier New" w:hAnsi="Courier New" w:cs="Courier New" w:hint="default"/>
      </w:rPr>
    </w:lvl>
    <w:lvl w:ilvl="2" w:tplc="04090005" w:tentative="1">
      <w:start w:val="1"/>
      <w:numFmt w:val="bullet"/>
      <w:lvlText w:val=""/>
      <w:lvlJc w:val="left"/>
      <w:pPr>
        <w:ind w:left="2299" w:hanging="360"/>
      </w:pPr>
      <w:rPr>
        <w:rFonts w:ascii="Wingdings" w:hAnsi="Wingdings" w:hint="default"/>
      </w:rPr>
    </w:lvl>
    <w:lvl w:ilvl="3" w:tplc="04090001" w:tentative="1">
      <w:start w:val="1"/>
      <w:numFmt w:val="bullet"/>
      <w:lvlText w:val=""/>
      <w:lvlJc w:val="left"/>
      <w:pPr>
        <w:ind w:left="3019" w:hanging="360"/>
      </w:pPr>
      <w:rPr>
        <w:rFonts w:ascii="Symbol" w:hAnsi="Symbol" w:hint="default"/>
      </w:rPr>
    </w:lvl>
    <w:lvl w:ilvl="4" w:tplc="04090003" w:tentative="1">
      <w:start w:val="1"/>
      <w:numFmt w:val="bullet"/>
      <w:lvlText w:val="o"/>
      <w:lvlJc w:val="left"/>
      <w:pPr>
        <w:ind w:left="3739" w:hanging="360"/>
      </w:pPr>
      <w:rPr>
        <w:rFonts w:ascii="Courier New" w:hAnsi="Courier New" w:cs="Courier New" w:hint="default"/>
      </w:rPr>
    </w:lvl>
    <w:lvl w:ilvl="5" w:tplc="04090005" w:tentative="1">
      <w:start w:val="1"/>
      <w:numFmt w:val="bullet"/>
      <w:lvlText w:val=""/>
      <w:lvlJc w:val="left"/>
      <w:pPr>
        <w:ind w:left="4459" w:hanging="360"/>
      </w:pPr>
      <w:rPr>
        <w:rFonts w:ascii="Wingdings" w:hAnsi="Wingdings" w:hint="default"/>
      </w:rPr>
    </w:lvl>
    <w:lvl w:ilvl="6" w:tplc="04090001" w:tentative="1">
      <w:start w:val="1"/>
      <w:numFmt w:val="bullet"/>
      <w:lvlText w:val=""/>
      <w:lvlJc w:val="left"/>
      <w:pPr>
        <w:ind w:left="5179" w:hanging="360"/>
      </w:pPr>
      <w:rPr>
        <w:rFonts w:ascii="Symbol" w:hAnsi="Symbol" w:hint="default"/>
      </w:rPr>
    </w:lvl>
    <w:lvl w:ilvl="7" w:tplc="04090003" w:tentative="1">
      <w:start w:val="1"/>
      <w:numFmt w:val="bullet"/>
      <w:lvlText w:val="o"/>
      <w:lvlJc w:val="left"/>
      <w:pPr>
        <w:ind w:left="5899" w:hanging="360"/>
      </w:pPr>
      <w:rPr>
        <w:rFonts w:ascii="Courier New" w:hAnsi="Courier New" w:cs="Courier New" w:hint="default"/>
      </w:rPr>
    </w:lvl>
    <w:lvl w:ilvl="8" w:tplc="04090005" w:tentative="1">
      <w:start w:val="1"/>
      <w:numFmt w:val="bullet"/>
      <w:lvlText w:val=""/>
      <w:lvlJc w:val="left"/>
      <w:pPr>
        <w:ind w:left="6619" w:hanging="360"/>
      </w:pPr>
      <w:rPr>
        <w:rFonts w:ascii="Wingdings" w:hAnsi="Wingdings" w:hint="default"/>
      </w:rPr>
    </w:lvl>
  </w:abstractNum>
  <w:abstractNum w:abstractNumId="22" w15:restartNumberingAfterBreak="0">
    <w:nsid w:val="29DE67C3"/>
    <w:multiLevelType w:val="hybridMultilevel"/>
    <w:tmpl w:val="DB027F34"/>
    <w:lvl w:ilvl="0" w:tplc="40090001">
      <w:start w:val="1"/>
      <w:numFmt w:val="bullet"/>
      <w:lvlText w:val=""/>
      <w:lvlJc w:val="left"/>
      <w:pPr>
        <w:ind w:left="775" w:hanging="360"/>
      </w:pPr>
      <w:rPr>
        <w:rFonts w:ascii="Symbol" w:hAnsi="Symbol" w:hint="default"/>
      </w:rPr>
    </w:lvl>
    <w:lvl w:ilvl="1" w:tplc="40090003" w:tentative="1">
      <w:start w:val="1"/>
      <w:numFmt w:val="bullet"/>
      <w:lvlText w:val="o"/>
      <w:lvlJc w:val="left"/>
      <w:pPr>
        <w:ind w:left="1495" w:hanging="360"/>
      </w:pPr>
      <w:rPr>
        <w:rFonts w:ascii="Courier New" w:hAnsi="Courier New" w:cs="Courier New" w:hint="default"/>
      </w:rPr>
    </w:lvl>
    <w:lvl w:ilvl="2" w:tplc="40090005" w:tentative="1">
      <w:start w:val="1"/>
      <w:numFmt w:val="bullet"/>
      <w:lvlText w:val=""/>
      <w:lvlJc w:val="left"/>
      <w:pPr>
        <w:ind w:left="2215" w:hanging="360"/>
      </w:pPr>
      <w:rPr>
        <w:rFonts w:ascii="Wingdings" w:hAnsi="Wingdings" w:hint="default"/>
      </w:rPr>
    </w:lvl>
    <w:lvl w:ilvl="3" w:tplc="40090001" w:tentative="1">
      <w:start w:val="1"/>
      <w:numFmt w:val="bullet"/>
      <w:lvlText w:val=""/>
      <w:lvlJc w:val="left"/>
      <w:pPr>
        <w:ind w:left="2935" w:hanging="360"/>
      </w:pPr>
      <w:rPr>
        <w:rFonts w:ascii="Symbol" w:hAnsi="Symbol" w:hint="default"/>
      </w:rPr>
    </w:lvl>
    <w:lvl w:ilvl="4" w:tplc="40090003" w:tentative="1">
      <w:start w:val="1"/>
      <w:numFmt w:val="bullet"/>
      <w:lvlText w:val="o"/>
      <w:lvlJc w:val="left"/>
      <w:pPr>
        <w:ind w:left="3655" w:hanging="360"/>
      </w:pPr>
      <w:rPr>
        <w:rFonts w:ascii="Courier New" w:hAnsi="Courier New" w:cs="Courier New" w:hint="default"/>
      </w:rPr>
    </w:lvl>
    <w:lvl w:ilvl="5" w:tplc="40090005" w:tentative="1">
      <w:start w:val="1"/>
      <w:numFmt w:val="bullet"/>
      <w:lvlText w:val=""/>
      <w:lvlJc w:val="left"/>
      <w:pPr>
        <w:ind w:left="4375" w:hanging="360"/>
      </w:pPr>
      <w:rPr>
        <w:rFonts w:ascii="Wingdings" w:hAnsi="Wingdings" w:hint="default"/>
      </w:rPr>
    </w:lvl>
    <w:lvl w:ilvl="6" w:tplc="40090001" w:tentative="1">
      <w:start w:val="1"/>
      <w:numFmt w:val="bullet"/>
      <w:lvlText w:val=""/>
      <w:lvlJc w:val="left"/>
      <w:pPr>
        <w:ind w:left="5095" w:hanging="360"/>
      </w:pPr>
      <w:rPr>
        <w:rFonts w:ascii="Symbol" w:hAnsi="Symbol" w:hint="default"/>
      </w:rPr>
    </w:lvl>
    <w:lvl w:ilvl="7" w:tplc="40090003" w:tentative="1">
      <w:start w:val="1"/>
      <w:numFmt w:val="bullet"/>
      <w:lvlText w:val="o"/>
      <w:lvlJc w:val="left"/>
      <w:pPr>
        <w:ind w:left="5815" w:hanging="360"/>
      </w:pPr>
      <w:rPr>
        <w:rFonts w:ascii="Courier New" w:hAnsi="Courier New" w:cs="Courier New" w:hint="default"/>
      </w:rPr>
    </w:lvl>
    <w:lvl w:ilvl="8" w:tplc="40090005" w:tentative="1">
      <w:start w:val="1"/>
      <w:numFmt w:val="bullet"/>
      <w:lvlText w:val=""/>
      <w:lvlJc w:val="left"/>
      <w:pPr>
        <w:ind w:left="6535" w:hanging="360"/>
      </w:pPr>
      <w:rPr>
        <w:rFonts w:ascii="Wingdings" w:hAnsi="Wingdings" w:hint="default"/>
      </w:rPr>
    </w:lvl>
  </w:abstractNum>
  <w:abstractNum w:abstractNumId="23" w15:restartNumberingAfterBreak="0">
    <w:nsid w:val="2ACA4421"/>
    <w:multiLevelType w:val="multilevel"/>
    <w:tmpl w:val="DFCE80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C49255A"/>
    <w:multiLevelType w:val="hybridMultilevel"/>
    <w:tmpl w:val="E850E076"/>
    <w:lvl w:ilvl="0" w:tplc="5AC22932">
      <w:numFmt w:val="bullet"/>
      <w:lvlText w:val=""/>
      <w:lvlJc w:val="left"/>
      <w:pPr>
        <w:ind w:left="1080" w:hanging="360"/>
      </w:pPr>
      <w:rPr>
        <w:rFonts w:ascii="Symbol" w:eastAsia="Palatino Linotype" w:hAnsi="Symbol" w:cs="Palatino Linotype"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5" w15:restartNumberingAfterBreak="0">
    <w:nsid w:val="2FFF7518"/>
    <w:multiLevelType w:val="hybridMultilevel"/>
    <w:tmpl w:val="B348728C"/>
    <w:lvl w:ilvl="0" w:tplc="40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6" w15:restartNumberingAfterBreak="0">
    <w:nsid w:val="31764998"/>
    <w:multiLevelType w:val="hybridMultilevel"/>
    <w:tmpl w:val="019647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3C0F54B8"/>
    <w:multiLevelType w:val="hybridMultilevel"/>
    <w:tmpl w:val="E1F4C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2597F73"/>
    <w:multiLevelType w:val="hybridMultilevel"/>
    <w:tmpl w:val="B4C0D452"/>
    <w:lvl w:ilvl="0" w:tplc="FB188760">
      <w:start w:val="1"/>
      <w:numFmt w:val="upperLetter"/>
      <w:lvlText w:val="%1."/>
      <w:lvlJc w:val="left"/>
      <w:pPr>
        <w:ind w:left="720" w:hanging="360"/>
      </w:pPr>
      <w:rPr>
        <w:rFonts w:hint="default"/>
        <w:b/>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43B529E0"/>
    <w:multiLevelType w:val="hybridMultilevel"/>
    <w:tmpl w:val="3F9A40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43D91E62"/>
    <w:multiLevelType w:val="multilevel"/>
    <w:tmpl w:val="8174CB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45C55C61"/>
    <w:multiLevelType w:val="hybridMultilevel"/>
    <w:tmpl w:val="93AEDE6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4699105C"/>
    <w:multiLevelType w:val="hybridMultilevel"/>
    <w:tmpl w:val="9926BFE6"/>
    <w:lvl w:ilvl="0" w:tplc="40090001">
      <w:start w:val="1"/>
      <w:numFmt w:val="bullet"/>
      <w:lvlText w:val=""/>
      <w:lvlJc w:val="left"/>
      <w:pPr>
        <w:ind w:left="436" w:hanging="360"/>
      </w:pPr>
      <w:rPr>
        <w:rFonts w:ascii="Symbol" w:hAnsi="Symbol" w:hint="default"/>
      </w:rPr>
    </w:lvl>
    <w:lvl w:ilvl="1" w:tplc="40090003" w:tentative="1">
      <w:start w:val="1"/>
      <w:numFmt w:val="bullet"/>
      <w:lvlText w:val="o"/>
      <w:lvlJc w:val="left"/>
      <w:pPr>
        <w:ind w:left="1156" w:hanging="360"/>
      </w:pPr>
      <w:rPr>
        <w:rFonts w:ascii="Courier New" w:hAnsi="Courier New" w:cs="Courier New" w:hint="default"/>
      </w:rPr>
    </w:lvl>
    <w:lvl w:ilvl="2" w:tplc="40090005" w:tentative="1">
      <w:start w:val="1"/>
      <w:numFmt w:val="bullet"/>
      <w:lvlText w:val=""/>
      <w:lvlJc w:val="left"/>
      <w:pPr>
        <w:ind w:left="1876" w:hanging="360"/>
      </w:pPr>
      <w:rPr>
        <w:rFonts w:ascii="Wingdings" w:hAnsi="Wingdings" w:hint="default"/>
      </w:rPr>
    </w:lvl>
    <w:lvl w:ilvl="3" w:tplc="40090001" w:tentative="1">
      <w:start w:val="1"/>
      <w:numFmt w:val="bullet"/>
      <w:lvlText w:val=""/>
      <w:lvlJc w:val="left"/>
      <w:pPr>
        <w:ind w:left="2596" w:hanging="360"/>
      </w:pPr>
      <w:rPr>
        <w:rFonts w:ascii="Symbol" w:hAnsi="Symbol" w:hint="default"/>
      </w:rPr>
    </w:lvl>
    <w:lvl w:ilvl="4" w:tplc="40090003" w:tentative="1">
      <w:start w:val="1"/>
      <w:numFmt w:val="bullet"/>
      <w:lvlText w:val="o"/>
      <w:lvlJc w:val="left"/>
      <w:pPr>
        <w:ind w:left="3316" w:hanging="360"/>
      </w:pPr>
      <w:rPr>
        <w:rFonts w:ascii="Courier New" w:hAnsi="Courier New" w:cs="Courier New" w:hint="default"/>
      </w:rPr>
    </w:lvl>
    <w:lvl w:ilvl="5" w:tplc="40090005" w:tentative="1">
      <w:start w:val="1"/>
      <w:numFmt w:val="bullet"/>
      <w:lvlText w:val=""/>
      <w:lvlJc w:val="left"/>
      <w:pPr>
        <w:ind w:left="4036" w:hanging="360"/>
      </w:pPr>
      <w:rPr>
        <w:rFonts w:ascii="Wingdings" w:hAnsi="Wingdings" w:hint="default"/>
      </w:rPr>
    </w:lvl>
    <w:lvl w:ilvl="6" w:tplc="40090001" w:tentative="1">
      <w:start w:val="1"/>
      <w:numFmt w:val="bullet"/>
      <w:lvlText w:val=""/>
      <w:lvlJc w:val="left"/>
      <w:pPr>
        <w:ind w:left="4756" w:hanging="360"/>
      </w:pPr>
      <w:rPr>
        <w:rFonts w:ascii="Symbol" w:hAnsi="Symbol" w:hint="default"/>
      </w:rPr>
    </w:lvl>
    <w:lvl w:ilvl="7" w:tplc="40090003" w:tentative="1">
      <w:start w:val="1"/>
      <w:numFmt w:val="bullet"/>
      <w:lvlText w:val="o"/>
      <w:lvlJc w:val="left"/>
      <w:pPr>
        <w:ind w:left="5476" w:hanging="360"/>
      </w:pPr>
      <w:rPr>
        <w:rFonts w:ascii="Courier New" w:hAnsi="Courier New" w:cs="Courier New" w:hint="default"/>
      </w:rPr>
    </w:lvl>
    <w:lvl w:ilvl="8" w:tplc="40090005" w:tentative="1">
      <w:start w:val="1"/>
      <w:numFmt w:val="bullet"/>
      <w:lvlText w:val=""/>
      <w:lvlJc w:val="left"/>
      <w:pPr>
        <w:ind w:left="6196" w:hanging="360"/>
      </w:pPr>
      <w:rPr>
        <w:rFonts w:ascii="Wingdings" w:hAnsi="Wingdings" w:hint="default"/>
      </w:rPr>
    </w:lvl>
  </w:abstractNum>
  <w:abstractNum w:abstractNumId="33" w15:restartNumberingAfterBreak="0">
    <w:nsid w:val="46A26950"/>
    <w:multiLevelType w:val="hybridMultilevel"/>
    <w:tmpl w:val="8B9C8214"/>
    <w:lvl w:ilvl="0" w:tplc="F5E02960">
      <w:start w:val="1"/>
      <w:numFmt w:val="decimal"/>
      <w:lvlText w:val="%1."/>
      <w:lvlJc w:val="left"/>
      <w:pPr>
        <w:ind w:left="720" w:hanging="360"/>
      </w:pPr>
      <w:rPr>
        <w:rFonts w:ascii="Garamond" w:hAnsi="Garamond" w:hint="default"/>
        <w:b/>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5117327E"/>
    <w:multiLevelType w:val="multilevel"/>
    <w:tmpl w:val="97A2ACE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15:restartNumberingAfterBreak="0">
    <w:nsid w:val="527B0595"/>
    <w:multiLevelType w:val="hybridMultilevel"/>
    <w:tmpl w:val="9C1AF802"/>
    <w:lvl w:ilvl="0" w:tplc="40090001">
      <w:start w:val="1"/>
      <w:numFmt w:val="bullet"/>
      <w:lvlText w:val=""/>
      <w:lvlJc w:val="left"/>
      <w:pPr>
        <w:ind w:left="1288" w:hanging="360"/>
      </w:pPr>
      <w:rPr>
        <w:rFonts w:ascii="Symbol" w:hAnsi="Symbol" w:hint="default"/>
      </w:rPr>
    </w:lvl>
    <w:lvl w:ilvl="1" w:tplc="40090003" w:tentative="1">
      <w:start w:val="1"/>
      <w:numFmt w:val="bullet"/>
      <w:lvlText w:val="o"/>
      <w:lvlJc w:val="left"/>
      <w:pPr>
        <w:ind w:left="2008" w:hanging="360"/>
      </w:pPr>
      <w:rPr>
        <w:rFonts w:ascii="Courier New" w:hAnsi="Courier New" w:cs="Courier New" w:hint="default"/>
      </w:rPr>
    </w:lvl>
    <w:lvl w:ilvl="2" w:tplc="40090005" w:tentative="1">
      <w:start w:val="1"/>
      <w:numFmt w:val="bullet"/>
      <w:lvlText w:val=""/>
      <w:lvlJc w:val="left"/>
      <w:pPr>
        <w:ind w:left="2728" w:hanging="360"/>
      </w:pPr>
      <w:rPr>
        <w:rFonts w:ascii="Wingdings" w:hAnsi="Wingdings" w:hint="default"/>
      </w:rPr>
    </w:lvl>
    <w:lvl w:ilvl="3" w:tplc="40090001" w:tentative="1">
      <w:start w:val="1"/>
      <w:numFmt w:val="bullet"/>
      <w:lvlText w:val=""/>
      <w:lvlJc w:val="left"/>
      <w:pPr>
        <w:ind w:left="3448" w:hanging="360"/>
      </w:pPr>
      <w:rPr>
        <w:rFonts w:ascii="Symbol" w:hAnsi="Symbol" w:hint="default"/>
      </w:rPr>
    </w:lvl>
    <w:lvl w:ilvl="4" w:tplc="40090003" w:tentative="1">
      <w:start w:val="1"/>
      <w:numFmt w:val="bullet"/>
      <w:lvlText w:val="o"/>
      <w:lvlJc w:val="left"/>
      <w:pPr>
        <w:ind w:left="4168" w:hanging="360"/>
      </w:pPr>
      <w:rPr>
        <w:rFonts w:ascii="Courier New" w:hAnsi="Courier New" w:cs="Courier New" w:hint="default"/>
      </w:rPr>
    </w:lvl>
    <w:lvl w:ilvl="5" w:tplc="40090005" w:tentative="1">
      <w:start w:val="1"/>
      <w:numFmt w:val="bullet"/>
      <w:lvlText w:val=""/>
      <w:lvlJc w:val="left"/>
      <w:pPr>
        <w:ind w:left="4888" w:hanging="360"/>
      </w:pPr>
      <w:rPr>
        <w:rFonts w:ascii="Wingdings" w:hAnsi="Wingdings" w:hint="default"/>
      </w:rPr>
    </w:lvl>
    <w:lvl w:ilvl="6" w:tplc="40090001" w:tentative="1">
      <w:start w:val="1"/>
      <w:numFmt w:val="bullet"/>
      <w:lvlText w:val=""/>
      <w:lvlJc w:val="left"/>
      <w:pPr>
        <w:ind w:left="5608" w:hanging="360"/>
      </w:pPr>
      <w:rPr>
        <w:rFonts w:ascii="Symbol" w:hAnsi="Symbol" w:hint="default"/>
      </w:rPr>
    </w:lvl>
    <w:lvl w:ilvl="7" w:tplc="40090003" w:tentative="1">
      <w:start w:val="1"/>
      <w:numFmt w:val="bullet"/>
      <w:lvlText w:val="o"/>
      <w:lvlJc w:val="left"/>
      <w:pPr>
        <w:ind w:left="6328" w:hanging="360"/>
      </w:pPr>
      <w:rPr>
        <w:rFonts w:ascii="Courier New" w:hAnsi="Courier New" w:cs="Courier New" w:hint="default"/>
      </w:rPr>
    </w:lvl>
    <w:lvl w:ilvl="8" w:tplc="40090005" w:tentative="1">
      <w:start w:val="1"/>
      <w:numFmt w:val="bullet"/>
      <w:lvlText w:val=""/>
      <w:lvlJc w:val="left"/>
      <w:pPr>
        <w:ind w:left="7048" w:hanging="360"/>
      </w:pPr>
      <w:rPr>
        <w:rFonts w:ascii="Wingdings" w:hAnsi="Wingdings" w:hint="default"/>
      </w:rPr>
    </w:lvl>
  </w:abstractNum>
  <w:abstractNum w:abstractNumId="36" w15:restartNumberingAfterBreak="0">
    <w:nsid w:val="5A6A4B69"/>
    <w:multiLevelType w:val="multilevel"/>
    <w:tmpl w:val="9AD44F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5B062FF1"/>
    <w:multiLevelType w:val="hybridMultilevel"/>
    <w:tmpl w:val="3F3066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5F4E711A"/>
    <w:multiLevelType w:val="multilevel"/>
    <w:tmpl w:val="A6741A6C"/>
    <w:lvl w:ilvl="0">
      <w:start w:val="1"/>
      <w:numFmt w:val="upperRoman"/>
      <w:lvlText w:val="%1."/>
      <w:lvlJc w:val="righ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28E336F"/>
    <w:multiLevelType w:val="hybridMultilevel"/>
    <w:tmpl w:val="D8D293A6"/>
    <w:lvl w:ilvl="0" w:tplc="40090015">
      <w:start w:val="1"/>
      <w:numFmt w:val="upp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0" w15:restartNumberingAfterBreak="0">
    <w:nsid w:val="69C876C4"/>
    <w:multiLevelType w:val="hybridMultilevel"/>
    <w:tmpl w:val="31503516"/>
    <w:lvl w:ilvl="0" w:tplc="306E79D4">
      <w:numFmt w:val="bullet"/>
      <w:lvlText w:val="-"/>
      <w:lvlJc w:val="left"/>
      <w:pPr>
        <w:ind w:left="1080" w:hanging="360"/>
      </w:pPr>
      <w:rPr>
        <w:rFonts w:ascii="Palatino Linotype" w:eastAsiaTheme="minorHAnsi" w:hAnsi="Palatino Linotype"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1" w15:restartNumberingAfterBreak="0">
    <w:nsid w:val="71436DB5"/>
    <w:multiLevelType w:val="hybridMultilevel"/>
    <w:tmpl w:val="51523B68"/>
    <w:lvl w:ilvl="0" w:tplc="40090015">
      <w:start w:val="1"/>
      <w:numFmt w:val="upp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abstractNumId w:val="7"/>
  </w:num>
  <w:num w:numId="2">
    <w:abstractNumId w:val="38"/>
  </w:num>
  <w:num w:numId="3">
    <w:abstractNumId w:val="8"/>
  </w:num>
  <w:num w:numId="4">
    <w:abstractNumId w:val="17"/>
  </w:num>
  <w:num w:numId="5">
    <w:abstractNumId w:val="3"/>
  </w:num>
  <w:num w:numId="6">
    <w:abstractNumId w:val="1"/>
  </w:num>
  <w:num w:numId="7">
    <w:abstractNumId w:val="2"/>
  </w:num>
  <w:num w:numId="8">
    <w:abstractNumId w:val="0"/>
  </w:num>
  <w:num w:numId="9">
    <w:abstractNumId w:val="13"/>
  </w:num>
  <w:num w:numId="10">
    <w:abstractNumId w:val="14"/>
  </w:num>
  <w:num w:numId="11">
    <w:abstractNumId w:val="28"/>
  </w:num>
  <w:num w:numId="12">
    <w:abstractNumId w:val="15"/>
  </w:num>
  <w:num w:numId="13">
    <w:abstractNumId w:val="37"/>
  </w:num>
  <w:num w:numId="14">
    <w:abstractNumId w:val="40"/>
  </w:num>
  <w:num w:numId="15">
    <w:abstractNumId w:val="16"/>
  </w:num>
  <w:num w:numId="16">
    <w:abstractNumId w:val="39"/>
  </w:num>
  <w:num w:numId="17">
    <w:abstractNumId w:val="21"/>
  </w:num>
  <w:num w:numId="18">
    <w:abstractNumId w:val="30"/>
  </w:num>
  <w:num w:numId="19">
    <w:abstractNumId w:val="5"/>
  </w:num>
  <w:num w:numId="20">
    <w:abstractNumId w:val="34"/>
  </w:num>
  <w:num w:numId="21">
    <w:abstractNumId w:val="36"/>
  </w:num>
  <w:num w:numId="22">
    <w:abstractNumId w:val="23"/>
  </w:num>
  <w:num w:numId="23">
    <w:abstractNumId w:val="12"/>
  </w:num>
  <w:num w:numId="24">
    <w:abstractNumId w:val="41"/>
  </w:num>
  <w:num w:numId="25">
    <w:abstractNumId w:val="4"/>
  </w:num>
  <w:num w:numId="26">
    <w:abstractNumId w:val="18"/>
  </w:num>
  <w:num w:numId="27">
    <w:abstractNumId w:val="19"/>
  </w:num>
  <w:num w:numId="28">
    <w:abstractNumId w:val="10"/>
  </w:num>
  <w:num w:numId="29">
    <w:abstractNumId w:val="25"/>
  </w:num>
  <w:num w:numId="30">
    <w:abstractNumId w:val="33"/>
  </w:num>
  <w:num w:numId="31">
    <w:abstractNumId w:val="26"/>
  </w:num>
  <w:num w:numId="32">
    <w:abstractNumId w:val="27"/>
  </w:num>
  <w:num w:numId="33">
    <w:abstractNumId w:val="22"/>
  </w:num>
  <w:num w:numId="34">
    <w:abstractNumId w:val="35"/>
  </w:num>
  <w:num w:numId="35">
    <w:abstractNumId w:val="29"/>
  </w:num>
  <w:num w:numId="36">
    <w:abstractNumId w:val="11"/>
  </w:num>
  <w:num w:numId="37">
    <w:abstractNumId w:val="24"/>
  </w:num>
  <w:num w:numId="38">
    <w:abstractNumId w:val="9"/>
  </w:num>
  <w:num w:numId="39">
    <w:abstractNumId w:val="20"/>
  </w:num>
  <w:num w:numId="40">
    <w:abstractNumId w:val="32"/>
  </w:num>
  <w:num w:numId="41">
    <w:abstractNumId w:val="6"/>
  </w:num>
  <w:num w:numId="42">
    <w:abstractNumId w:val="3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597C"/>
    <w:rsid w:val="00000718"/>
    <w:rsid w:val="00000F02"/>
    <w:rsid w:val="00001102"/>
    <w:rsid w:val="000012F5"/>
    <w:rsid w:val="0000238B"/>
    <w:rsid w:val="00002F15"/>
    <w:rsid w:val="000052BB"/>
    <w:rsid w:val="00005830"/>
    <w:rsid w:val="000129F5"/>
    <w:rsid w:val="00012FAA"/>
    <w:rsid w:val="000133EA"/>
    <w:rsid w:val="00013A01"/>
    <w:rsid w:val="00013BA3"/>
    <w:rsid w:val="000145C6"/>
    <w:rsid w:val="000161B3"/>
    <w:rsid w:val="000174DC"/>
    <w:rsid w:val="000211A2"/>
    <w:rsid w:val="000216DD"/>
    <w:rsid w:val="00022868"/>
    <w:rsid w:val="000243DB"/>
    <w:rsid w:val="000243E1"/>
    <w:rsid w:val="000254CD"/>
    <w:rsid w:val="000256C7"/>
    <w:rsid w:val="00026D29"/>
    <w:rsid w:val="0003061B"/>
    <w:rsid w:val="000346B6"/>
    <w:rsid w:val="00034DE0"/>
    <w:rsid w:val="00035307"/>
    <w:rsid w:val="00035948"/>
    <w:rsid w:val="00035951"/>
    <w:rsid w:val="0003625D"/>
    <w:rsid w:val="00041693"/>
    <w:rsid w:val="00043C9A"/>
    <w:rsid w:val="00043F40"/>
    <w:rsid w:val="00045903"/>
    <w:rsid w:val="00045B3E"/>
    <w:rsid w:val="00046401"/>
    <w:rsid w:val="00047715"/>
    <w:rsid w:val="000507E2"/>
    <w:rsid w:val="00050DB7"/>
    <w:rsid w:val="00053B79"/>
    <w:rsid w:val="00055162"/>
    <w:rsid w:val="000556EC"/>
    <w:rsid w:val="00057D3C"/>
    <w:rsid w:val="00062D7C"/>
    <w:rsid w:val="00062F4A"/>
    <w:rsid w:val="00063FF5"/>
    <w:rsid w:val="00065CF0"/>
    <w:rsid w:val="00066531"/>
    <w:rsid w:val="000702D1"/>
    <w:rsid w:val="00071658"/>
    <w:rsid w:val="0007274D"/>
    <w:rsid w:val="000730EC"/>
    <w:rsid w:val="0007312C"/>
    <w:rsid w:val="00073DF2"/>
    <w:rsid w:val="00074803"/>
    <w:rsid w:val="00074BD8"/>
    <w:rsid w:val="00075391"/>
    <w:rsid w:val="0007759D"/>
    <w:rsid w:val="00077C1C"/>
    <w:rsid w:val="00080500"/>
    <w:rsid w:val="00081D7A"/>
    <w:rsid w:val="00082028"/>
    <w:rsid w:val="00082CA8"/>
    <w:rsid w:val="00084083"/>
    <w:rsid w:val="0008421C"/>
    <w:rsid w:val="000847BB"/>
    <w:rsid w:val="00084FB3"/>
    <w:rsid w:val="000859EF"/>
    <w:rsid w:val="00085A8E"/>
    <w:rsid w:val="0008687B"/>
    <w:rsid w:val="00086BF6"/>
    <w:rsid w:val="00087B33"/>
    <w:rsid w:val="00090A9B"/>
    <w:rsid w:val="00090DEF"/>
    <w:rsid w:val="00091168"/>
    <w:rsid w:val="00091E37"/>
    <w:rsid w:val="000920E5"/>
    <w:rsid w:val="00092887"/>
    <w:rsid w:val="000946C2"/>
    <w:rsid w:val="000960B9"/>
    <w:rsid w:val="0009614C"/>
    <w:rsid w:val="0009638E"/>
    <w:rsid w:val="000A047F"/>
    <w:rsid w:val="000A0816"/>
    <w:rsid w:val="000A142F"/>
    <w:rsid w:val="000A19FF"/>
    <w:rsid w:val="000A2F76"/>
    <w:rsid w:val="000A34B6"/>
    <w:rsid w:val="000A37CE"/>
    <w:rsid w:val="000A47E6"/>
    <w:rsid w:val="000A4D70"/>
    <w:rsid w:val="000A7141"/>
    <w:rsid w:val="000B0A37"/>
    <w:rsid w:val="000B0DD6"/>
    <w:rsid w:val="000B27CD"/>
    <w:rsid w:val="000B2BC5"/>
    <w:rsid w:val="000B4450"/>
    <w:rsid w:val="000B5449"/>
    <w:rsid w:val="000B5935"/>
    <w:rsid w:val="000B6B00"/>
    <w:rsid w:val="000B7BC0"/>
    <w:rsid w:val="000B7FBD"/>
    <w:rsid w:val="000C02A3"/>
    <w:rsid w:val="000C0C5B"/>
    <w:rsid w:val="000C1CD7"/>
    <w:rsid w:val="000C1D79"/>
    <w:rsid w:val="000C1EA0"/>
    <w:rsid w:val="000C23CE"/>
    <w:rsid w:val="000C3C7D"/>
    <w:rsid w:val="000C5949"/>
    <w:rsid w:val="000C5AA9"/>
    <w:rsid w:val="000C6063"/>
    <w:rsid w:val="000C677F"/>
    <w:rsid w:val="000C69C1"/>
    <w:rsid w:val="000D1A21"/>
    <w:rsid w:val="000D2FD5"/>
    <w:rsid w:val="000D4C7F"/>
    <w:rsid w:val="000D66B0"/>
    <w:rsid w:val="000E03A6"/>
    <w:rsid w:val="000E0833"/>
    <w:rsid w:val="000E0D86"/>
    <w:rsid w:val="000E125F"/>
    <w:rsid w:val="000E1FA1"/>
    <w:rsid w:val="000E2A6E"/>
    <w:rsid w:val="000E33A1"/>
    <w:rsid w:val="000E3746"/>
    <w:rsid w:val="000E3A95"/>
    <w:rsid w:val="000E46BB"/>
    <w:rsid w:val="000E4795"/>
    <w:rsid w:val="000E4C9B"/>
    <w:rsid w:val="000E7329"/>
    <w:rsid w:val="000E76D0"/>
    <w:rsid w:val="000E76FF"/>
    <w:rsid w:val="000E777A"/>
    <w:rsid w:val="000E7AC9"/>
    <w:rsid w:val="000F02FB"/>
    <w:rsid w:val="000F0612"/>
    <w:rsid w:val="000F0BF4"/>
    <w:rsid w:val="000F17E5"/>
    <w:rsid w:val="000F236F"/>
    <w:rsid w:val="000F28BC"/>
    <w:rsid w:val="000F3F0C"/>
    <w:rsid w:val="000F4124"/>
    <w:rsid w:val="000F464D"/>
    <w:rsid w:val="000F55A8"/>
    <w:rsid w:val="000F5AAF"/>
    <w:rsid w:val="000F6775"/>
    <w:rsid w:val="000F7372"/>
    <w:rsid w:val="000F7C8D"/>
    <w:rsid w:val="000F7F35"/>
    <w:rsid w:val="00100264"/>
    <w:rsid w:val="00100655"/>
    <w:rsid w:val="00100F24"/>
    <w:rsid w:val="00102392"/>
    <w:rsid w:val="001032F6"/>
    <w:rsid w:val="00104045"/>
    <w:rsid w:val="001041E6"/>
    <w:rsid w:val="0010444E"/>
    <w:rsid w:val="001048AC"/>
    <w:rsid w:val="0010536E"/>
    <w:rsid w:val="00106806"/>
    <w:rsid w:val="00107440"/>
    <w:rsid w:val="00107643"/>
    <w:rsid w:val="0011004C"/>
    <w:rsid w:val="0011033C"/>
    <w:rsid w:val="00110766"/>
    <w:rsid w:val="001109EA"/>
    <w:rsid w:val="00112036"/>
    <w:rsid w:val="00112407"/>
    <w:rsid w:val="00113363"/>
    <w:rsid w:val="00113380"/>
    <w:rsid w:val="00114AC5"/>
    <w:rsid w:val="00114B6F"/>
    <w:rsid w:val="00114C90"/>
    <w:rsid w:val="001155EB"/>
    <w:rsid w:val="001164CA"/>
    <w:rsid w:val="0011654B"/>
    <w:rsid w:val="001212CB"/>
    <w:rsid w:val="00123543"/>
    <w:rsid w:val="0012367A"/>
    <w:rsid w:val="00124B1E"/>
    <w:rsid w:val="001254B4"/>
    <w:rsid w:val="00125AF5"/>
    <w:rsid w:val="0012648B"/>
    <w:rsid w:val="00126726"/>
    <w:rsid w:val="001279AE"/>
    <w:rsid w:val="00130027"/>
    <w:rsid w:val="00130306"/>
    <w:rsid w:val="00130BC0"/>
    <w:rsid w:val="00132024"/>
    <w:rsid w:val="00132568"/>
    <w:rsid w:val="00134BC1"/>
    <w:rsid w:val="00135041"/>
    <w:rsid w:val="001357A7"/>
    <w:rsid w:val="00135EF6"/>
    <w:rsid w:val="001363E8"/>
    <w:rsid w:val="001376EC"/>
    <w:rsid w:val="00137E4B"/>
    <w:rsid w:val="00140090"/>
    <w:rsid w:val="001404C9"/>
    <w:rsid w:val="00141FC6"/>
    <w:rsid w:val="00142329"/>
    <w:rsid w:val="00143013"/>
    <w:rsid w:val="001450AE"/>
    <w:rsid w:val="00146B24"/>
    <w:rsid w:val="00146D0E"/>
    <w:rsid w:val="00150006"/>
    <w:rsid w:val="0015021B"/>
    <w:rsid w:val="00151C67"/>
    <w:rsid w:val="001523E1"/>
    <w:rsid w:val="00153CF4"/>
    <w:rsid w:val="00154F31"/>
    <w:rsid w:val="00160183"/>
    <w:rsid w:val="00160768"/>
    <w:rsid w:val="00160DEC"/>
    <w:rsid w:val="00160E47"/>
    <w:rsid w:val="0016116C"/>
    <w:rsid w:val="0016171E"/>
    <w:rsid w:val="00162443"/>
    <w:rsid w:val="00163595"/>
    <w:rsid w:val="00164B80"/>
    <w:rsid w:val="001662DE"/>
    <w:rsid w:val="0016654B"/>
    <w:rsid w:val="001667BE"/>
    <w:rsid w:val="00166B5E"/>
    <w:rsid w:val="00170534"/>
    <w:rsid w:val="0017198F"/>
    <w:rsid w:val="001720CD"/>
    <w:rsid w:val="0017288A"/>
    <w:rsid w:val="00175031"/>
    <w:rsid w:val="001755DE"/>
    <w:rsid w:val="00175977"/>
    <w:rsid w:val="00175A49"/>
    <w:rsid w:val="00175C02"/>
    <w:rsid w:val="00177824"/>
    <w:rsid w:val="00177BD1"/>
    <w:rsid w:val="00177C4A"/>
    <w:rsid w:val="0018049A"/>
    <w:rsid w:val="001816BF"/>
    <w:rsid w:val="0018197C"/>
    <w:rsid w:val="00182965"/>
    <w:rsid w:val="0018378C"/>
    <w:rsid w:val="00183E80"/>
    <w:rsid w:val="001847A1"/>
    <w:rsid w:val="00184C5B"/>
    <w:rsid w:val="00184D09"/>
    <w:rsid w:val="0018502D"/>
    <w:rsid w:val="001868D6"/>
    <w:rsid w:val="00186E61"/>
    <w:rsid w:val="001912C3"/>
    <w:rsid w:val="00191B9C"/>
    <w:rsid w:val="0019305B"/>
    <w:rsid w:val="001932A2"/>
    <w:rsid w:val="00193EFB"/>
    <w:rsid w:val="0019451C"/>
    <w:rsid w:val="00194F88"/>
    <w:rsid w:val="001961E8"/>
    <w:rsid w:val="00196267"/>
    <w:rsid w:val="0019787A"/>
    <w:rsid w:val="001A054F"/>
    <w:rsid w:val="001A0B06"/>
    <w:rsid w:val="001A2361"/>
    <w:rsid w:val="001A3018"/>
    <w:rsid w:val="001A3156"/>
    <w:rsid w:val="001A375B"/>
    <w:rsid w:val="001A42AC"/>
    <w:rsid w:val="001A5A37"/>
    <w:rsid w:val="001A5E17"/>
    <w:rsid w:val="001A61B6"/>
    <w:rsid w:val="001A6439"/>
    <w:rsid w:val="001A697A"/>
    <w:rsid w:val="001A7518"/>
    <w:rsid w:val="001A7D69"/>
    <w:rsid w:val="001A7DC2"/>
    <w:rsid w:val="001B1D3E"/>
    <w:rsid w:val="001B2693"/>
    <w:rsid w:val="001B279D"/>
    <w:rsid w:val="001B44E2"/>
    <w:rsid w:val="001B4C10"/>
    <w:rsid w:val="001B5B2F"/>
    <w:rsid w:val="001B5BFF"/>
    <w:rsid w:val="001B7218"/>
    <w:rsid w:val="001B7FD3"/>
    <w:rsid w:val="001C0933"/>
    <w:rsid w:val="001C0BB1"/>
    <w:rsid w:val="001C0BDA"/>
    <w:rsid w:val="001C2441"/>
    <w:rsid w:val="001C3230"/>
    <w:rsid w:val="001C4EE9"/>
    <w:rsid w:val="001C5DA4"/>
    <w:rsid w:val="001C637A"/>
    <w:rsid w:val="001C7B26"/>
    <w:rsid w:val="001C7B28"/>
    <w:rsid w:val="001D04F5"/>
    <w:rsid w:val="001D093A"/>
    <w:rsid w:val="001D0BCA"/>
    <w:rsid w:val="001D1729"/>
    <w:rsid w:val="001D2CA3"/>
    <w:rsid w:val="001D4399"/>
    <w:rsid w:val="001D4801"/>
    <w:rsid w:val="001D4880"/>
    <w:rsid w:val="001D52A6"/>
    <w:rsid w:val="001D5BBC"/>
    <w:rsid w:val="001D68DB"/>
    <w:rsid w:val="001D7AA4"/>
    <w:rsid w:val="001D7B80"/>
    <w:rsid w:val="001E0BB4"/>
    <w:rsid w:val="001E1254"/>
    <w:rsid w:val="001E2A24"/>
    <w:rsid w:val="001E3F5F"/>
    <w:rsid w:val="001E4032"/>
    <w:rsid w:val="001E4F7E"/>
    <w:rsid w:val="001E5152"/>
    <w:rsid w:val="001E51C8"/>
    <w:rsid w:val="001E722D"/>
    <w:rsid w:val="001E79D3"/>
    <w:rsid w:val="001E7A6D"/>
    <w:rsid w:val="001F078D"/>
    <w:rsid w:val="001F19F8"/>
    <w:rsid w:val="001F3CB6"/>
    <w:rsid w:val="001F45DC"/>
    <w:rsid w:val="001F4744"/>
    <w:rsid w:val="001F4F5A"/>
    <w:rsid w:val="001F5922"/>
    <w:rsid w:val="001F707A"/>
    <w:rsid w:val="002005C8"/>
    <w:rsid w:val="00200742"/>
    <w:rsid w:val="00200C72"/>
    <w:rsid w:val="00201047"/>
    <w:rsid w:val="002013AA"/>
    <w:rsid w:val="00201776"/>
    <w:rsid w:val="00201C91"/>
    <w:rsid w:val="00201F92"/>
    <w:rsid w:val="00202156"/>
    <w:rsid w:val="00203447"/>
    <w:rsid w:val="00204BFE"/>
    <w:rsid w:val="00204C2C"/>
    <w:rsid w:val="002058D4"/>
    <w:rsid w:val="00206786"/>
    <w:rsid w:val="00206B5D"/>
    <w:rsid w:val="00207133"/>
    <w:rsid w:val="00207654"/>
    <w:rsid w:val="002101C9"/>
    <w:rsid w:val="00210EF0"/>
    <w:rsid w:val="00212565"/>
    <w:rsid w:val="002135D8"/>
    <w:rsid w:val="002140C5"/>
    <w:rsid w:val="00214741"/>
    <w:rsid w:val="0021539B"/>
    <w:rsid w:val="00217822"/>
    <w:rsid w:val="0022096F"/>
    <w:rsid w:val="00220AB1"/>
    <w:rsid w:val="00220C24"/>
    <w:rsid w:val="00220D54"/>
    <w:rsid w:val="00222713"/>
    <w:rsid w:val="00223671"/>
    <w:rsid w:val="002240ED"/>
    <w:rsid w:val="002245EC"/>
    <w:rsid w:val="00224F9F"/>
    <w:rsid w:val="002252C5"/>
    <w:rsid w:val="00225F3F"/>
    <w:rsid w:val="0022662A"/>
    <w:rsid w:val="00226BF6"/>
    <w:rsid w:val="002271C2"/>
    <w:rsid w:val="00227328"/>
    <w:rsid w:val="00227721"/>
    <w:rsid w:val="00227EA4"/>
    <w:rsid w:val="0023129A"/>
    <w:rsid w:val="002319FF"/>
    <w:rsid w:val="002322F9"/>
    <w:rsid w:val="002325B0"/>
    <w:rsid w:val="002334AB"/>
    <w:rsid w:val="00233575"/>
    <w:rsid w:val="00233585"/>
    <w:rsid w:val="00234E67"/>
    <w:rsid w:val="002354B2"/>
    <w:rsid w:val="00235B23"/>
    <w:rsid w:val="002361F1"/>
    <w:rsid w:val="00236346"/>
    <w:rsid w:val="00236954"/>
    <w:rsid w:val="0023700B"/>
    <w:rsid w:val="00237509"/>
    <w:rsid w:val="002405F0"/>
    <w:rsid w:val="00240828"/>
    <w:rsid w:val="00240D60"/>
    <w:rsid w:val="00241B89"/>
    <w:rsid w:val="0024216A"/>
    <w:rsid w:val="002421DD"/>
    <w:rsid w:val="00243068"/>
    <w:rsid w:val="0024330D"/>
    <w:rsid w:val="00243434"/>
    <w:rsid w:val="002447CE"/>
    <w:rsid w:val="00244EAF"/>
    <w:rsid w:val="0024500A"/>
    <w:rsid w:val="002450DA"/>
    <w:rsid w:val="00245553"/>
    <w:rsid w:val="002467B3"/>
    <w:rsid w:val="002468DB"/>
    <w:rsid w:val="00247214"/>
    <w:rsid w:val="002479A0"/>
    <w:rsid w:val="00247B4A"/>
    <w:rsid w:val="00250D94"/>
    <w:rsid w:val="00250FFA"/>
    <w:rsid w:val="00251FF1"/>
    <w:rsid w:val="002520EA"/>
    <w:rsid w:val="002541C6"/>
    <w:rsid w:val="0025439E"/>
    <w:rsid w:val="00255D90"/>
    <w:rsid w:val="00256242"/>
    <w:rsid w:val="002576F1"/>
    <w:rsid w:val="00261986"/>
    <w:rsid w:val="002647AE"/>
    <w:rsid w:val="00265D83"/>
    <w:rsid w:val="002664D0"/>
    <w:rsid w:val="00266B8C"/>
    <w:rsid w:val="0026767E"/>
    <w:rsid w:val="00267A7C"/>
    <w:rsid w:val="00271F75"/>
    <w:rsid w:val="002721CB"/>
    <w:rsid w:val="0027231F"/>
    <w:rsid w:val="00272724"/>
    <w:rsid w:val="00272D3E"/>
    <w:rsid w:val="00272F12"/>
    <w:rsid w:val="00273612"/>
    <w:rsid w:val="00275078"/>
    <w:rsid w:val="00275096"/>
    <w:rsid w:val="0027517B"/>
    <w:rsid w:val="00275929"/>
    <w:rsid w:val="002770A6"/>
    <w:rsid w:val="002776BE"/>
    <w:rsid w:val="00280CFD"/>
    <w:rsid w:val="002818A0"/>
    <w:rsid w:val="002818B2"/>
    <w:rsid w:val="00283974"/>
    <w:rsid w:val="00284BC2"/>
    <w:rsid w:val="00284E34"/>
    <w:rsid w:val="002852AB"/>
    <w:rsid w:val="002853A4"/>
    <w:rsid w:val="00285F0C"/>
    <w:rsid w:val="00286614"/>
    <w:rsid w:val="00287B4A"/>
    <w:rsid w:val="002911AB"/>
    <w:rsid w:val="00291F28"/>
    <w:rsid w:val="00294843"/>
    <w:rsid w:val="00294B3E"/>
    <w:rsid w:val="002959F3"/>
    <w:rsid w:val="00295C58"/>
    <w:rsid w:val="00295F4F"/>
    <w:rsid w:val="00296BD4"/>
    <w:rsid w:val="00297ABE"/>
    <w:rsid w:val="002A0261"/>
    <w:rsid w:val="002A1CAB"/>
    <w:rsid w:val="002A25B6"/>
    <w:rsid w:val="002A2BB0"/>
    <w:rsid w:val="002A51F7"/>
    <w:rsid w:val="002A54FF"/>
    <w:rsid w:val="002A6544"/>
    <w:rsid w:val="002A7477"/>
    <w:rsid w:val="002A7A64"/>
    <w:rsid w:val="002A7D0C"/>
    <w:rsid w:val="002B0029"/>
    <w:rsid w:val="002B0E62"/>
    <w:rsid w:val="002B13B8"/>
    <w:rsid w:val="002B2515"/>
    <w:rsid w:val="002B2FED"/>
    <w:rsid w:val="002B402D"/>
    <w:rsid w:val="002B6143"/>
    <w:rsid w:val="002B769A"/>
    <w:rsid w:val="002C0082"/>
    <w:rsid w:val="002C0CF3"/>
    <w:rsid w:val="002C1136"/>
    <w:rsid w:val="002C1200"/>
    <w:rsid w:val="002C2400"/>
    <w:rsid w:val="002C2CFE"/>
    <w:rsid w:val="002C3645"/>
    <w:rsid w:val="002C4936"/>
    <w:rsid w:val="002C4D20"/>
    <w:rsid w:val="002C4ED2"/>
    <w:rsid w:val="002C54CA"/>
    <w:rsid w:val="002C6429"/>
    <w:rsid w:val="002C6CCB"/>
    <w:rsid w:val="002C6FCE"/>
    <w:rsid w:val="002C7A76"/>
    <w:rsid w:val="002C7D3D"/>
    <w:rsid w:val="002D09D6"/>
    <w:rsid w:val="002D0AE7"/>
    <w:rsid w:val="002D2DC8"/>
    <w:rsid w:val="002D3E7C"/>
    <w:rsid w:val="002D42CB"/>
    <w:rsid w:val="002D432D"/>
    <w:rsid w:val="002D6708"/>
    <w:rsid w:val="002D724A"/>
    <w:rsid w:val="002E006D"/>
    <w:rsid w:val="002E0F21"/>
    <w:rsid w:val="002E11AF"/>
    <w:rsid w:val="002E1534"/>
    <w:rsid w:val="002E154E"/>
    <w:rsid w:val="002E1620"/>
    <w:rsid w:val="002E18B1"/>
    <w:rsid w:val="002E20EC"/>
    <w:rsid w:val="002E2589"/>
    <w:rsid w:val="002E26CF"/>
    <w:rsid w:val="002E2C31"/>
    <w:rsid w:val="002E3090"/>
    <w:rsid w:val="002E41FF"/>
    <w:rsid w:val="002E4D3E"/>
    <w:rsid w:val="002E627C"/>
    <w:rsid w:val="002E687D"/>
    <w:rsid w:val="002E7C98"/>
    <w:rsid w:val="002E7F52"/>
    <w:rsid w:val="002F2903"/>
    <w:rsid w:val="002F2984"/>
    <w:rsid w:val="002F2F21"/>
    <w:rsid w:val="002F3AF7"/>
    <w:rsid w:val="002F41CD"/>
    <w:rsid w:val="002F70EB"/>
    <w:rsid w:val="002F71DF"/>
    <w:rsid w:val="0030004F"/>
    <w:rsid w:val="00300262"/>
    <w:rsid w:val="00301C6A"/>
    <w:rsid w:val="0030208E"/>
    <w:rsid w:val="00302629"/>
    <w:rsid w:val="00302A9D"/>
    <w:rsid w:val="0030426F"/>
    <w:rsid w:val="00304C7D"/>
    <w:rsid w:val="00305062"/>
    <w:rsid w:val="0030548A"/>
    <w:rsid w:val="00305806"/>
    <w:rsid w:val="003064C4"/>
    <w:rsid w:val="00306646"/>
    <w:rsid w:val="00310322"/>
    <w:rsid w:val="00310A33"/>
    <w:rsid w:val="00310D4F"/>
    <w:rsid w:val="00312489"/>
    <w:rsid w:val="00312D42"/>
    <w:rsid w:val="0031379C"/>
    <w:rsid w:val="00313F0E"/>
    <w:rsid w:val="00314402"/>
    <w:rsid w:val="00314ED5"/>
    <w:rsid w:val="00315CB7"/>
    <w:rsid w:val="0031610E"/>
    <w:rsid w:val="003162C3"/>
    <w:rsid w:val="00316405"/>
    <w:rsid w:val="00317D01"/>
    <w:rsid w:val="0032036A"/>
    <w:rsid w:val="00321324"/>
    <w:rsid w:val="003219BE"/>
    <w:rsid w:val="0032394B"/>
    <w:rsid w:val="00325395"/>
    <w:rsid w:val="00326A7E"/>
    <w:rsid w:val="0033096F"/>
    <w:rsid w:val="00331382"/>
    <w:rsid w:val="00332050"/>
    <w:rsid w:val="00332124"/>
    <w:rsid w:val="003321CF"/>
    <w:rsid w:val="003323BA"/>
    <w:rsid w:val="003327D8"/>
    <w:rsid w:val="00332F86"/>
    <w:rsid w:val="00333281"/>
    <w:rsid w:val="00334455"/>
    <w:rsid w:val="00334516"/>
    <w:rsid w:val="00334B83"/>
    <w:rsid w:val="00335F32"/>
    <w:rsid w:val="003364B9"/>
    <w:rsid w:val="00336FC3"/>
    <w:rsid w:val="0034014E"/>
    <w:rsid w:val="00341FCF"/>
    <w:rsid w:val="003423FE"/>
    <w:rsid w:val="00342BD1"/>
    <w:rsid w:val="0034368F"/>
    <w:rsid w:val="0034385B"/>
    <w:rsid w:val="003456FD"/>
    <w:rsid w:val="00345A4F"/>
    <w:rsid w:val="00346D6C"/>
    <w:rsid w:val="00351582"/>
    <w:rsid w:val="003515BE"/>
    <w:rsid w:val="003516D9"/>
    <w:rsid w:val="00352307"/>
    <w:rsid w:val="00352AD5"/>
    <w:rsid w:val="003557AC"/>
    <w:rsid w:val="00356067"/>
    <w:rsid w:val="003570AD"/>
    <w:rsid w:val="003576D8"/>
    <w:rsid w:val="0035797F"/>
    <w:rsid w:val="00357F0F"/>
    <w:rsid w:val="00360032"/>
    <w:rsid w:val="00360BE5"/>
    <w:rsid w:val="00360FA1"/>
    <w:rsid w:val="0036332D"/>
    <w:rsid w:val="003656FA"/>
    <w:rsid w:val="003671F5"/>
    <w:rsid w:val="00371E4B"/>
    <w:rsid w:val="00372242"/>
    <w:rsid w:val="00373978"/>
    <w:rsid w:val="00373B39"/>
    <w:rsid w:val="0037442E"/>
    <w:rsid w:val="003745A0"/>
    <w:rsid w:val="00374E1A"/>
    <w:rsid w:val="00375172"/>
    <w:rsid w:val="003755CB"/>
    <w:rsid w:val="003761AC"/>
    <w:rsid w:val="003769B7"/>
    <w:rsid w:val="00376E21"/>
    <w:rsid w:val="00381D19"/>
    <w:rsid w:val="00383DBF"/>
    <w:rsid w:val="00383FFB"/>
    <w:rsid w:val="00384E16"/>
    <w:rsid w:val="00385837"/>
    <w:rsid w:val="0038592C"/>
    <w:rsid w:val="00387126"/>
    <w:rsid w:val="003873FD"/>
    <w:rsid w:val="00387426"/>
    <w:rsid w:val="0038777E"/>
    <w:rsid w:val="003903F3"/>
    <w:rsid w:val="003909F6"/>
    <w:rsid w:val="00390F23"/>
    <w:rsid w:val="003913C8"/>
    <w:rsid w:val="00391EC4"/>
    <w:rsid w:val="00391F48"/>
    <w:rsid w:val="0039243F"/>
    <w:rsid w:val="00395300"/>
    <w:rsid w:val="003959B8"/>
    <w:rsid w:val="00395B40"/>
    <w:rsid w:val="00396038"/>
    <w:rsid w:val="00396049"/>
    <w:rsid w:val="0039654D"/>
    <w:rsid w:val="0039732B"/>
    <w:rsid w:val="00397E98"/>
    <w:rsid w:val="003A17FF"/>
    <w:rsid w:val="003A21E5"/>
    <w:rsid w:val="003A297D"/>
    <w:rsid w:val="003A2BF9"/>
    <w:rsid w:val="003A331B"/>
    <w:rsid w:val="003A3BEA"/>
    <w:rsid w:val="003A48C5"/>
    <w:rsid w:val="003A4AC6"/>
    <w:rsid w:val="003A4BE3"/>
    <w:rsid w:val="003A5FB5"/>
    <w:rsid w:val="003B0D0B"/>
    <w:rsid w:val="003B1065"/>
    <w:rsid w:val="003B16D2"/>
    <w:rsid w:val="003B1DAD"/>
    <w:rsid w:val="003B1F08"/>
    <w:rsid w:val="003B2AA2"/>
    <w:rsid w:val="003B2FD2"/>
    <w:rsid w:val="003B5D3E"/>
    <w:rsid w:val="003B6169"/>
    <w:rsid w:val="003B6B7F"/>
    <w:rsid w:val="003B6CA4"/>
    <w:rsid w:val="003B7137"/>
    <w:rsid w:val="003C0053"/>
    <w:rsid w:val="003C03E0"/>
    <w:rsid w:val="003C05C5"/>
    <w:rsid w:val="003C1892"/>
    <w:rsid w:val="003C2CFF"/>
    <w:rsid w:val="003C2E75"/>
    <w:rsid w:val="003C2E80"/>
    <w:rsid w:val="003C3AA0"/>
    <w:rsid w:val="003C3DD7"/>
    <w:rsid w:val="003C4496"/>
    <w:rsid w:val="003C51EB"/>
    <w:rsid w:val="003C6A4A"/>
    <w:rsid w:val="003C70B1"/>
    <w:rsid w:val="003C728F"/>
    <w:rsid w:val="003D15FC"/>
    <w:rsid w:val="003D192D"/>
    <w:rsid w:val="003D1C08"/>
    <w:rsid w:val="003D1EB4"/>
    <w:rsid w:val="003D2B66"/>
    <w:rsid w:val="003D31FD"/>
    <w:rsid w:val="003D3C28"/>
    <w:rsid w:val="003D3F72"/>
    <w:rsid w:val="003D42E3"/>
    <w:rsid w:val="003D5C27"/>
    <w:rsid w:val="003D77FA"/>
    <w:rsid w:val="003D7F47"/>
    <w:rsid w:val="003E0D79"/>
    <w:rsid w:val="003E0F9F"/>
    <w:rsid w:val="003E14ED"/>
    <w:rsid w:val="003E1821"/>
    <w:rsid w:val="003E1929"/>
    <w:rsid w:val="003E5A8A"/>
    <w:rsid w:val="003E5D13"/>
    <w:rsid w:val="003E61D3"/>
    <w:rsid w:val="003E63F8"/>
    <w:rsid w:val="003E6B8D"/>
    <w:rsid w:val="003E70CB"/>
    <w:rsid w:val="003E71C8"/>
    <w:rsid w:val="003F0D78"/>
    <w:rsid w:val="003F139B"/>
    <w:rsid w:val="003F1FB2"/>
    <w:rsid w:val="003F2F76"/>
    <w:rsid w:val="003F384D"/>
    <w:rsid w:val="003F3A95"/>
    <w:rsid w:val="003F3BBB"/>
    <w:rsid w:val="003F4581"/>
    <w:rsid w:val="003F537A"/>
    <w:rsid w:val="003F5475"/>
    <w:rsid w:val="003F560E"/>
    <w:rsid w:val="003F5A24"/>
    <w:rsid w:val="003F5BB2"/>
    <w:rsid w:val="003F5EDA"/>
    <w:rsid w:val="003F62E0"/>
    <w:rsid w:val="003F643D"/>
    <w:rsid w:val="003F653C"/>
    <w:rsid w:val="003F6B61"/>
    <w:rsid w:val="003F6E33"/>
    <w:rsid w:val="003F71F4"/>
    <w:rsid w:val="00400590"/>
    <w:rsid w:val="00400691"/>
    <w:rsid w:val="00400A9A"/>
    <w:rsid w:val="004018C7"/>
    <w:rsid w:val="00401C57"/>
    <w:rsid w:val="004028D9"/>
    <w:rsid w:val="00404CDD"/>
    <w:rsid w:val="004066A2"/>
    <w:rsid w:val="00406C29"/>
    <w:rsid w:val="00406CA1"/>
    <w:rsid w:val="0041013E"/>
    <w:rsid w:val="00410C67"/>
    <w:rsid w:val="0041126A"/>
    <w:rsid w:val="00411783"/>
    <w:rsid w:val="00411A91"/>
    <w:rsid w:val="0041286F"/>
    <w:rsid w:val="004139A3"/>
    <w:rsid w:val="00413BE4"/>
    <w:rsid w:val="0041405E"/>
    <w:rsid w:val="0041477F"/>
    <w:rsid w:val="0041487F"/>
    <w:rsid w:val="00414991"/>
    <w:rsid w:val="00414E7A"/>
    <w:rsid w:val="00416135"/>
    <w:rsid w:val="00416ED9"/>
    <w:rsid w:val="004173B2"/>
    <w:rsid w:val="004205AB"/>
    <w:rsid w:val="00421135"/>
    <w:rsid w:val="00421794"/>
    <w:rsid w:val="004225E9"/>
    <w:rsid w:val="00423D86"/>
    <w:rsid w:val="00424C9E"/>
    <w:rsid w:val="004255B6"/>
    <w:rsid w:val="0042605C"/>
    <w:rsid w:val="00427912"/>
    <w:rsid w:val="00430234"/>
    <w:rsid w:val="00430948"/>
    <w:rsid w:val="004312D0"/>
    <w:rsid w:val="00431AF3"/>
    <w:rsid w:val="00432A89"/>
    <w:rsid w:val="00432CD0"/>
    <w:rsid w:val="004333ED"/>
    <w:rsid w:val="004338FC"/>
    <w:rsid w:val="00433C37"/>
    <w:rsid w:val="0043444E"/>
    <w:rsid w:val="00434487"/>
    <w:rsid w:val="004354AF"/>
    <w:rsid w:val="00436B9A"/>
    <w:rsid w:val="0044161F"/>
    <w:rsid w:val="0044362C"/>
    <w:rsid w:val="00444544"/>
    <w:rsid w:val="00444D4B"/>
    <w:rsid w:val="00445C99"/>
    <w:rsid w:val="00445CDF"/>
    <w:rsid w:val="00446060"/>
    <w:rsid w:val="00450AC4"/>
    <w:rsid w:val="00450C02"/>
    <w:rsid w:val="00451057"/>
    <w:rsid w:val="004517B1"/>
    <w:rsid w:val="00451CE6"/>
    <w:rsid w:val="004531B5"/>
    <w:rsid w:val="0045332B"/>
    <w:rsid w:val="004539CC"/>
    <w:rsid w:val="00453B3B"/>
    <w:rsid w:val="00453EDC"/>
    <w:rsid w:val="00454200"/>
    <w:rsid w:val="00454BBE"/>
    <w:rsid w:val="00455CC2"/>
    <w:rsid w:val="0045638C"/>
    <w:rsid w:val="00457A73"/>
    <w:rsid w:val="00460B5A"/>
    <w:rsid w:val="00462BB7"/>
    <w:rsid w:val="0046376B"/>
    <w:rsid w:val="00465207"/>
    <w:rsid w:val="0046520C"/>
    <w:rsid w:val="00467125"/>
    <w:rsid w:val="00470C37"/>
    <w:rsid w:val="00470E75"/>
    <w:rsid w:val="00471819"/>
    <w:rsid w:val="00471C73"/>
    <w:rsid w:val="00473AB6"/>
    <w:rsid w:val="00474CDF"/>
    <w:rsid w:val="00474EEE"/>
    <w:rsid w:val="00475B6F"/>
    <w:rsid w:val="00475EA5"/>
    <w:rsid w:val="00476049"/>
    <w:rsid w:val="00476DC3"/>
    <w:rsid w:val="00477023"/>
    <w:rsid w:val="00481088"/>
    <w:rsid w:val="00481126"/>
    <w:rsid w:val="00481554"/>
    <w:rsid w:val="00485AC3"/>
    <w:rsid w:val="004877E5"/>
    <w:rsid w:val="00490058"/>
    <w:rsid w:val="00490858"/>
    <w:rsid w:val="004910FA"/>
    <w:rsid w:val="0049159A"/>
    <w:rsid w:val="004917C8"/>
    <w:rsid w:val="0049180F"/>
    <w:rsid w:val="004918D4"/>
    <w:rsid w:val="004925AA"/>
    <w:rsid w:val="00492688"/>
    <w:rsid w:val="004928B5"/>
    <w:rsid w:val="00493257"/>
    <w:rsid w:val="00493829"/>
    <w:rsid w:val="00493C95"/>
    <w:rsid w:val="004948A0"/>
    <w:rsid w:val="00495295"/>
    <w:rsid w:val="00495CD8"/>
    <w:rsid w:val="004965FA"/>
    <w:rsid w:val="004A0A89"/>
    <w:rsid w:val="004A0AA0"/>
    <w:rsid w:val="004A2B0F"/>
    <w:rsid w:val="004A2F1E"/>
    <w:rsid w:val="004A4106"/>
    <w:rsid w:val="004A4D62"/>
    <w:rsid w:val="004A5CBC"/>
    <w:rsid w:val="004A77AF"/>
    <w:rsid w:val="004B1561"/>
    <w:rsid w:val="004B37FD"/>
    <w:rsid w:val="004B44C0"/>
    <w:rsid w:val="004B50FF"/>
    <w:rsid w:val="004B52CF"/>
    <w:rsid w:val="004B58D5"/>
    <w:rsid w:val="004B68FB"/>
    <w:rsid w:val="004B74FC"/>
    <w:rsid w:val="004B75B3"/>
    <w:rsid w:val="004B7B6E"/>
    <w:rsid w:val="004B7DF7"/>
    <w:rsid w:val="004B7E75"/>
    <w:rsid w:val="004C06B8"/>
    <w:rsid w:val="004C1507"/>
    <w:rsid w:val="004C342F"/>
    <w:rsid w:val="004C41AD"/>
    <w:rsid w:val="004C5AAA"/>
    <w:rsid w:val="004C5B13"/>
    <w:rsid w:val="004C5CDD"/>
    <w:rsid w:val="004C671E"/>
    <w:rsid w:val="004C6C55"/>
    <w:rsid w:val="004C755E"/>
    <w:rsid w:val="004D03BA"/>
    <w:rsid w:val="004D10FC"/>
    <w:rsid w:val="004D20E5"/>
    <w:rsid w:val="004D2766"/>
    <w:rsid w:val="004D4942"/>
    <w:rsid w:val="004D5075"/>
    <w:rsid w:val="004D681F"/>
    <w:rsid w:val="004D77F7"/>
    <w:rsid w:val="004E1212"/>
    <w:rsid w:val="004E18EB"/>
    <w:rsid w:val="004E1A56"/>
    <w:rsid w:val="004E204B"/>
    <w:rsid w:val="004E2725"/>
    <w:rsid w:val="004E44D7"/>
    <w:rsid w:val="004E4666"/>
    <w:rsid w:val="004E4D44"/>
    <w:rsid w:val="004E4F2A"/>
    <w:rsid w:val="004E4FF9"/>
    <w:rsid w:val="004E59E1"/>
    <w:rsid w:val="004E68D9"/>
    <w:rsid w:val="004E6A68"/>
    <w:rsid w:val="004F092E"/>
    <w:rsid w:val="004F0E2C"/>
    <w:rsid w:val="004F1BBB"/>
    <w:rsid w:val="004F328A"/>
    <w:rsid w:val="004F4B1D"/>
    <w:rsid w:val="004F4FDA"/>
    <w:rsid w:val="004F560A"/>
    <w:rsid w:val="004F6E2D"/>
    <w:rsid w:val="00500AEE"/>
    <w:rsid w:val="00501CB2"/>
    <w:rsid w:val="005021A7"/>
    <w:rsid w:val="005023F9"/>
    <w:rsid w:val="005029BF"/>
    <w:rsid w:val="00503572"/>
    <w:rsid w:val="00503C46"/>
    <w:rsid w:val="00506ADA"/>
    <w:rsid w:val="00506DC6"/>
    <w:rsid w:val="0051010F"/>
    <w:rsid w:val="0051191E"/>
    <w:rsid w:val="00512441"/>
    <w:rsid w:val="00512785"/>
    <w:rsid w:val="00512839"/>
    <w:rsid w:val="00513E19"/>
    <w:rsid w:val="0051508B"/>
    <w:rsid w:val="00515FF5"/>
    <w:rsid w:val="005179F5"/>
    <w:rsid w:val="00517AB4"/>
    <w:rsid w:val="00520349"/>
    <w:rsid w:val="005209F9"/>
    <w:rsid w:val="00522769"/>
    <w:rsid w:val="005228CE"/>
    <w:rsid w:val="00523195"/>
    <w:rsid w:val="0052378B"/>
    <w:rsid w:val="00523C6B"/>
    <w:rsid w:val="0052445F"/>
    <w:rsid w:val="00526A07"/>
    <w:rsid w:val="00527C0B"/>
    <w:rsid w:val="00530099"/>
    <w:rsid w:val="005308BB"/>
    <w:rsid w:val="00531BA9"/>
    <w:rsid w:val="00532DCC"/>
    <w:rsid w:val="0053331A"/>
    <w:rsid w:val="00533DA0"/>
    <w:rsid w:val="00534667"/>
    <w:rsid w:val="005363D6"/>
    <w:rsid w:val="005364CA"/>
    <w:rsid w:val="0053744E"/>
    <w:rsid w:val="00537FE9"/>
    <w:rsid w:val="00540E3D"/>
    <w:rsid w:val="00540F6D"/>
    <w:rsid w:val="005430DE"/>
    <w:rsid w:val="0054408A"/>
    <w:rsid w:val="00544A10"/>
    <w:rsid w:val="00544EE7"/>
    <w:rsid w:val="005456C0"/>
    <w:rsid w:val="00546F34"/>
    <w:rsid w:val="005473DC"/>
    <w:rsid w:val="00547CB1"/>
    <w:rsid w:val="00550718"/>
    <w:rsid w:val="00550730"/>
    <w:rsid w:val="005508F9"/>
    <w:rsid w:val="00550AAC"/>
    <w:rsid w:val="0055100E"/>
    <w:rsid w:val="005511B9"/>
    <w:rsid w:val="005512F9"/>
    <w:rsid w:val="00551F25"/>
    <w:rsid w:val="0055272B"/>
    <w:rsid w:val="00553199"/>
    <w:rsid w:val="005537D2"/>
    <w:rsid w:val="00553A93"/>
    <w:rsid w:val="00554852"/>
    <w:rsid w:val="00554FE9"/>
    <w:rsid w:val="005553B4"/>
    <w:rsid w:val="005553E9"/>
    <w:rsid w:val="005560D4"/>
    <w:rsid w:val="0055674D"/>
    <w:rsid w:val="00556A8C"/>
    <w:rsid w:val="00557075"/>
    <w:rsid w:val="00557F61"/>
    <w:rsid w:val="005609FB"/>
    <w:rsid w:val="00561B4E"/>
    <w:rsid w:val="00561BB9"/>
    <w:rsid w:val="00562052"/>
    <w:rsid w:val="00562448"/>
    <w:rsid w:val="00562529"/>
    <w:rsid w:val="005628AE"/>
    <w:rsid w:val="00562BBD"/>
    <w:rsid w:val="00563C6B"/>
    <w:rsid w:val="00564999"/>
    <w:rsid w:val="00566E49"/>
    <w:rsid w:val="00566F45"/>
    <w:rsid w:val="005675F7"/>
    <w:rsid w:val="005676F5"/>
    <w:rsid w:val="005678B7"/>
    <w:rsid w:val="00567B61"/>
    <w:rsid w:val="00570AC0"/>
    <w:rsid w:val="00571F07"/>
    <w:rsid w:val="00573059"/>
    <w:rsid w:val="00574D67"/>
    <w:rsid w:val="00575F0D"/>
    <w:rsid w:val="005762E0"/>
    <w:rsid w:val="00576EC5"/>
    <w:rsid w:val="0058047E"/>
    <w:rsid w:val="00580563"/>
    <w:rsid w:val="005805C0"/>
    <w:rsid w:val="00580980"/>
    <w:rsid w:val="00580E45"/>
    <w:rsid w:val="0058176C"/>
    <w:rsid w:val="00581BF7"/>
    <w:rsid w:val="00582027"/>
    <w:rsid w:val="005822ED"/>
    <w:rsid w:val="00582803"/>
    <w:rsid w:val="0058376D"/>
    <w:rsid w:val="00583ADF"/>
    <w:rsid w:val="00583B02"/>
    <w:rsid w:val="00584C53"/>
    <w:rsid w:val="00586AF5"/>
    <w:rsid w:val="00586C1B"/>
    <w:rsid w:val="00586E40"/>
    <w:rsid w:val="0059339E"/>
    <w:rsid w:val="00593652"/>
    <w:rsid w:val="005936C9"/>
    <w:rsid w:val="00594142"/>
    <w:rsid w:val="00594C6C"/>
    <w:rsid w:val="00594DA2"/>
    <w:rsid w:val="00595268"/>
    <w:rsid w:val="00595330"/>
    <w:rsid w:val="00595392"/>
    <w:rsid w:val="00595DF3"/>
    <w:rsid w:val="00596E5C"/>
    <w:rsid w:val="005A0285"/>
    <w:rsid w:val="005A0A20"/>
    <w:rsid w:val="005A15AF"/>
    <w:rsid w:val="005A15B1"/>
    <w:rsid w:val="005A1704"/>
    <w:rsid w:val="005A1BA3"/>
    <w:rsid w:val="005A1FFE"/>
    <w:rsid w:val="005A282D"/>
    <w:rsid w:val="005A3028"/>
    <w:rsid w:val="005A3CBE"/>
    <w:rsid w:val="005A3F7D"/>
    <w:rsid w:val="005A40A3"/>
    <w:rsid w:val="005A4316"/>
    <w:rsid w:val="005A4D17"/>
    <w:rsid w:val="005A5AC8"/>
    <w:rsid w:val="005A765A"/>
    <w:rsid w:val="005A7FA8"/>
    <w:rsid w:val="005B05E6"/>
    <w:rsid w:val="005B0C69"/>
    <w:rsid w:val="005B1031"/>
    <w:rsid w:val="005B1872"/>
    <w:rsid w:val="005B2091"/>
    <w:rsid w:val="005B22A2"/>
    <w:rsid w:val="005B240B"/>
    <w:rsid w:val="005B325C"/>
    <w:rsid w:val="005B3403"/>
    <w:rsid w:val="005B500E"/>
    <w:rsid w:val="005B5428"/>
    <w:rsid w:val="005B5BF1"/>
    <w:rsid w:val="005B5C45"/>
    <w:rsid w:val="005B7799"/>
    <w:rsid w:val="005C0936"/>
    <w:rsid w:val="005C0C45"/>
    <w:rsid w:val="005C1A9B"/>
    <w:rsid w:val="005C1AF4"/>
    <w:rsid w:val="005C375D"/>
    <w:rsid w:val="005C4914"/>
    <w:rsid w:val="005C5303"/>
    <w:rsid w:val="005C5499"/>
    <w:rsid w:val="005C6219"/>
    <w:rsid w:val="005C6540"/>
    <w:rsid w:val="005C7FB6"/>
    <w:rsid w:val="005D07CE"/>
    <w:rsid w:val="005D10C7"/>
    <w:rsid w:val="005D397F"/>
    <w:rsid w:val="005D5970"/>
    <w:rsid w:val="005D7224"/>
    <w:rsid w:val="005D738E"/>
    <w:rsid w:val="005D7E5E"/>
    <w:rsid w:val="005E0816"/>
    <w:rsid w:val="005E0AEF"/>
    <w:rsid w:val="005E0F99"/>
    <w:rsid w:val="005E1961"/>
    <w:rsid w:val="005E2A41"/>
    <w:rsid w:val="005E3653"/>
    <w:rsid w:val="005E3B1B"/>
    <w:rsid w:val="005E4ECB"/>
    <w:rsid w:val="005E4FE5"/>
    <w:rsid w:val="005E66C3"/>
    <w:rsid w:val="005F0012"/>
    <w:rsid w:val="005F0A31"/>
    <w:rsid w:val="005F15E4"/>
    <w:rsid w:val="005F373B"/>
    <w:rsid w:val="005F3B5C"/>
    <w:rsid w:val="005F3D2C"/>
    <w:rsid w:val="005F443A"/>
    <w:rsid w:val="005F4FFF"/>
    <w:rsid w:val="005F527E"/>
    <w:rsid w:val="005F53D0"/>
    <w:rsid w:val="005F5CDF"/>
    <w:rsid w:val="005F5DCF"/>
    <w:rsid w:val="005F5E77"/>
    <w:rsid w:val="005F6797"/>
    <w:rsid w:val="006004A3"/>
    <w:rsid w:val="00601046"/>
    <w:rsid w:val="006014E5"/>
    <w:rsid w:val="006015D9"/>
    <w:rsid w:val="00601A5D"/>
    <w:rsid w:val="00602902"/>
    <w:rsid w:val="0060354C"/>
    <w:rsid w:val="00605018"/>
    <w:rsid w:val="006056C6"/>
    <w:rsid w:val="00605A24"/>
    <w:rsid w:val="00605DA3"/>
    <w:rsid w:val="0060602C"/>
    <w:rsid w:val="00606689"/>
    <w:rsid w:val="00606E35"/>
    <w:rsid w:val="006100DD"/>
    <w:rsid w:val="0061099B"/>
    <w:rsid w:val="00610CFC"/>
    <w:rsid w:val="006116C3"/>
    <w:rsid w:val="00612E2F"/>
    <w:rsid w:val="00612E44"/>
    <w:rsid w:val="00613959"/>
    <w:rsid w:val="00614BDD"/>
    <w:rsid w:val="00614D29"/>
    <w:rsid w:val="00615563"/>
    <w:rsid w:val="00615BAE"/>
    <w:rsid w:val="00615DB4"/>
    <w:rsid w:val="00615F62"/>
    <w:rsid w:val="00620BE6"/>
    <w:rsid w:val="00620D83"/>
    <w:rsid w:val="006212DC"/>
    <w:rsid w:val="00621E66"/>
    <w:rsid w:val="0062348C"/>
    <w:rsid w:val="00623736"/>
    <w:rsid w:val="00623D21"/>
    <w:rsid w:val="006250FD"/>
    <w:rsid w:val="0062626C"/>
    <w:rsid w:val="00627C67"/>
    <w:rsid w:val="00630831"/>
    <w:rsid w:val="00634228"/>
    <w:rsid w:val="006346B2"/>
    <w:rsid w:val="00634B83"/>
    <w:rsid w:val="006371D1"/>
    <w:rsid w:val="006372C3"/>
    <w:rsid w:val="006374DA"/>
    <w:rsid w:val="00637931"/>
    <w:rsid w:val="0064028C"/>
    <w:rsid w:val="00640D34"/>
    <w:rsid w:val="0064110C"/>
    <w:rsid w:val="006411A7"/>
    <w:rsid w:val="00641DEA"/>
    <w:rsid w:val="00642EB0"/>
    <w:rsid w:val="00642FAF"/>
    <w:rsid w:val="00643350"/>
    <w:rsid w:val="0064380B"/>
    <w:rsid w:val="006446D3"/>
    <w:rsid w:val="006450C2"/>
    <w:rsid w:val="00645482"/>
    <w:rsid w:val="006464B0"/>
    <w:rsid w:val="00646589"/>
    <w:rsid w:val="006479A5"/>
    <w:rsid w:val="00647DF8"/>
    <w:rsid w:val="00650B2A"/>
    <w:rsid w:val="006514AD"/>
    <w:rsid w:val="00651A1A"/>
    <w:rsid w:val="006529AC"/>
    <w:rsid w:val="00652D24"/>
    <w:rsid w:val="006531B4"/>
    <w:rsid w:val="00653341"/>
    <w:rsid w:val="00653A3F"/>
    <w:rsid w:val="00653B6D"/>
    <w:rsid w:val="00654C57"/>
    <w:rsid w:val="0065637B"/>
    <w:rsid w:val="00657483"/>
    <w:rsid w:val="00657566"/>
    <w:rsid w:val="006609BA"/>
    <w:rsid w:val="00660B5A"/>
    <w:rsid w:val="00660BB8"/>
    <w:rsid w:val="0066206E"/>
    <w:rsid w:val="006639C3"/>
    <w:rsid w:val="00665D17"/>
    <w:rsid w:val="0066762D"/>
    <w:rsid w:val="006677F4"/>
    <w:rsid w:val="0067060D"/>
    <w:rsid w:val="00671E15"/>
    <w:rsid w:val="0067306A"/>
    <w:rsid w:val="00673377"/>
    <w:rsid w:val="006746EC"/>
    <w:rsid w:val="006747B6"/>
    <w:rsid w:val="006752EC"/>
    <w:rsid w:val="00675669"/>
    <w:rsid w:val="00675CCB"/>
    <w:rsid w:val="006764C5"/>
    <w:rsid w:val="00676C0A"/>
    <w:rsid w:val="006770F9"/>
    <w:rsid w:val="006772CA"/>
    <w:rsid w:val="00677A80"/>
    <w:rsid w:val="00677E70"/>
    <w:rsid w:val="00682024"/>
    <w:rsid w:val="00682378"/>
    <w:rsid w:val="006826F4"/>
    <w:rsid w:val="0068361F"/>
    <w:rsid w:val="0068366D"/>
    <w:rsid w:val="006849C4"/>
    <w:rsid w:val="00684B64"/>
    <w:rsid w:val="00684D9D"/>
    <w:rsid w:val="00687751"/>
    <w:rsid w:val="006902D1"/>
    <w:rsid w:val="00690A86"/>
    <w:rsid w:val="00690B95"/>
    <w:rsid w:val="00691339"/>
    <w:rsid w:val="00692DA4"/>
    <w:rsid w:val="00694264"/>
    <w:rsid w:val="00694899"/>
    <w:rsid w:val="00695284"/>
    <w:rsid w:val="0069528D"/>
    <w:rsid w:val="00695903"/>
    <w:rsid w:val="00697250"/>
    <w:rsid w:val="00697927"/>
    <w:rsid w:val="006A0BB3"/>
    <w:rsid w:val="006A2022"/>
    <w:rsid w:val="006A2452"/>
    <w:rsid w:val="006A285B"/>
    <w:rsid w:val="006A2996"/>
    <w:rsid w:val="006A3B50"/>
    <w:rsid w:val="006A3E37"/>
    <w:rsid w:val="006A4BB9"/>
    <w:rsid w:val="006A5020"/>
    <w:rsid w:val="006A566F"/>
    <w:rsid w:val="006A5E7D"/>
    <w:rsid w:val="006A5F6D"/>
    <w:rsid w:val="006B0DF3"/>
    <w:rsid w:val="006B2C0E"/>
    <w:rsid w:val="006B2C93"/>
    <w:rsid w:val="006B31E6"/>
    <w:rsid w:val="006B35F9"/>
    <w:rsid w:val="006B3750"/>
    <w:rsid w:val="006B3DAF"/>
    <w:rsid w:val="006B43CF"/>
    <w:rsid w:val="006B57F9"/>
    <w:rsid w:val="006B6A93"/>
    <w:rsid w:val="006B6B1A"/>
    <w:rsid w:val="006B717C"/>
    <w:rsid w:val="006B79C9"/>
    <w:rsid w:val="006C03D7"/>
    <w:rsid w:val="006C055D"/>
    <w:rsid w:val="006C0F90"/>
    <w:rsid w:val="006C2A89"/>
    <w:rsid w:val="006C2C41"/>
    <w:rsid w:val="006C37B5"/>
    <w:rsid w:val="006C3DFF"/>
    <w:rsid w:val="006C50BF"/>
    <w:rsid w:val="006C59F0"/>
    <w:rsid w:val="006C78AC"/>
    <w:rsid w:val="006D0305"/>
    <w:rsid w:val="006D1732"/>
    <w:rsid w:val="006D2165"/>
    <w:rsid w:val="006D3E43"/>
    <w:rsid w:val="006D430E"/>
    <w:rsid w:val="006D4CE3"/>
    <w:rsid w:val="006D681F"/>
    <w:rsid w:val="006D6E35"/>
    <w:rsid w:val="006D7B46"/>
    <w:rsid w:val="006E0546"/>
    <w:rsid w:val="006E0F44"/>
    <w:rsid w:val="006E5698"/>
    <w:rsid w:val="006E6B1B"/>
    <w:rsid w:val="006E6B6C"/>
    <w:rsid w:val="006E776E"/>
    <w:rsid w:val="006F00FA"/>
    <w:rsid w:val="006F0227"/>
    <w:rsid w:val="006F06C7"/>
    <w:rsid w:val="006F11EB"/>
    <w:rsid w:val="006F2F06"/>
    <w:rsid w:val="006F32FA"/>
    <w:rsid w:val="006F5696"/>
    <w:rsid w:val="006F587F"/>
    <w:rsid w:val="006F6807"/>
    <w:rsid w:val="006F730C"/>
    <w:rsid w:val="007040D9"/>
    <w:rsid w:val="00705B35"/>
    <w:rsid w:val="00706036"/>
    <w:rsid w:val="00706CB2"/>
    <w:rsid w:val="00707D06"/>
    <w:rsid w:val="007105B1"/>
    <w:rsid w:val="00711718"/>
    <w:rsid w:val="00713267"/>
    <w:rsid w:val="00713E40"/>
    <w:rsid w:val="00714637"/>
    <w:rsid w:val="007147ED"/>
    <w:rsid w:val="00715C48"/>
    <w:rsid w:val="00715FE7"/>
    <w:rsid w:val="00717204"/>
    <w:rsid w:val="00720132"/>
    <w:rsid w:val="00720C83"/>
    <w:rsid w:val="007218DE"/>
    <w:rsid w:val="007225EE"/>
    <w:rsid w:val="00722972"/>
    <w:rsid w:val="007251BD"/>
    <w:rsid w:val="0072521F"/>
    <w:rsid w:val="00726493"/>
    <w:rsid w:val="00726C7B"/>
    <w:rsid w:val="007272D4"/>
    <w:rsid w:val="007273B9"/>
    <w:rsid w:val="00730127"/>
    <w:rsid w:val="00730CAE"/>
    <w:rsid w:val="0073287C"/>
    <w:rsid w:val="0073327C"/>
    <w:rsid w:val="0073377B"/>
    <w:rsid w:val="0073382E"/>
    <w:rsid w:val="00734548"/>
    <w:rsid w:val="00736735"/>
    <w:rsid w:val="007402CA"/>
    <w:rsid w:val="00740743"/>
    <w:rsid w:val="00740F0D"/>
    <w:rsid w:val="00740FD6"/>
    <w:rsid w:val="00741CA3"/>
    <w:rsid w:val="0074212F"/>
    <w:rsid w:val="007442FA"/>
    <w:rsid w:val="007448A6"/>
    <w:rsid w:val="00747B17"/>
    <w:rsid w:val="00747D9D"/>
    <w:rsid w:val="007500D2"/>
    <w:rsid w:val="007502EA"/>
    <w:rsid w:val="007509C8"/>
    <w:rsid w:val="00750E6E"/>
    <w:rsid w:val="0075135A"/>
    <w:rsid w:val="007518D6"/>
    <w:rsid w:val="007522E5"/>
    <w:rsid w:val="0075259F"/>
    <w:rsid w:val="00753513"/>
    <w:rsid w:val="007547DA"/>
    <w:rsid w:val="00754CFA"/>
    <w:rsid w:val="007550EC"/>
    <w:rsid w:val="00756ED6"/>
    <w:rsid w:val="00757F21"/>
    <w:rsid w:val="0076135C"/>
    <w:rsid w:val="007617CE"/>
    <w:rsid w:val="00762299"/>
    <w:rsid w:val="0076574F"/>
    <w:rsid w:val="00765EB9"/>
    <w:rsid w:val="00766030"/>
    <w:rsid w:val="00766DB9"/>
    <w:rsid w:val="00770073"/>
    <w:rsid w:val="0077018F"/>
    <w:rsid w:val="00771E4F"/>
    <w:rsid w:val="0077298A"/>
    <w:rsid w:val="007737AA"/>
    <w:rsid w:val="00775564"/>
    <w:rsid w:val="00776955"/>
    <w:rsid w:val="0077710E"/>
    <w:rsid w:val="00777607"/>
    <w:rsid w:val="0077767C"/>
    <w:rsid w:val="00777A64"/>
    <w:rsid w:val="007806EA"/>
    <w:rsid w:val="00780D32"/>
    <w:rsid w:val="00781A7D"/>
    <w:rsid w:val="00781E09"/>
    <w:rsid w:val="00782843"/>
    <w:rsid w:val="00787D73"/>
    <w:rsid w:val="007912B4"/>
    <w:rsid w:val="0079221D"/>
    <w:rsid w:val="00795793"/>
    <w:rsid w:val="00795D12"/>
    <w:rsid w:val="007978DE"/>
    <w:rsid w:val="007A1490"/>
    <w:rsid w:val="007A291E"/>
    <w:rsid w:val="007A54BA"/>
    <w:rsid w:val="007A583C"/>
    <w:rsid w:val="007A5939"/>
    <w:rsid w:val="007A5C7F"/>
    <w:rsid w:val="007A6167"/>
    <w:rsid w:val="007A66D8"/>
    <w:rsid w:val="007A6867"/>
    <w:rsid w:val="007A7B9F"/>
    <w:rsid w:val="007B006B"/>
    <w:rsid w:val="007B01E7"/>
    <w:rsid w:val="007B053B"/>
    <w:rsid w:val="007B0791"/>
    <w:rsid w:val="007B0A17"/>
    <w:rsid w:val="007B2F25"/>
    <w:rsid w:val="007B3B8D"/>
    <w:rsid w:val="007B43DF"/>
    <w:rsid w:val="007B4C1C"/>
    <w:rsid w:val="007B4F50"/>
    <w:rsid w:val="007B50BE"/>
    <w:rsid w:val="007B58B1"/>
    <w:rsid w:val="007B5CBD"/>
    <w:rsid w:val="007B6607"/>
    <w:rsid w:val="007B72B2"/>
    <w:rsid w:val="007B7F5A"/>
    <w:rsid w:val="007C02AF"/>
    <w:rsid w:val="007C1332"/>
    <w:rsid w:val="007C18BF"/>
    <w:rsid w:val="007C2581"/>
    <w:rsid w:val="007C27EF"/>
    <w:rsid w:val="007C2931"/>
    <w:rsid w:val="007C2E4F"/>
    <w:rsid w:val="007C32C5"/>
    <w:rsid w:val="007C372B"/>
    <w:rsid w:val="007C52EA"/>
    <w:rsid w:val="007C5387"/>
    <w:rsid w:val="007C67D6"/>
    <w:rsid w:val="007C6D7E"/>
    <w:rsid w:val="007C7A52"/>
    <w:rsid w:val="007C7C20"/>
    <w:rsid w:val="007D0F24"/>
    <w:rsid w:val="007D1402"/>
    <w:rsid w:val="007D2ED4"/>
    <w:rsid w:val="007D32EC"/>
    <w:rsid w:val="007D475A"/>
    <w:rsid w:val="007D4F15"/>
    <w:rsid w:val="007D5106"/>
    <w:rsid w:val="007D5625"/>
    <w:rsid w:val="007D6375"/>
    <w:rsid w:val="007D685F"/>
    <w:rsid w:val="007D7450"/>
    <w:rsid w:val="007D7570"/>
    <w:rsid w:val="007D7650"/>
    <w:rsid w:val="007E14FB"/>
    <w:rsid w:val="007E1A4F"/>
    <w:rsid w:val="007E1E9F"/>
    <w:rsid w:val="007E2FA7"/>
    <w:rsid w:val="007E3500"/>
    <w:rsid w:val="007E3579"/>
    <w:rsid w:val="007E363D"/>
    <w:rsid w:val="007E41CF"/>
    <w:rsid w:val="007E42E3"/>
    <w:rsid w:val="007E5DD0"/>
    <w:rsid w:val="007E60FA"/>
    <w:rsid w:val="007E6F39"/>
    <w:rsid w:val="007E79B7"/>
    <w:rsid w:val="007F0EA2"/>
    <w:rsid w:val="007F2167"/>
    <w:rsid w:val="007F25C3"/>
    <w:rsid w:val="007F459D"/>
    <w:rsid w:val="007F7AF3"/>
    <w:rsid w:val="007F7DAE"/>
    <w:rsid w:val="00800A00"/>
    <w:rsid w:val="0080386F"/>
    <w:rsid w:val="0080448E"/>
    <w:rsid w:val="008056A1"/>
    <w:rsid w:val="00806B1F"/>
    <w:rsid w:val="00811DCD"/>
    <w:rsid w:val="00811E9F"/>
    <w:rsid w:val="00812A19"/>
    <w:rsid w:val="00813310"/>
    <w:rsid w:val="00813410"/>
    <w:rsid w:val="008136E3"/>
    <w:rsid w:val="00814BBD"/>
    <w:rsid w:val="00815E00"/>
    <w:rsid w:val="00816081"/>
    <w:rsid w:val="0081622D"/>
    <w:rsid w:val="00816DF3"/>
    <w:rsid w:val="00816E4C"/>
    <w:rsid w:val="00817E79"/>
    <w:rsid w:val="00817F15"/>
    <w:rsid w:val="008204D8"/>
    <w:rsid w:val="00820DE7"/>
    <w:rsid w:val="008217CF"/>
    <w:rsid w:val="0082197C"/>
    <w:rsid w:val="00821A1D"/>
    <w:rsid w:val="00824E56"/>
    <w:rsid w:val="00826550"/>
    <w:rsid w:val="0082750D"/>
    <w:rsid w:val="00827CC3"/>
    <w:rsid w:val="008304EC"/>
    <w:rsid w:val="00830BBE"/>
    <w:rsid w:val="00831200"/>
    <w:rsid w:val="008316D5"/>
    <w:rsid w:val="00831989"/>
    <w:rsid w:val="00831AFC"/>
    <w:rsid w:val="0083315B"/>
    <w:rsid w:val="00833CDB"/>
    <w:rsid w:val="00835294"/>
    <w:rsid w:val="00836C04"/>
    <w:rsid w:val="0083773A"/>
    <w:rsid w:val="00837D47"/>
    <w:rsid w:val="00837E30"/>
    <w:rsid w:val="00841A33"/>
    <w:rsid w:val="00842902"/>
    <w:rsid w:val="00847245"/>
    <w:rsid w:val="00847777"/>
    <w:rsid w:val="008477BF"/>
    <w:rsid w:val="0085178D"/>
    <w:rsid w:val="00852362"/>
    <w:rsid w:val="008528B5"/>
    <w:rsid w:val="00852F62"/>
    <w:rsid w:val="00854774"/>
    <w:rsid w:val="008558A9"/>
    <w:rsid w:val="00855DD0"/>
    <w:rsid w:val="00856CD9"/>
    <w:rsid w:val="00857A1C"/>
    <w:rsid w:val="0086086A"/>
    <w:rsid w:val="00860BB0"/>
    <w:rsid w:val="00861EC4"/>
    <w:rsid w:val="0086293C"/>
    <w:rsid w:val="00862F07"/>
    <w:rsid w:val="0086339A"/>
    <w:rsid w:val="008641C4"/>
    <w:rsid w:val="00864D1B"/>
    <w:rsid w:val="00864DA5"/>
    <w:rsid w:val="008668BB"/>
    <w:rsid w:val="00867558"/>
    <w:rsid w:val="008705B0"/>
    <w:rsid w:val="008714AA"/>
    <w:rsid w:val="00871B96"/>
    <w:rsid w:val="008745B5"/>
    <w:rsid w:val="00875D41"/>
    <w:rsid w:val="00876AA6"/>
    <w:rsid w:val="00876FF4"/>
    <w:rsid w:val="0087713E"/>
    <w:rsid w:val="00882232"/>
    <w:rsid w:val="0088276F"/>
    <w:rsid w:val="008835A9"/>
    <w:rsid w:val="008846F1"/>
    <w:rsid w:val="0088537A"/>
    <w:rsid w:val="0088584C"/>
    <w:rsid w:val="00886AD0"/>
    <w:rsid w:val="008904AD"/>
    <w:rsid w:val="00892E7D"/>
    <w:rsid w:val="00892FAD"/>
    <w:rsid w:val="008933EF"/>
    <w:rsid w:val="00893AB5"/>
    <w:rsid w:val="00895BEF"/>
    <w:rsid w:val="00895DB7"/>
    <w:rsid w:val="00896A80"/>
    <w:rsid w:val="00897679"/>
    <w:rsid w:val="008A3113"/>
    <w:rsid w:val="008A3A6D"/>
    <w:rsid w:val="008A4C21"/>
    <w:rsid w:val="008A54E3"/>
    <w:rsid w:val="008B0622"/>
    <w:rsid w:val="008B0809"/>
    <w:rsid w:val="008B1B74"/>
    <w:rsid w:val="008B20BD"/>
    <w:rsid w:val="008B3E9B"/>
    <w:rsid w:val="008B4C82"/>
    <w:rsid w:val="008B60BD"/>
    <w:rsid w:val="008B6B2A"/>
    <w:rsid w:val="008B7013"/>
    <w:rsid w:val="008B7895"/>
    <w:rsid w:val="008C28B7"/>
    <w:rsid w:val="008C2C3F"/>
    <w:rsid w:val="008C3145"/>
    <w:rsid w:val="008C4646"/>
    <w:rsid w:val="008C4815"/>
    <w:rsid w:val="008C4CC6"/>
    <w:rsid w:val="008C4F81"/>
    <w:rsid w:val="008C522C"/>
    <w:rsid w:val="008C52EE"/>
    <w:rsid w:val="008C571E"/>
    <w:rsid w:val="008C70C7"/>
    <w:rsid w:val="008C772E"/>
    <w:rsid w:val="008C7C0B"/>
    <w:rsid w:val="008C7CE1"/>
    <w:rsid w:val="008D1225"/>
    <w:rsid w:val="008D1D0E"/>
    <w:rsid w:val="008D1F15"/>
    <w:rsid w:val="008D1F2B"/>
    <w:rsid w:val="008D3B96"/>
    <w:rsid w:val="008D5210"/>
    <w:rsid w:val="008D6416"/>
    <w:rsid w:val="008D652C"/>
    <w:rsid w:val="008D7F6B"/>
    <w:rsid w:val="008E05E9"/>
    <w:rsid w:val="008E0D37"/>
    <w:rsid w:val="008E2D53"/>
    <w:rsid w:val="008E4467"/>
    <w:rsid w:val="008E4CD7"/>
    <w:rsid w:val="008E641D"/>
    <w:rsid w:val="008E64DA"/>
    <w:rsid w:val="008E660D"/>
    <w:rsid w:val="008E66E5"/>
    <w:rsid w:val="008E7DD4"/>
    <w:rsid w:val="008F056F"/>
    <w:rsid w:val="008F21C1"/>
    <w:rsid w:val="008F305A"/>
    <w:rsid w:val="008F3154"/>
    <w:rsid w:val="008F3465"/>
    <w:rsid w:val="008F3512"/>
    <w:rsid w:val="008F371C"/>
    <w:rsid w:val="008F3D5F"/>
    <w:rsid w:val="008F438E"/>
    <w:rsid w:val="008F66BA"/>
    <w:rsid w:val="008F7D54"/>
    <w:rsid w:val="008F7DD2"/>
    <w:rsid w:val="009004F9"/>
    <w:rsid w:val="0090344A"/>
    <w:rsid w:val="0090383C"/>
    <w:rsid w:val="0090561B"/>
    <w:rsid w:val="009070E0"/>
    <w:rsid w:val="00910139"/>
    <w:rsid w:val="009112B1"/>
    <w:rsid w:val="00913261"/>
    <w:rsid w:val="00913B82"/>
    <w:rsid w:val="00914276"/>
    <w:rsid w:val="009158AA"/>
    <w:rsid w:val="00916549"/>
    <w:rsid w:val="00916DEB"/>
    <w:rsid w:val="00917022"/>
    <w:rsid w:val="00917485"/>
    <w:rsid w:val="00920C84"/>
    <w:rsid w:val="00920F02"/>
    <w:rsid w:val="00922591"/>
    <w:rsid w:val="00922A73"/>
    <w:rsid w:val="00922D02"/>
    <w:rsid w:val="00922E82"/>
    <w:rsid w:val="00926673"/>
    <w:rsid w:val="00926FCA"/>
    <w:rsid w:val="009271A2"/>
    <w:rsid w:val="0093027F"/>
    <w:rsid w:val="0093151B"/>
    <w:rsid w:val="00931738"/>
    <w:rsid w:val="009319FC"/>
    <w:rsid w:val="00931B31"/>
    <w:rsid w:val="009325AE"/>
    <w:rsid w:val="00932FDF"/>
    <w:rsid w:val="009346E0"/>
    <w:rsid w:val="009349B5"/>
    <w:rsid w:val="0093602A"/>
    <w:rsid w:val="00940224"/>
    <w:rsid w:val="009402E0"/>
    <w:rsid w:val="009425A7"/>
    <w:rsid w:val="0094265B"/>
    <w:rsid w:val="00942CF7"/>
    <w:rsid w:val="00942E4C"/>
    <w:rsid w:val="00944900"/>
    <w:rsid w:val="00944EA3"/>
    <w:rsid w:val="0094583D"/>
    <w:rsid w:val="00945BCE"/>
    <w:rsid w:val="009474C1"/>
    <w:rsid w:val="00950947"/>
    <w:rsid w:val="009509BD"/>
    <w:rsid w:val="00950C0B"/>
    <w:rsid w:val="00951984"/>
    <w:rsid w:val="0095439B"/>
    <w:rsid w:val="00954EC8"/>
    <w:rsid w:val="009553FC"/>
    <w:rsid w:val="009554DD"/>
    <w:rsid w:val="0095681C"/>
    <w:rsid w:val="00957E5D"/>
    <w:rsid w:val="0096009C"/>
    <w:rsid w:val="009624C2"/>
    <w:rsid w:val="0096374D"/>
    <w:rsid w:val="00966DA4"/>
    <w:rsid w:val="00970201"/>
    <w:rsid w:val="00971402"/>
    <w:rsid w:val="00971744"/>
    <w:rsid w:val="00971830"/>
    <w:rsid w:val="00971A5A"/>
    <w:rsid w:val="00972C2E"/>
    <w:rsid w:val="00972EB6"/>
    <w:rsid w:val="0097707B"/>
    <w:rsid w:val="00980A15"/>
    <w:rsid w:val="009846CF"/>
    <w:rsid w:val="00984BF8"/>
    <w:rsid w:val="009850BA"/>
    <w:rsid w:val="00985D75"/>
    <w:rsid w:val="00986146"/>
    <w:rsid w:val="00987534"/>
    <w:rsid w:val="00990E20"/>
    <w:rsid w:val="00990ED9"/>
    <w:rsid w:val="00992514"/>
    <w:rsid w:val="00992888"/>
    <w:rsid w:val="00992AA9"/>
    <w:rsid w:val="009947F1"/>
    <w:rsid w:val="009949CE"/>
    <w:rsid w:val="00994F03"/>
    <w:rsid w:val="009972B4"/>
    <w:rsid w:val="009A01F1"/>
    <w:rsid w:val="009A045C"/>
    <w:rsid w:val="009A081F"/>
    <w:rsid w:val="009A0EB3"/>
    <w:rsid w:val="009A0F19"/>
    <w:rsid w:val="009A1D3C"/>
    <w:rsid w:val="009A1E77"/>
    <w:rsid w:val="009A2123"/>
    <w:rsid w:val="009A43E6"/>
    <w:rsid w:val="009A47F0"/>
    <w:rsid w:val="009A5D78"/>
    <w:rsid w:val="009A6127"/>
    <w:rsid w:val="009A6C1F"/>
    <w:rsid w:val="009A77F3"/>
    <w:rsid w:val="009A7B25"/>
    <w:rsid w:val="009B05A6"/>
    <w:rsid w:val="009B0BA2"/>
    <w:rsid w:val="009B1322"/>
    <w:rsid w:val="009B2029"/>
    <w:rsid w:val="009B27DF"/>
    <w:rsid w:val="009B2ABB"/>
    <w:rsid w:val="009B3429"/>
    <w:rsid w:val="009B387F"/>
    <w:rsid w:val="009B5848"/>
    <w:rsid w:val="009B6103"/>
    <w:rsid w:val="009B6310"/>
    <w:rsid w:val="009B6859"/>
    <w:rsid w:val="009B6E90"/>
    <w:rsid w:val="009B7E61"/>
    <w:rsid w:val="009C0395"/>
    <w:rsid w:val="009C0670"/>
    <w:rsid w:val="009C0DB6"/>
    <w:rsid w:val="009C2D4D"/>
    <w:rsid w:val="009C3F50"/>
    <w:rsid w:val="009C4DDA"/>
    <w:rsid w:val="009C56B9"/>
    <w:rsid w:val="009C60FB"/>
    <w:rsid w:val="009C61D4"/>
    <w:rsid w:val="009C6A99"/>
    <w:rsid w:val="009C6D41"/>
    <w:rsid w:val="009C7432"/>
    <w:rsid w:val="009C750F"/>
    <w:rsid w:val="009C796D"/>
    <w:rsid w:val="009C7CB5"/>
    <w:rsid w:val="009D18C6"/>
    <w:rsid w:val="009D1DA9"/>
    <w:rsid w:val="009D3922"/>
    <w:rsid w:val="009D4471"/>
    <w:rsid w:val="009D4775"/>
    <w:rsid w:val="009D4AE0"/>
    <w:rsid w:val="009D56BB"/>
    <w:rsid w:val="009D6DFE"/>
    <w:rsid w:val="009D771F"/>
    <w:rsid w:val="009E191B"/>
    <w:rsid w:val="009E2771"/>
    <w:rsid w:val="009E322F"/>
    <w:rsid w:val="009E4300"/>
    <w:rsid w:val="009E4DF6"/>
    <w:rsid w:val="009E58C7"/>
    <w:rsid w:val="009E6334"/>
    <w:rsid w:val="009E7251"/>
    <w:rsid w:val="009E7A57"/>
    <w:rsid w:val="009E7EE6"/>
    <w:rsid w:val="009F1542"/>
    <w:rsid w:val="009F1734"/>
    <w:rsid w:val="009F2E83"/>
    <w:rsid w:val="009F3B03"/>
    <w:rsid w:val="009F4E51"/>
    <w:rsid w:val="009F652E"/>
    <w:rsid w:val="009F669E"/>
    <w:rsid w:val="009F6ED1"/>
    <w:rsid w:val="009F7467"/>
    <w:rsid w:val="00A00155"/>
    <w:rsid w:val="00A01043"/>
    <w:rsid w:val="00A0126B"/>
    <w:rsid w:val="00A01720"/>
    <w:rsid w:val="00A02454"/>
    <w:rsid w:val="00A02548"/>
    <w:rsid w:val="00A02D52"/>
    <w:rsid w:val="00A03A7D"/>
    <w:rsid w:val="00A03B4A"/>
    <w:rsid w:val="00A04AA5"/>
    <w:rsid w:val="00A072C1"/>
    <w:rsid w:val="00A07B14"/>
    <w:rsid w:val="00A113B3"/>
    <w:rsid w:val="00A11694"/>
    <w:rsid w:val="00A12A17"/>
    <w:rsid w:val="00A12F12"/>
    <w:rsid w:val="00A134B2"/>
    <w:rsid w:val="00A139E6"/>
    <w:rsid w:val="00A14C28"/>
    <w:rsid w:val="00A16061"/>
    <w:rsid w:val="00A16582"/>
    <w:rsid w:val="00A16772"/>
    <w:rsid w:val="00A16E83"/>
    <w:rsid w:val="00A17085"/>
    <w:rsid w:val="00A2036F"/>
    <w:rsid w:val="00A21509"/>
    <w:rsid w:val="00A22BC9"/>
    <w:rsid w:val="00A24769"/>
    <w:rsid w:val="00A250DA"/>
    <w:rsid w:val="00A25620"/>
    <w:rsid w:val="00A2662F"/>
    <w:rsid w:val="00A26E55"/>
    <w:rsid w:val="00A27D3E"/>
    <w:rsid w:val="00A31EA1"/>
    <w:rsid w:val="00A31ED2"/>
    <w:rsid w:val="00A31F1F"/>
    <w:rsid w:val="00A32146"/>
    <w:rsid w:val="00A331B3"/>
    <w:rsid w:val="00A33C7F"/>
    <w:rsid w:val="00A33FE0"/>
    <w:rsid w:val="00A35768"/>
    <w:rsid w:val="00A36146"/>
    <w:rsid w:val="00A36D05"/>
    <w:rsid w:val="00A377EF"/>
    <w:rsid w:val="00A42017"/>
    <w:rsid w:val="00A4272C"/>
    <w:rsid w:val="00A428EA"/>
    <w:rsid w:val="00A43172"/>
    <w:rsid w:val="00A43A21"/>
    <w:rsid w:val="00A43B00"/>
    <w:rsid w:val="00A446B7"/>
    <w:rsid w:val="00A45306"/>
    <w:rsid w:val="00A45A73"/>
    <w:rsid w:val="00A46106"/>
    <w:rsid w:val="00A47E87"/>
    <w:rsid w:val="00A47ED7"/>
    <w:rsid w:val="00A47F97"/>
    <w:rsid w:val="00A5258C"/>
    <w:rsid w:val="00A526BF"/>
    <w:rsid w:val="00A538EB"/>
    <w:rsid w:val="00A541BE"/>
    <w:rsid w:val="00A57180"/>
    <w:rsid w:val="00A6060F"/>
    <w:rsid w:val="00A60BE4"/>
    <w:rsid w:val="00A6169A"/>
    <w:rsid w:val="00A628ED"/>
    <w:rsid w:val="00A65364"/>
    <w:rsid w:val="00A654C1"/>
    <w:rsid w:val="00A65A24"/>
    <w:rsid w:val="00A66322"/>
    <w:rsid w:val="00A6632D"/>
    <w:rsid w:val="00A67605"/>
    <w:rsid w:val="00A67CA0"/>
    <w:rsid w:val="00A70308"/>
    <w:rsid w:val="00A7097C"/>
    <w:rsid w:val="00A712FA"/>
    <w:rsid w:val="00A71A85"/>
    <w:rsid w:val="00A72138"/>
    <w:rsid w:val="00A7271F"/>
    <w:rsid w:val="00A7430F"/>
    <w:rsid w:val="00A756FC"/>
    <w:rsid w:val="00A763B2"/>
    <w:rsid w:val="00A77112"/>
    <w:rsid w:val="00A77A56"/>
    <w:rsid w:val="00A80438"/>
    <w:rsid w:val="00A818B5"/>
    <w:rsid w:val="00A81BA4"/>
    <w:rsid w:val="00A824FF"/>
    <w:rsid w:val="00A82FDB"/>
    <w:rsid w:val="00A839BC"/>
    <w:rsid w:val="00A841EE"/>
    <w:rsid w:val="00A843ED"/>
    <w:rsid w:val="00A85A0C"/>
    <w:rsid w:val="00A866D6"/>
    <w:rsid w:val="00A867D8"/>
    <w:rsid w:val="00A90878"/>
    <w:rsid w:val="00A92684"/>
    <w:rsid w:val="00A93C69"/>
    <w:rsid w:val="00A93EE1"/>
    <w:rsid w:val="00A94509"/>
    <w:rsid w:val="00A947BE"/>
    <w:rsid w:val="00A948B1"/>
    <w:rsid w:val="00A95790"/>
    <w:rsid w:val="00A969DE"/>
    <w:rsid w:val="00A97396"/>
    <w:rsid w:val="00A97565"/>
    <w:rsid w:val="00AA0D88"/>
    <w:rsid w:val="00AA1E13"/>
    <w:rsid w:val="00AA1FEB"/>
    <w:rsid w:val="00AA24CB"/>
    <w:rsid w:val="00AA4832"/>
    <w:rsid w:val="00AA52B4"/>
    <w:rsid w:val="00AA5A2D"/>
    <w:rsid w:val="00AA7982"/>
    <w:rsid w:val="00AB14E0"/>
    <w:rsid w:val="00AB1985"/>
    <w:rsid w:val="00AB1FF4"/>
    <w:rsid w:val="00AB3527"/>
    <w:rsid w:val="00AB38CA"/>
    <w:rsid w:val="00AB511C"/>
    <w:rsid w:val="00AB60E2"/>
    <w:rsid w:val="00AB6456"/>
    <w:rsid w:val="00AB6AEF"/>
    <w:rsid w:val="00AB7107"/>
    <w:rsid w:val="00AB7139"/>
    <w:rsid w:val="00AB7C34"/>
    <w:rsid w:val="00AC14D1"/>
    <w:rsid w:val="00AC22A0"/>
    <w:rsid w:val="00AC244F"/>
    <w:rsid w:val="00AC392D"/>
    <w:rsid w:val="00AC3C2E"/>
    <w:rsid w:val="00AC488B"/>
    <w:rsid w:val="00AC4CC9"/>
    <w:rsid w:val="00AC5D60"/>
    <w:rsid w:val="00AC6957"/>
    <w:rsid w:val="00AC76F5"/>
    <w:rsid w:val="00AD2869"/>
    <w:rsid w:val="00AD2B96"/>
    <w:rsid w:val="00AD478B"/>
    <w:rsid w:val="00AD5A34"/>
    <w:rsid w:val="00AD5F18"/>
    <w:rsid w:val="00AE0F11"/>
    <w:rsid w:val="00AE1C47"/>
    <w:rsid w:val="00AE1E2E"/>
    <w:rsid w:val="00AE2057"/>
    <w:rsid w:val="00AE2820"/>
    <w:rsid w:val="00AE2BAB"/>
    <w:rsid w:val="00AE33ED"/>
    <w:rsid w:val="00AE5BDE"/>
    <w:rsid w:val="00AF044A"/>
    <w:rsid w:val="00AF0FF7"/>
    <w:rsid w:val="00AF1F2F"/>
    <w:rsid w:val="00AF2E25"/>
    <w:rsid w:val="00AF42FD"/>
    <w:rsid w:val="00AF59E7"/>
    <w:rsid w:val="00AF6265"/>
    <w:rsid w:val="00AF6BB4"/>
    <w:rsid w:val="00AF7523"/>
    <w:rsid w:val="00B018BC"/>
    <w:rsid w:val="00B0260E"/>
    <w:rsid w:val="00B02A35"/>
    <w:rsid w:val="00B04C55"/>
    <w:rsid w:val="00B0682B"/>
    <w:rsid w:val="00B07CDD"/>
    <w:rsid w:val="00B07E11"/>
    <w:rsid w:val="00B10547"/>
    <w:rsid w:val="00B113CC"/>
    <w:rsid w:val="00B11456"/>
    <w:rsid w:val="00B114A3"/>
    <w:rsid w:val="00B1195C"/>
    <w:rsid w:val="00B11981"/>
    <w:rsid w:val="00B11A9E"/>
    <w:rsid w:val="00B12D4D"/>
    <w:rsid w:val="00B13220"/>
    <w:rsid w:val="00B1431D"/>
    <w:rsid w:val="00B1679C"/>
    <w:rsid w:val="00B16EAB"/>
    <w:rsid w:val="00B16F27"/>
    <w:rsid w:val="00B1771C"/>
    <w:rsid w:val="00B17B88"/>
    <w:rsid w:val="00B20597"/>
    <w:rsid w:val="00B20ADD"/>
    <w:rsid w:val="00B20B1F"/>
    <w:rsid w:val="00B21A44"/>
    <w:rsid w:val="00B21A9F"/>
    <w:rsid w:val="00B21BF0"/>
    <w:rsid w:val="00B21BF2"/>
    <w:rsid w:val="00B227CC"/>
    <w:rsid w:val="00B239FA"/>
    <w:rsid w:val="00B23A59"/>
    <w:rsid w:val="00B23BDF"/>
    <w:rsid w:val="00B25705"/>
    <w:rsid w:val="00B25807"/>
    <w:rsid w:val="00B25DA6"/>
    <w:rsid w:val="00B25E64"/>
    <w:rsid w:val="00B26EA4"/>
    <w:rsid w:val="00B35742"/>
    <w:rsid w:val="00B35D64"/>
    <w:rsid w:val="00B3628F"/>
    <w:rsid w:val="00B36379"/>
    <w:rsid w:val="00B363FB"/>
    <w:rsid w:val="00B364E8"/>
    <w:rsid w:val="00B372D9"/>
    <w:rsid w:val="00B37E5E"/>
    <w:rsid w:val="00B407F7"/>
    <w:rsid w:val="00B40CCB"/>
    <w:rsid w:val="00B41CF3"/>
    <w:rsid w:val="00B42A7F"/>
    <w:rsid w:val="00B42B1C"/>
    <w:rsid w:val="00B43812"/>
    <w:rsid w:val="00B43F5D"/>
    <w:rsid w:val="00B44032"/>
    <w:rsid w:val="00B45E12"/>
    <w:rsid w:val="00B468AF"/>
    <w:rsid w:val="00B519C5"/>
    <w:rsid w:val="00B51B78"/>
    <w:rsid w:val="00B528CF"/>
    <w:rsid w:val="00B53C22"/>
    <w:rsid w:val="00B53F3F"/>
    <w:rsid w:val="00B540E7"/>
    <w:rsid w:val="00B541B9"/>
    <w:rsid w:val="00B55791"/>
    <w:rsid w:val="00B55BBD"/>
    <w:rsid w:val="00B56AC9"/>
    <w:rsid w:val="00B600D9"/>
    <w:rsid w:val="00B61465"/>
    <w:rsid w:val="00B6397D"/>
    <w:rsid w:val="00B6405A"/>
    <w:rsid w:val="00B64466"/>
    <w:rsid w:val="00B653BC"/>
    <w:rsid w:val="00B65763"/>
    <w:rsid w:val="00B66AB4"/>
    <w:rsid w:val="00B67AC9"/>
    <w:rsid w:val="00B67CFF"/>
    <w:rsid w:val="00B7072F"/>
    <w:rsid w:val="00B726BD"/>
    <w:rsid w:val="00B72966"/>
    <w:rsid w:val="00B745B1"/>
    <w:rsid w:val="00B77A7D"/>
    <w:rsid w:val="00B77D1D"/>
    <w:rsid w:val="00B80104"/>
    <w:rsid w:val="00B805E4"/>
    <w:rsid w:val="00B80DAE"/>
    <w:rsid w:val="00B811D6"/>
    <w:rsid w:val="00B814E7"/>
    <w:rsid w:val="00B82698"/>
    <w:rsid w:val="00B8272E"/>
    <w:rsid w:val="00B833BF"/>
    <w:rsid w:val="00B84302"/>
    <w:rsid w:val="00B84B85"/>
    <w:rsid w:val="00B84C76"/>
    <w:rsid w:val="00B853DA"/>
    <w:rsid w:val="00B86576"/>
    <w:rsid w:val="00B86DCD"/>
    <w:rsid w:val="00B87BF6"/>
    <w:rsid w:val="00B87DCC"/>
    <w:rsid w:val="00B907DF"/>
    <w:rsid w:val="00B90804"/>
    <w:rsid w:val="00B92080"/>
    <w:rsid w:val="00B932C4"/>
    <w:rsid w:val="00B93856"/>
    <w:rsid w:val="00B94394"/>
    <w:rsid w:val="00B950AD"/>
    <w:rsid w:val="00B9607F"/>
    <w:rsid w:val="00B9731F"/>
    <w:rsid w:val="00BA0346"/>
    <w:rsid w:val="00BA0CCD"/>
    <w:rsid w:val="00BA18FE"/>
    <w:rsid w:val="00BA1DE7"/>
    <w:rsid w:val="00BA2435"/>
    <w:rsid w:val="00BA3742"/>
    <w:rsid w:val="00BA525E"/>
    <w:rsid w:val="00BA55C5"/>
    <w:rsid w:val="00BA6CC7"/>
    <w:rsid w:val="00BA6FDB"/>
    <w:rsid w:val="00BA7021"/>
    <w:rsid w:val="00BA7C2B"/>
    <w:rsid w:val="00BA7DA0"/>
    <w:rsid w:val="00BA7EC6"/>
    <w:rsid w:val="00BB0945"/>
    <w:rsid w:val="00BB43D3"/>
    <w:rsid w:val="00BB4A5F"/>
    <w:rsid w:val="00BB4D31"/>
    <w:rsid w:val="00BB662B"/>
    <w:rsid w:val="00BB7097"/>
    <w:rsid w:val="00BB7392"/>
    <w:rsid w:val="00BB7EF4"/>
    <w:rsid w:val="00BC079B"/>
    <w:rsid w:val="00BC1D50"/>
    <w:rsid w:val="00BC2298"/>
    <w:rsid w:val="00BC4B77"/>
    <w:rsid w:val="00BC4EB6"/>
    <w:rsid w:val="00BC4FB5"/>
    <w:rsid w:val="00BD0271"/>
    <w:rsid w:val="00BD13D6"/>
    <w:rsid w:val="00BD158F"/>
    <w:rsid w:val="00BD17AA"/>
    <w:rsid w:val="00BD1804"/>
    <w:rsid w:val="00BD21F3"/>
    <w:rsid w:val="00BD2401"/>
    <w:rsid w:val="00BD2932"/>
    <w:rsid w:val="00BD294F"/>
    <w:rsid w:val="00BD3A58"/>
    <w:rsid w:val="00BD3C74"/>
    <w:rsid w:val="00BD3EDC"/>
    <w:rsid w:val="00BD5205"/>
    <w:rsid w:val="00BD67C7"/>
    <w:rsid w:val="00BD739D"/>
    <w:rsid w:val="00BE0246"/>
    <w:rsid w:val="00BE10DD"/>
    <w:rsid w:val="00BE1824"/>
    <w:rsid w:val="00BE3B85"/>
    <w:rsid w:val="00BE423B"/>
    <w:rsid w:val="00BE465C"/>
    <w:rsid w:val="00BE4990"/>
    <w:rsid w:val="00BE7015"/>
    <w:rsid w:val="00BE7D0B"/>
    <w:rsid w:val="00BF30BE"/>
    <w:rsid w:val="00BF3810"/>
    <w:rsid w:val="00BF4273"/>
    <w:rsid w:val="00BF447E"/>
    <w:rsid w:val="00BF567D"/>
    <w:rsid w:val="00BF6DB1"/>
    <w:rsid w:val="00C01755"/>
    <w:rsid w:val="00C027BF"/>
    <w:rsid w:val="00C036D9"/>
    <w:rsid w:val="00C05723"/>
    <w:rsid w:val="00C06DC6"/>
    <w:rsid w:val="00C1009A"/>
    <w:rsid w:val="00C10135"/>
    <w:rsid w:val="00C103AF"/>
    <w:rsid w:val="00C10AB7"/>
    <w:rsid w:val="00C1124D"/>
    <w:rsid w:val="00C118B3"/>
    <w:rsid w:val="00C122C6"/>
    <w:rsid w:val="00C133E4"/>
    <w:rsid w:val="00C133E7"/>
    <w:rsid w:val="00C13BE5"/>
    <w:rsid w:val="00C15A80"/>
    <w:rsid w:val="00C16962"/>
    <w:rsid w:val="00C16C27"/>
    <w:rsid w:val="00C1753B"/>
    <w:rsid w:val="00C20017"/>
    <w:rsid w:val="00C20615"/>
    <w:rsid w:val="00C21F0D"/>
    <w:rsid w:val="00C22F62"/>
    <w:rsid w:val="00C23589"/>
    <w:rsid w:val="00C24C68"/>
    <w:rsid w:val="00C24F14"/>
    <w:rsid w:val="00C251B7"/>
    <w:rsid w:val="00C256D7"/>
    <w:rsid w:val="00C26BF6"/>
    <w:rsid w:val="00C27038"/>
    <w:rsid w:val="00C31BA5"/>
    <w:rsid w:val="00C3214A"/>
    <w:rsid w:val="00C32AA5"/>
    <w:rsid w:val="00C33426"/>
    <w:rsid w:val="00C34633"/>
    <w:rsid w:val="00C349E8"/>
    <w:rsid w:val="00C352EC"/>
    <w:rsid w:val="00C35459"/>
    <w:rsid w:val="00C36621"/>
    <w:rsid w:val="00C40F2B"/>
    <w:rsid w:val="00C42257"/>
    <w:rsid w:val="00C4247A"/>
    <w:rsid w:val="00C42505"/>
    <w:rsid w:val="00C4396C"/>
    <w:rsid w:val="00C44691"/>
    <w:rsid w:val="00C46101"/>
    <w:rsid w:val="00C46231"/>
    <w:rsid w:val="00C46887"/>
    <w:rsid w:val="00C47F3D"/>
    <w:rsid w:val="00C5255D"/>
    <w:rsid w:val="00C5270F"/>
    <w:rsid w:val="00C53BC6"/>
    <w:rsid w:val="00C54416"/>
    <w:rsid w:val="00C54DA6"/>
    <w:rsid w:val="00C55787"/>
    <w:rsid w:val="00C57059"/>
    <w:rsid w:val="00C609A5"/>
    <w:rsid w:val="00C61F15"/>
    <w:rsid w:val="00C620F4"/>
    <w:rsid w:val="00C62769"/>
    <w:rsid w:val="00C632A2"/>
    <w:rsid w:val="00C64A64"/>
    <w:rsid w:val="00C64FC7"/>
    <w:rsid w:val="00C654B8"/>
    <w:rsid w:val="00C655A8"/>
    <w:rsid w:val="00C660A0"/>
    <w:rsid w:val="00C66134"/>
    <w:rsid w:val="00C66464"/>
    <w:rsid w:val="00C702D6"/>
    <w:rsid w:val="00C70BDA"/>
    <w:rsid w:val="00C723F9"/>
    <w:rsid w:val="00C72BCD"/>
    <w:rsid w:val="00C73A0A"/>
    <w:rsid w:val="00C763D3"/>
    <w:rsid w:val="00C76904"/>
    <w:rsid w:val="00C7765B"/>
    <w:rsid w:val="00C77983"/>
    <w:rsid w:val="00C779E3"/>
    <w:rsid w:val="00C818B5"/>
    <w:rsid w:val="00C8243D"/>
    <w:rsid w:val="00C83326"/>
    <w:rsid w:val="00C839C7"/>
    <w:rsid w:val="00C83B36"/>
    <w:rsid w:val="00C852D4"/>
    <w:rsid w:val="00C8560B"/>
    <w:rsid w:val="00C87E2D"/>
    <w:rsid w:val="00C908AE"/>
    <w:rsid w:val="00C909C0"/>
    <w:rsid w:val="00C90DAF"/>
    <w:rsid w:val="00C90EA8"/>
    <w:rsid w:val="00C916B4"/>
    <w:rsid w:val="00C91BD8"/>
    <w:rsid w:val="00C92613"/>
    <w:rsid w:val="00C9597C"/>
    <w:rsid w:val="00C9627B"/>
    <w:rsid w:val="00C962F1"/>
    <w:rsid w:val="00C9657E"/>
    <w:rsid w:val="00C9692E"/>
    <w:rsid w:val="00C9773F"/>
    <w:rsid w:val="00CA13DB"/>
    <w:rsid w:val="00CA1F7A"/>
    <w:rsid w:val="00CA2EAA"/>
    <w:rsid w:val="00CA3848"/>
    <w:rsid w:val="00CA3EDB"/>
    <w:rsid w:val="00CA4F9B"/>
    <w:rsid w:val="00CA58E8"/>
    <w:rsid w:val="00CA5F96"/>
    <w:rsid w:val="00CA637F"/>
    <w:rsid w:val="00CA6C44"/>
    <w:rsid w:val="00CA6DD5"/>
    <w:rsid w:val="00CA7170"/>
    <w:rsid w:val="00CA738A"/>
    <w:rsid w:val="00CA7753"/>
    <w:rsid w:val="00CA7E0E"/>
    <w:rsid w:val="00CB06AB"/>
    <w:rsid w:val="00CB0E75"/>
    <w:rsid w:val="00CB1504"/>
    <w:rsid w:val="00CB2742"/>
    <w:rsid w:val="00CB307D"/>
    <w:rsid w:val="00CB36B3"/>
    <w:rsid w:val="00CB387F"/>
    <w:rsid w:val="00CB5F69"/>
    <w:rsid w:val="00CB763B"/>
    <w:rsid w:val="00CC08EE"/>
    <w:rsid w:val="00CC08F1"/>
    <w:rsid w:val="00CC0C2F"/>
    <w:rsid w:val="00CC1B54"/>
    <w:rsid w:val="00CC320A"/>
    <w:rsid w:val="00CC56F4"/>
    <w:rsid w:val="00CC5B2C"/>
    <w:rsid w:val="00CC627C"/>
    <w:rsid w:val="00CC662B"/>
    <w:rsid w:val="00CC745B"/>
    <w:rsid w:val="00CD0317"/>
    <w:rsid w:val="00CD0A5D"/>
    <w:rsid w:val="00CD2680"/>
    <w:rsid w:val="00CD3000"/>
    <w:rsid w:val="00CD3559"/>
    <w:rsid w:val="00CD38BD"/>
    <w:rsid w:val="00CD4212"/>
    <w:rsid w:val="00CD49AE"/>
    <w:rsid w:val="00CD5296"/>
    <w:rsid w:val="00CD7058"/>
    <w:rsid w:val="00CE02B0"/>
    <w:rsid w:val="00CE03CA"/>
    <w:rsid w:val="00CE0764"/>
    <w:rsid w:val="00CE1721"/>
    <w:rsid w:val="00CE2E5E"/>
    <w:rsid w:val="00CE3F98"/>
    <w:rsid w:val="00CE4665"/>
    <w:rsid w:val="00CE4A4A"/>
    <w:rsid w:val="00CE4B31"/>
    <w:rsid w:val="00CE57A6"/>
    <w:rsid w:val="00CE5886"/>
    <w:rsid w:val="00CE67FD"/>
    <w:rsid w:val="00CE701B"/>
    <w:rsid w:val="00CE7331"/>
    <w:rsid w:val="00CE7473"/>
    <w:rsid w:val="00CF0732"/>
    <w:rsid w:val="00CF1126"/>
    <w:rsid w:val="00CF24AD"/>
    <w:rsid w:val="00CF2FEF"/>
    <w:rsid w:val="00CF4273"/>
    <w:rsid w:val="00CF49C3"/>
    <w:rsid w:val="00CF5FBE"/>
    <w:rsid w:val="00CF6275"/>
    <w:rsid w:val="00CF7606"/>
    <w:rsid w:val="00CF77D6"/>
    <w:rsid w:val="00D00889"/>
    <w:rsid w:val="00D01238"/>
    <w:rsid w:val="00D01E89"/>
    <w:rsid w:val="00D0202D"/>
    <w:rsid w:val="00D028C3"/>
    <w:rsid w:val="00D03781"/>
    <w:rsid w:val="00D0450A"/>
    <w:rsid w:val="00D062B9"/>
    <w:rsid w:val="00D065DA"/>
    <w:rsid w:val="00D06E1E"/>
    <w:rsid w:val="00D1018B"/>
    <w:rsid w:val="00D10A04"/>
    <w:rsid w:val="00D128D7"/>
    <w:rsid w:val="00D131E9"/>
    <w:rsid w:val="00D1471A"/>
    <w:rsid w:val="00D152D9"/>
    <w:rsid w:val="00D15BC3"/>
    <w:rsid w:val="00D16328"/>
    <w:rsid w:val="00D16FF9"/>
    <w:rsid w:val="00D17D88"/>
    <w:rsid w:val="00D17DF9"/>
    <w:rsid w:val="00D2167C"/>
    <w:rsid w:val="00D2282C"/>
    <w:rsid w:val="00D22F0B"/>
    <w:rsid w:val="00D23D1F"/>
    <w:rsid w:val="00D24C21"/>
    <w:rsid w:val="00D26BBF"/>
    <w:rsid w:val="00D26E9C"/>
    <w:rsid w:val="00D27BC8"/>
    <w:rsid w:val="00D316FE"/>
    <w:rsid w:val="00D3262D"/>
    <w:rsid w:val="00D32A6A"/>
    <w:rsid w:val="00D33F7C"/>
    <w:rsid w:val="00D34976"/>
    <w:rsid w:val="00D35EDA"/>
    <w:rsid w:val="00D36D16"/>
    <w:rsid w:val="00D379DA"/>
    <w:rsid w:val="00D41955"/>
    <w:rsid w:val="00D41CEF"/>
    <w:rsid w:val="00D42A9B"/>
    <w:rsid w:val="00D436B0"/>
    <w:rsid w:val="00D43EC5"/>
    <w:rsid w:val="00D44378"/>
    <w:rsid w:val="00D44C7A"/>
    <w:rsid w:val="00D44E9F"/>
    <w:rsid w:val="00D46528"/>
    <w:rsid w:val="00D47ADA"/>
    <w:rsid w:val="00D47EDA"/>
    <w:rsid w:val="00D507E7"/>
    <w:rsid w:val="00D516BE"/>
    <w:rsid w:val="00D521CB"/>
    <w:rsid w:val="00D52596"/>
    <w:rsid w:val="00D53811"/>
    <w:rsid w:val="00D53DAE"/>
    <w:rsid w:val="00D543C1"/>
    <w:rsid w:val="00D54667"/>
    <w:rsid w:val="00D5516F"/>
    <w:rsid w:val="00D554B6"/>
    <w:rsid w:val="00D564A7"/>
    <w:rsid w:val="00D566D4"/>
    <w:rsid w:val="00D604C1"/>
    <w:rsid w:val="00D62698"/>
    <w:rsid w:val="00D62831"/>
    <w:rsid w:val="00D62DC1"/>
    <w:rsid w:val="00D641AA"/>
    <w:rsid w:val="00D64AD2"/>
    <w:rsid w:val="00D65F6E"/>
    <w:rsid w:val="00D702D2"/>
    <w:rsid w:val="00D7034F"/>
    <w:rsid w:val="00D70AD3"/>
    <w:rsid w:val="00D70DF4"/>
    <w:rsid w:val="00D72D6A"/>
    <w:rsid w:val="00D733A1"/>
    <w:rsid w:val="00D74300"/>
    <w:rsid w:val="00D75A3C"/>
    <w:rsid w:val="00D76680"/>
    <w:rsid w:val="00D802C2"/>
    <w:rsid w:val="00D803BC"/>
    <w:rsid w:val="00D80A78"/>
    <w:rsid w:val="00D81D55"/>
    <w:rsid w:val="00D81F28"/>
    <w:rsid w:val="00D8253A"/>
    <w:rsid w:val="00D82FC4"/>
    <w:rsid w:val="00D83FF9"/>
    <w:rsid w:val="00D849C0"/>
    <w:rsid w:val="00D84DBD"/>
    <w:rsid w:val="00D85988"/>
    <w:rsid w:val="00D860A8"/>
    <w:rsid w:val="00D86166"/>
    <w:rsid w:val="00D86C8B"/>
    <w:rsid w:val="00D8737F"/>
    <w:rsid w:val="00D87764"/>
    <w:rsid w:val="00D90E79"/>
    <w:rsid w:val="00D92B64"/>
    <w:rsid w:val="00D93E39"/>
    <w:rsid w:val="00D940CE"/>
    <w:rsid w:val="00D95A74"/>
    <w:rsid w:val="00D96803"/>
    <w:rsid w:val="00D96A40"/>
    <w:rsid w:val="00D96B14"/>
    <w:rsid w:val="00D96F38"/>
    <w:rsid w:val="00D97978"/>
    <w:rsid w:val="00D97F13"/>
    <w:rsid w:val="00DA0A08"/>
    <w:rsid w:val="00DA0CAA"/>
    <w:rsid w:val="00DA171F"/>
    <w:rsid w:val="00DA183F"/>
    <w:rsid w:val="00DA22E7"/>
    <w:rsid w:val="00DA2E0B"/>
    <w:rsid w:val="00DA347F"/>
    <w:rsid w:val="00DA445D"/>
    <w:rsid w:val="00DA701D"/>
    <w:rsid w:val="00DB0890"/>
    <w:rsid w:val="00DB0B04"/>
    <w:rsid w:val="00DB2049"/>
    <w:rsid w:val="00DB2710"/>
    <w:rsid w:val="00DB32C8"/>
    <w:rsid w:val="00DB348A"/>
    <w:rsid w:val="00DB3916"/>
    <w:rsid w:val="00DB3B2C"/>
    <w:rsid w:val="00DB5405"/>
    <w:rsid w:val="00DB548B"/>
    <w:rsid w:val="00DB59BA"/>
    <w:rsid w:val="00DB689E"/>
    <w:rsid w:val="00DB751D"/>
    <w:rsid w:val="00DC0491"/>
    <w:rsid w:val="00DC09E2"/>
    <w:rsid w:val="00DC23E3"/>
    <w:rsid w:val="00DC3596"/>
    <w:rsid w:val="00DC5559"/>
    <w:rsid w:val="00DC5BE7"/>
    <w:rsid w:val="00DC5EAF"/>
    <w:rsid w:val="00DD19FE"/>
    <w:rsid w:val="00DD203D"/>
    <w:rsid w:val="00DD216E"/>
    <w:rsid w:val="00DD2D22"/>
    <w:rsid w:val="00DD463B"/>
    <w:rsid w:val="00DD5E88"/>
    <w:rsid w:val="00DD6531"/>
    <w:rsid w:val="00DD68D0"/>
    <w:rsid w:val="00DD7BA3"/>
    <w:rsid w:val="00DE0003"/>
    <w:rsid w:val="00DE0119"/>
    <w:rsid w:val="00DE05C2"/>
    <w:rsid w:val="00DE0E79"/>
    <w:rsid w:val="00DE1CCB"/>
    <w:rsid w:val="00DE2AF3"/>
    <w:rsid w:val="00DE4B3D"/>
    <w:rsid w:val="00DE7027"/>
    <w:rsid w:val="00DE7B3D"/>
    <w:rsid w:val="00DF2C51"/>
    <w:rsid w:val="00DF4282"/>
    <w:rsid w:val="00DF4DB1"/>
    <w:rsid w:val="00DF4F75"/>
    <w:rsid w:val="00DF61AF"/>
    <w:rsid w:val="00DF79C0"/>
    <w:rsid w:val="00DF7E39"/>
    <w:rsid w:val="00E00787"/>
    <w:rsid w:val="00E00B96"/>
    <w:rsid w:val="00E010D2"/>
    <w:rsid w:val="00E021D8"/>
    <w:rsid w:val="00E0264D"/>
    <w:rsid w:val="00E03B3D"/>
    <w:rsid w:val="00E04240"/>
    <w:rsid w:val="00E05C6B"/>
    <w:rsid w:val="00E07645"/>
    <w:rsid w:val="00E10C48"/>
    <w:rsid w:val="00E10EB8"/>
    <w:rsid w:val="00E11027"/>
    <w:rsid w:val="00E118E0"/>
    <w:rsid w:val="00E12966"/>
    <w:rsid w:val="00E129DE"/>
    <w:rsid w:val="00E13C8B"/>
    <w:rsid w:val="00E14292"/>
    <w:rsid w:val="00E14BDC"/>
    <w:rsid w:val="00E14E4F"/>
    <w:rsid w:val="00E150CB"/>
    <w:rsid w:val="00E15476"/>
    <w:rsid w:val="00E15592"/>
    <w:rsid w:val="00E1563B"/>
    <w:rsid w:val="00E15721"/>
    <w:rsid w:val="00E15C7D"/>
    <w:rsid w:val="00E15ED5"/>
    <w:rsid w:val="00E16038"/>
    <w:rsid w:val="00E1633B"/>
    <w:rsid w:val="00E167E1"/>
    <w:rsid w:val="00E17832"/>
    <w:rsid w:val="00E213CE"/>
    <w:rsid w:val="00E21C48"/>
    <w:rsid w:val="00E23764"/>
    <w:rsid w:val="00E25497"/>
    <w:rsid w:val="00E25BD9"/>
    <w:rsid w:val="00E26147"/>
    <w:rsid w:val="00E263F0"/>
    <w:rsid w:val="00E2730C"/>
    <w:rsid w:val="00E3101C"/>
    <w:rsid w:val="00E32479"/>
    <w:rsid w:val="00E324A0"/>
    <w:rsid w:val="00E32E2A"/>
    <w:rsid w:val="00E3342C"/>
    <w:rsid w:val="00E344DD"/>
    <w:rsid w:val="00E34D03"/>
    <w:rsid w:val="00E35D00"/>
    <w:rsid w:val="00E3666B"/>
    <w:rsid w:val="00E36952"/>
    <w:rsid w:val="00E36DE6"/>
    <w:rsid w:val="00E372B5"/>
    <w:rsid w:val="00E37C9E"/>
    <w:rsid w:val="00E40337"/>
    <w:rsid w:val="00E40635"/>
    <w:rsid w:val="00E41BE8"/>
    <w:rsid w:val="00E41D55"/>
    <w:rsid w:val="00E43350"/>
    <w:rsid w:val="00E43737"/>
    <w:rsid w:val="00E43C55"/>
    <w:rsid w:val="00E441FD"/>
    <w:rsid w:val="00E4439E"/>
    <w:rsid w:val="00E46542"/>
    <w:rsid w:val="00E508E3"/>
    <w:rsid w:val="00E5093C"/>
    <w:rsid w:val="00E50983"/>
    <w:rsid w:val="00E51B1F"/>
    <w:rsid w:val="00E532C7"/>
    <w:rsid w:val="00E54E86"/>
    <w:rsid w:val="00E54F09"/>
    <w:rsid w:val="00E54F6F"/>
    <w:rsid w:val="00E5538C"/>
    <w:rsid w:val="00E55F04"/>
    <w:rsid w:val="00E56258"/>
    <w:rsid w:val="00E601E4"/>
    <w:rsid w:val="00E60723"/>
    <w:rsid w:val="00E61427"/>
    <w:rsid w:val="00E62521"/>
    <w:rsid w:val="00E637E6"/>
    <w:rsid w:val="00E63C9C"/>
    <w:rsid w:val="00E63DEB"/>
    <w:rsid w:val="00E6408C"/>
    <w:rsid w:val="00E64BDE"/>
    <w:rsid w:val="00E667F5"/>
    <w:rsid w:val="00E66862"/>
    <w:rsid w:val="00E675E5"/>
    <w:rsid w:val="00E67B51"/>
    <w:rsid w:val="00E70C9E"/>
    <w:rsid w:val="00E71481"/>
    <w:rsid w:val="00E7279F"/>
    <w:rsid w:val="00E736B1"/>
    <w:rsid w:val="00E74803"/>
    <w:rsid w:val="00E74C42"/>
    <w:rsid w:val="00E74C7F"/>
    <w:rsid w:val="00E75332"/>
    <w:rsid w:val="00E7624D"/>
    <w:rsid w:val="00E8001E"/>
    <w:rsid w:val="00E808D0"/>
    <w:rsid w:val="00E80A7D"/>
    <w:rsid w:val="00E8251D"/>
    <w:rsid w:val="00E8490D"/>
    <w:rsid w:val="00E85B1B"/>
    <w:rsid w:val="00E86EA2"/>
    <w:rsid w:val="00E87E37"/>
    <w:rsid w:val="00E90138"/>
    <w:rsid w:val="00E92CFD"/>
    <w:rsid w:val="00E933DC"/>
    <w:rsid w:val="00E940C3"/>
    <w:rsid w:val="00E94C05"/>
    <w:rsid w:val="00E94CA0"/>
    <w:rsid w:val="00E9744A"/>
    <w:rsid w:val="00E974CF"/>
    <w:rsid w:val="00E97AE2"/>
    <w:rsid w:val="00EA169B"/>
    <w:rsid w:val="00EA2012"/>
    <w:rsid w:val="00EA26A1"/>
    <w:rsid w:val="00EA32C3"/>
    <w:rsid w:val="00EA4711"/>
    <w:rsid w:val="00EA538F"/>
    <w:rsid w:val="00EA5938"/>
    <w:rsid w:val="00EA5A39"/>
    <w:rsid w:val="00EA5B35"/>
    <w:rsid w:val="00EA5BCF"/>
    <w:rsid w:val="00EA5E9F"/>
    <w:rsid w:val="00EA65EF"/>
    <w:rsid w:val="00EA6A83"/>
    <w:rsid w:val="00EA7E15"/>
    <w:rsid w:val="00EB1612"/>
    <w:rsid w:val="00EB1B35"/>
    <w:rsid w:val="00EB249E"/>
    <w:rsid w:val="00EB492A"/>
    <w:rsid w:val="00EB52C5"/>
    <w:rsid w:val="00EB5843"/>
    <w:rsid w:val="00EB5DE7"/>
    <w:rsid w:val="00EB5E79"/>
    <w:rsid w:val="00EB6589"/>
    <w:rsid w:val="00EB761E"/>
    <w:rsid w:val="00EB7C1E"/>
    <w:rsid w:val="00EC1BCB"/>
    <w:rsid w:val="00EC1F33"/>
    <w:rsid w:val="00EC2021"/>
    <w:rsid w:val="00EC2701"/>
    <w:rsid w:val="00EC37D2"/>
    <w:rsid w:val="00EC4D59"/>
    <w:rsid w:val="00EC53F2"/>
    <w:rsid w:val="00EC55C4"/>
    <w:rsid w:val="00EC5795"/>
    <w:rsid w:val="00ED0571"/>
    <w:rsid w:val="00ED094A"/>
    <w:rsid w:val="00ED205C"/>
    <w:rsid w:val="00ED7314"/>
    <w:rsid w:val="00ED7B8B"/>
    <w:rsid w:val="00EE0808"/>
    <w:rsid w:val="00EE3B17"/>
    <w:rsid w:val="00EE481C"/>
    <w:rsid w:val="00EE48F1"/>
    <w:rsid w:val="00EE4A2D"/>
    <w:rsid w:val="00EE544C"/>
    <w:rsid w:val="00EE66E6"/>
    <w:rsid w:val="00EE7A5F"/>
    <w:rsid w:val="00EF13E6"/>
    <w:rsid w:val="00EF14C9"/>
    <w:rsid w:val="00EF2ED7"/>
    <w:rsid w:val="00EF3888"/>
    <w:rsid w:val="00EF3DC1"/>
    <w:rsid w:val="00EF502A"/>
    <w:rsid w:val="00EF5055"/>
    <w:rsid w:val="00EF5967"/>
    <w:rsid w:val="00EF72F8"/>
    <w:rsid w:val="00EF7C44"/>
    <w:rsid w:val="00EF7CD4"/>
    <w:rsid w:val="00F01695"/>
    <w:rsid w:val="00F025AD"/>
    <w:rsid w:val="00F040C8"/>
    <w:rsid w:val="00F058C4"/>
    <w:rsid w:val="00F059D2"/>
    <w:rsid w:val="00F05BA8"/>
    <w:rsid w:val="00F073AA"/>
    <w:rsid w:val="00F0747C"/>
    <w:rsid w:val="00F07A38"/>
    <w:rsid w:val="00F07BF2"/>
    <w:rsid w:val="00F11DCA"/>
    <w:rsid w:val="00F12D1C"/>
    <w:rsid w:val="00F1593A"/>
    <w:rsid w:val="00F170C8"/>
    <w:rsid w:val="00F17823"/>
    <w:rsid w:val="00F21D4A"/>
    <w:rsid w:val="00F2303C"/>
    <w:rsid w:val="00F23074"/>
    <w:rsid w:val="00F23FDB"/>
    <w:rsid w:val="00F252C0"/>
    <w:rsid w:val="00F25C19"/>
    <w:rsid w:val="00F2607A"/>
    <w:rsid w:val="00F261AF"/>
    <w:rsid w:val="00F31F13"/>
    <w:rsid w:val="00F33C2B"/>
    <w:rsid w:val="00F3519E"/>
    <w:rsid w:val="00F359B1"/>
    <w:rsid w:val="00F368EA"/>
    <w:rsid w:val="00F378C2"/>
    <w:rsid w:val="00F37BB4"/>
    <w:rsid w:val="00F40C36"/>
    <w:rsid w:val="00F418DA"/>
    <w:rsid w:val="00F42930"/>
    <w:rsid w:val="00F42B5D"/>
    <w:rsid w:val="00F42F9E"/>
    <w:rsid w:val="00F437A5"/>
    <w:rsid w:val="00F43DB2"/>
    <w:rsid w:val="00F45282"/>
    <w:rsid w:val="00F45A36"/>
    <w:rsid w:val="00F461C7"/>
    <w:rsid w:val="00F4639C"/>
    <w:rsid w:val="00F47CE2"/>
    <w:rsid w:val="00F5223F"/>
    <w:rsid w:val="00F5250B"/>
    <w:rsid w:val="00F526F5"/>
    <w:rsid w:val="00F530DB"/>
    <w:rsid w:val="00F53ED3"/>
    <w:rsid w:val="00F5403B"/>
    <w:rsid w:val="00F54D42"/>
    <w:rsid w:val="00F56183"/>
    <w:rsid w:val="00F565E0"/>
    <w:rsid w:val="00F567DC"/>
    <w:rsid w:val="00F573F8"/>
    <w:rsid w:val="00F60173"/>
    <w:rsid w:val="00F609DC"/>
    <w:rsid w:val="00F62756"/>
    <w:rsid w:val="00F632C5"/>
    <w:rsid w:val="00F63616"/>
    <w:rsid w:val="00F636D1"/>
    <w:rsid w:val="00F643FD"/>
    <w:rsid w:val="00F64404"/>
    <w:rsid w:val="00F64F3C"/>
    <w:rsid w:val="00F656C4"/>
    <w:rsid w:val="00F657B2"/>
    <w:rsid w:val="00F65EF3"/>
    <w:rsid w:val="00F66C9B"/>
    <w:rsid w:val="00F67296"/>
    <w:rsid w:val="00F67B34"/>
    <w:rsid w:val="00F67EFB"/>
    <w:rsid w:val="00F70EDA"/>
    <w:rsid w:val="00F717DA"/>
    <w:rsid w:val="00F72439"/>
    <w:rsid w:val="00F73A36"/>
    <w:rsid w:val="00F74216"/>
    <w:rsid w:val="00F74453"/>
    <w:rsid w:val="00F76095"/>
    <w:rsid w:val="00F769E0"/>
    <w:rsid w:val="00F76DFB"/>
    <w:rsid w:val="00F7745F"/>
    <w:rsid w:val="00F777C1"/>
    <w:rsid w:val="00F77DE8"/>
    <w:rsid w:val="00F80E82"/>
    <w:rsid w:val="00F81232"/>
    <w:rsid w:val="00F8142A"/>
    <w:rsid w:val="00F81CC6"/>
    <w:rsid w:val="00F81E68"/>
    <w:rsid w:val="00F83348"/>
    <w:rsid w:val="00F83CBB"/>
    <w:rsid w:val="00F83F5F"/>
    <w:rsid w:val="00F841C3"/>
    <w:rsid w:val="00F847A8"/>
    <w:rsid w:val="00F874E5"/>
    <w:rsid w:val="00F9078F"/>
    <w:rsid w:val="00F90EC9"/>
    <w:rsid w:val="00F91152"/>
    <w:rsid w:val="00F93435"/>
    <w:rsid w:val="00F95B2D"/>
    <w:rsid w:val="00F960F6"/>
    <w:rsid w:val="00F96918"/>
    <w:rsid w:val="00F9747C"/>
    <w:rsid w:val="00F979CA"/>
    <w:rsid w:val="00FA0EBD"/>
    <w:rsid w:val="00FA13ED"/>
    <w:rsid w:val="00FA1A7B"/>
    <w:rsid w:val="00FA1DD2"/>
    <w:rsid w:val="00FA4546"/>
    <w:rsid w:val="00FA4878"/>
    <w:rsid w:val="00FA504E"/>
    <w:rsid w:val="00FA5150"/>
    <w:rsid w:val="00FA6E64"/>
    <w:rsid w:val="00FB2E1D"/>
    <w:rsid w:val="00FB365C"/>
    <w:rsid w:val="00FB4843"/>
    <w:rsid w:val="00FB5B4E"/>
    <w:rsid w:val="00FB5F3F"/>
    <w:rsid w:val="00FB6D7A"/>
    <w:rsid w:val="00FB7313"/>
    <w:rsid w:val="00FC0A85"/>
    <w:rsid w:val="00FC0F39"/>
    <w:rsid w:val="00FC1063"/>
    <w:rsid w:val="00FC1AD5"/>
    <w:rsid w:val="00FC1D6F"/>
    <w:rsid w:val="00FC2E6C"/>
    <w:rsid w:val="00FC2FA1"/>
    <w:rsid w:val="00FC2FF6"/>
    <w:rsid w:val="00FC3171"/>
    <w:rsid w:val="00FC57AE"/>
    <w:rsid w:val="00FC5D27"/>
    <w:rsid w:val="00FC5E32"/>
    <w:rsid w:val="00FC60B4"/>
    <w:rsid w:val="00FC721E"/>
    <w:rsid w:val="00FC7502"/>
    <w:rsid w:val="00FD152A"/>
    <w:rsid w:val="00FD1851"/>
    <w:rsid w:val="00FD1D35"/>
    <w:rsid w:val="00FD3615"/>
    <w:rsid w:val="00FD3F0E"/>
    <w:rsid w:val="00FD4EB6"/>
    <w:rsid w:val="00FD564D"/>
    <w:rsid w:val="00FD571E"/>
    <w:rsid w:val="00FD6AB7"/>
    <w:rsid w:val="00FD6C2B"/>
    <w:rsid w:val="00FD712F"/>
    <w:rsid w:val="00FD76B5"/>
    <w:rsid w:val="00FD7D6D"/>
    <w:rsid w:val="00FE0656"/>
    <w:rsid w:val="00FE16B3"/>
    <w:rsid w:val="00FE369E"/>
    <w:rsid w:val="00FE3EE5"/>
    <w:rsid w:val="00FE3FAE"/>
    <w:rsid w:val="00FE4404"/>
    <w:rsid w:val="00FE4C68"/>
    <w:rsid w:val="00FE5BEC"/>
    <w:rsid w:val="00FE6B74"/>
    <w:rsid w:val="00FE6BD4"/>
    <w:rsid w:val="00FE74AD"/>
    <w:rsid w:val="00FE772F"/>
    <w:rsid w:val="00FE77E0"/>
    <w:rsid w:val="00FE79FA"/>
    <w:rsid w:val="00FE7EFC"/>
    <w:rsid w:val="00FF15D2"/>
    <w:rsid w:val="00FF19D9"/>
    <w:rsid w:val="00FF48F5"/>
    <w:rsid w:val="00FF539D"/>
    <w:rsid w:val="00FF5443"/>
    <w:rsid w:val="00FF5CF5"/>
    <w:rsid w:val="00FF6563"/>
    <w:rsid w:val="00FF7A1B"/>
  </w:rsids>
  <m:mathPr>
    <m:mathFont m:val="Cambria Math"/>
    <m:brkBin m:val="before"/>
    <m:brkBinSub m:val="--"/>
    <m:smallFrac m:val="0"/>
    <m:dispDef/>
    <m:lMargin m:val="0"/>
    <m:rMargin m:val="0"/>
    <m:defJc m:val="centerGroup"/>
    <m:wrapIndent m:val="1440"/>
    <m:intLim m:val="subSup"/>
    <m:naryLim m:val="undOvr"/>
  </m:mathPr>
  <w:themeFontLang w:val="en-GB" w:bidi="bn-IN"/>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1"/>
    </o:shapelayout>
  </w:shapeDefaults>
  <w:decimalSymbol w:val="."/>
  <w:listSeparator w:val=","/>
  <w14:docId w14:val="49D13F0C"/>
  <w15:chartTrackingRefBased/>
  <w15:docId w15:val="{B60705A3-33AE-48C6-9A3A-48BCBF55F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Helvetica" w:eastAsiaTheme="minorHAnsi" w:hAnsi="Helvetica" w:cs="Times New Roman"/>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qFormat="1"/>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qFormat="1"/>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Garamond"/>
    <w:basedOn w:val="Normal"/>
    <w:next w:val="Normal"/>
    <w:link w:val="Heading1Char"/>
    <w:uiPriority w:val="9"/>
    <w:qFormat/>
    <w:rsid w:val="00C9597C"/>
    <w:pPr>
      <w:keepNext/>
      <w:keepLines/>
      <w:spacing w:line="276" w:lineRule="auto"/>
      <w:jc w:val="both"/>
      <w:outlineLvl w:val="0"/>
    </w:pPr>
    <w:rPr>
      <w:rFonts w:ascii="Garamond" w:eastAsia="Times New Roman" w:hAnsi="Garamond"/>
      <w:bCs/>
      <w:szCs w:val="28"/>
    </w:rPr>
  </w:style>
  <w:style w:type="paragraph" w:styleId="Heading2">
    <w:name w:val="heading 2"/>
    <w:basedOn w:val="Normal"/>
    <w:next w:val="Normal"/>
    <w:link w:val="Heading2Char"/>
    <w:unhideWhenUsed/>
    <w:qFormat/>
    <w:rsid w:val="00C9597C"/>
    <w:pPr>
      <w:keepNext/>
      <w:keepLines/>
      <w:spacing w:before="200" w:line="276" w:lineRule="auto"/>
      <w:outlineLvl w:val="1"/>
    </w:pPr>
    <w:rPr>
      <w:rFonts w:ascii="Cambria" w:eastAsia="Times New Roman" w:hAnsi="Cambria"/>
      <w:b/>
      <w:bCs/>
      <w:color w:val="4F81BD"/>
      <w:sz w:val="26"/>
      <w:szCs w:val="26"/>
      <w:lang w:val="en-US"/>
    </w:rPr>
  </w:style>
  <w:style w:type="paragraph" w:styleId="Heading3">
    <w:name w:val="heading 3"/>
    <w:basedOn w:val="Normal"/>
    <w:next w:val="Normal"/>
    <w:link w:val="Heading3Char"/>
    <w:unhideWhenUsed/>
    <w:qFormat/>
    <w:rsid w:val="00C9597C"/>
    <w:pPr>
      <w:keepNext/>
      <w:keepLines/>
      <w:spacing w:before="200"/>
      <w:jc w:val="both"/>
      <w:outlineLvl w:val="2"/>
    </w:pPr>
    <w:rPr>
      <w:rFonts w:ascii="Cambria" w:eastAsia="Times New Roman" w:hAnsi="Cambria"/>
      <w:b/>
      <w:bCs/>
      <w:color w:val="4F81BD"/>
    </w:rPr>
  </w:style>
  <w:style w:type="paragraph" w:styleId="Heading4">
    <w:name w:val="heading 4"/>
    <w:basedOn w:val="Normal"/>
    <w:next w:val="Normal"/>
    <w:link w:val="Heading4Char"/>
    <w:qFormat/>
    <w:rsid w:val="00C9597C"/>
    <w:pPr>
      <w:keepNext/>
      <w:keepLines/>
      <w:spacing w:before="240" w:after="40"/>
      <w:contextualSpacing/>
      <w:jc w:val="both"/>
      <w:outlineLvl w:val="3"/>
    </w:pPr>
    <w:rPr>
      <w:rFonts w:ascii="Times New Roman" w:eastAsia="Times New Roman" w:hAnsi="Times New Roman"/>
      <w:b/>
      <w:color w:val="000000"/>
      <w:lang w:val="en-IN" w:eastAsia="en-IN"/>
    </w:rPr>
  </w:style>
  <w:style w:type="paragraph" w:styleId="Heading5">
    <w:name w:val="heading 5"/>
    <w:basedOn w:val="Normal"/>
    <w:next w:val="Normal"/>
    <w:link w:val="Heading5Char"/>
    <w:qFormat/>
    <w:rsid w:val="00C9597C"/>
    <w:pPr>
      <w:spacing w:before="240" w:after="60"/>
      <w:outlineLvl w:val="4"/>
    </w:pPr>
    <w:rPr>
      <w:rFonts w:ascii="Times New Roman" w:eastAsia="Times New Roman" w:hAnsi="Times New Roman"/>
      <w:b/>
      <w:bCs/>
      <w:i/>
      <w:iCs/>
      <w:sz w:val="26"/>
      <w:szCs w:val="26"/>
      <w:lang w:val="en-US"/>
    </w:rPr>
  </w:style>
  <w:style w:type="paragraph" w:styleId="Heading6">
    <w:name w:val="heading 6"/>
    <w:basedOn w:val="Normal"/>
    <w:next w:val="Normal"/>
    <w:link w:val="Heading6Char"/>
    <w:qFormat/>
    <w:rsid w:val="00C9597C"/>
    <w:pPr>
      <w:keepNext/>
      <w:keepLines/>
      <w:spacing w:before="200" w:after="40"/>
      <w:contextualSpacing/>
      <w:jc w:val="both"/>
      <w:outlineLvl w:val="5"/>
    </w:pPr>
    <w:rPr>
      <w:rFonts w:ascii="Times New Roman" w:eastAsia="Times New Roman" w:hAnsi="Times New Roman"/>
      <w:b/>
      <w:color w:val="000000"/>
      <w:sz w:val="20"/>
      <w:szCs w:val="20"/>
      <w:lang w:val="en-IN" w:eastAsia="en-IN"/>
    </w:rPr>
  </w:style>
  <w:style w:type="paragraph" w:styleId="Heading7">
    <w:name w:val="heading 7"/>
    <w:basedOn w:val="Normal"/>
    <w:next w:val="Normal"/>
    <w:link w:val="Heading7Char"/>
    <w:qFormat/>
    <w:rsid w:val="00C9597C"/>
    <w:pPr>
      <w:spacing w:before="240" w:after="60"/>
      <w:outlineLvl w:val="6"/>
    </w:pPr>
    <w:rPr>
      <w:rFonts w:ascii="Times New Roman" w:eastAsia="Times New Roman" w:hAnsi="Times New Roman"/>
      <w:lang w:val="en-US"/>
    </w:rPr>
  </w:style>
  <w:style w:type="paragraph" w:styleId="Heading8">
    <w:name w:val="heading 8"/>
    <w:basedOn w:val="Normal"/>
    <w:next w:val="Normal"/>
    <w:uiPriority w:val="9"/>
    <w:unhideWhenUsed/>
    <w:qFormat/>
    <w:rsid w:val="003F3A95"/>
    <w:pPr>
      <w:tabs>
        <w:tab w:val="left" w:pos="5760"/>
      </w:tabs>
      <w:spacing w:before="240" w:after="60" w:line="259" w:lineRule="auto"/>
      <w:ind w:left="5760" w:hanging="720"/>
      <w:outlineLvl w:val="7"/>
    </w:pPr>
    <w:rPr>
      <w:rFonts w:asciiTheme="minorHAnsi" w:eastAsiaTheme="minorEastAsia" w:hAnsiTheme="minorHAnsi" w:cstheme="minorBidi"/>
      <w:i/>
      <w:iCs/>
      <w:lang w:val="en-US"/>
    </w:rPr>
  </w:style>
  <w:style w:type="paragraph" w:styleId="Heading9">
    <w:name w:val="heading 9"/>
    <w:basedOn w:val="Normal"/>
    <w:next w:val="Normal"/>
    <w:uiPriority w:val="9"/>
    <w:unhideWhenUsed/>
    <w:qFormat/>
    <w:rsid w:val="003F3A95"/>
    <w:pPr>
      <w:tabs>
        <w:tab w:val="left" w:pos="6480"/>
      </w:tabs>
      <w:spacing w:before="240" w:after="60" w:line="259" w:lineRule="auto"/>
      <w:ind w:left="6480" w:hanging="720"/>
      <w:outlineLvl w:val="8"/>
    </w:pPr>
    <w:rPr>
      <w:rFonts w:asciiTheme="majorHAnsi" w:eastAsiaTheme="majorEastAsia" w:hAnsiTheme="majorHAnsi" w:cstheme="majorBidi"/>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Garamond Char"/>
    <w:basedOn w:val="DefaultParagraphFont"/>
    <w:link w:val="Heading1"/>
    <w:uiPriority w:val="9"/>
    <w:qFormat/>
    <w:rsid w:val="00C9597C"/>
    <w:rPr>
      <w:rFonts w:ascii="Garamond" w:eastAsia="Times New Roman" w:hAnsi="Garamond"/>
      <w:bCs/>
      <w:szCs w:val="28"/>
    </w:rPr>
  </w:style>
  <w:style w:type="character" w:customStyle="1" w:styleId="Heading2Char">
    <w:name w:val="Heading 2 Char"/>
    <w:basedOn w:val="DefaultParagraphFont"/>
    <w:link w:val="Heading2"/>
    <w:rsid w:val="00C9597C"/>
    <w:rPr>
      <w:rFonts w:ascii="Cambria" w:eastAsia="Times New Roman" w:hAnsi="Cambria"/>
      <w:b/>
      <w:bCs/>
      <w:color w:val="4F81BD"/>
      <w:sz w:val="26"/>
      <w:szCs w:val="26"/>
      <w:lang w:val="en-US"/>
    </w:rPr>
  </w:style>
  <w:style w:type="character" w:customStyle="1" w:styleId="Heading3Char">
    <w:name w:val="Heading 3 Char"/>
    <w:basedOn w:val="DefaultParagraphFont"/>
    <w:link w:val="Heading3"/>
    <w:qFormat/>
    <w:rsid w:val="00C9597C"/>
    <w:rPr>
      <w:rFonts w:ascii="Cambria" w:eastAsia="Times New Roman" w:hAnsi="Cambria"/>
      <w:b/>
      <w:bCs/>
      <w:color w:val="4F81BD"/>
    </w:rPr>
  </w:style>
  <w:style w:type="character" w:customStyle="1" w:styleId="Heading4Char">
    <w:name w:val="Heading 4 Char"/>
    <w:basedOn w:val="DefaultParagraphFont"/>
    <w:link w:val="Heading4"/>
    <w:rsid w:val="00C9597C"/>
    <w:rPr>
      <w:rFonts w:ascii="Times New Roman" w:eastAsia="Times New Roman" w:hAnsi="Times New Roman"/>
      <w:b/>
      <w:color w:val="000000"/>
      <w:lang w:val="en-IN" w:eastAsia="en-IN"/>
    </w:rPr>
  </w:style>
  <w:style w:type="character" w:customStyle="1" w:styleId="Heading5Char">
    <w:name w:val="Heading 5 Char"/>
    <w:basedOn w:val="DefaultParagraphFont"/>
    <w:link w:val="Heading5"/>
    <w:rsid w:val="00C9597C"/>
    <w:rPr>
      <w:rFonts w:ascii="Times New Roman" w:eastAsia="Times New Roman" w:hAnsi="Times New Roman"/>
      <w:b/>
      <w:bCs/>
      <w:i/>
      <w:iCs/>
      <w:sz w:val="26"/>
      <w:szCs w:val="26"/>
      <w:lang w:val="en-US"/>
    </w:rPr>
  </w:style>
  <w:style w:type="character" w:customStyle="1" w:styleId="Heading6Char">
    <w:name w:val="Heading 6 Char"/>
    <w:basedOn w:val="DefaultParagraphFont"/>
    <w:link w:val="Heading6"/>
    <w:rsid w:val="00C9597C"/>
    <w:rPr>
      <w:rFonts w:ascii="Times New Roman" w:eastAsia="Times New Roman" w:hAnsi="Times New Roman"/>
      <w:b/>
      <w:color w:val="000000"/>
      <w:sz w:val="20"/>
      <w:szCs w:val="20"/>
      <w:lang w:val="en-IN" w:eastAsia="en-IN"/>
    </w:rPr>
  </w:style>
  <w:style w:type="character" w:customStyle="1" w:styleId="Heading7Char">
    <w:name w:val="Heading 7 Char"/>
    <w:basedOn w:val="DefaultParagraphFont"/>
    <w:link w:val="Heading7"/>
    <w:qFormat/>
    <w:rsid w:val="00C9597C"/>
    <w:rPr>
      <w:rFonts w:ascii="Times New Roman" w:eastAsia="Times New Roman" w:hAnsi="Times New Roman"/>
      <w:lang w:val="en-US"/>
    </w:rPr>
  </w:style>
  <w:style w:type="paragraph" w:styleId="ListParagraph">
    <w:name w:val="List Paragraph"/>
    <w:aliases w:val="lp1,elenco,Equipment,Figure_name,List Paragraph Char Char,List Paragraph1,List Paragraph11,List Paragraph2,List_TIS,Normal Sentence,Number_1,Numbered Indented Text,Ref,SGLText List Paragraph,TOC style,new,Amex_bullet,ListPar1,d_bodyb,L"/>
    <w:basedOn w:val="Normal"/>
    <w:link w:val="ListParagraphChar"/>
    <w:uiPriority w:val="34"/>
    <w:qFormat/>
    <w:rsid w:val="00C9597C"/>
    <w:pPr>
      <w:spacing w:after="200" w:line="276" w:lineRule="auto"/>
      <w:ind w:left="720"/>
      <w:contextualSpacing/>
    </w:pPr>
    <w:rPr>
      <w:rFonts w:ascii="Calibri" w:eastAsia="Calibri" w:hAnsi="Calibri"/>
      <w:sz w:val="20"/>
      <w:szCs w:val="20"/>
      <w:lang w:val="en-US"/>
    </w:rPr>
  </w:style>
  <w:style w:type="paragraph" w:customStyle="1" w:styleId="Default">
    <w:name w:val="Default"/>
    <w:rsid w:val="00C9597C"/>
    <w:pPr>
      <w:autoSpaceDE w:val="0"/>
      <w:autoSpaceDN w:val="0"/>
      <w:adjustRightInd w:val="0"/>
    </w:pPr>
    <w:rPr>
      <w:rFonts w:ascii="Arial" w:eastAsia="Calibri" w:hAnsi="Arial" w:cs="Arial"/>
      <w:color w:val="000000"/>
      <w:lang w:val="en-US"/>
    </w:rPr>
  </w:style>
  <w:style w:type="paragraph" w:styleId="BalloonText">
    <w:name w:val="Balloon Text"/>
    <w:basedOn w:val="Normal"/>
    <w:link w:val="BalloonTextChar"/>
    <w:uiPriority w:val="99"/>
    <w:unhideWhenUsed/>
    <w:qFormat/>
    <w:rsid w:val="00C9597C"/>
    <w:rPr>
      <w:rFonts w:ascii="Tahoma" w:eastAsia="Calibri" w:hAnsi="Tahoma"/>
      <w:sz w:val="16"/>
      <w:szCs w:val="16"/>
      <w:lang w:val="en-US"/>
    </w:rPr>
  </w:style>
  <w:style w:type="character" w:customStyle="1" w:styleId="BalloonTextChar">
    <w:name w:val="Balloon Text Char"/>
    <w:basedOn w:val="DefaultParagraphFont"/>
    <w:link w:val="BalloonText"/>
    <w:uiPriority w:val="99"/>
    <w:rsid w:val="00C9597C"/>
    <w:rPr>
      <w:rFonts w:ascii="Tahoma" w:eastAsia="Calibri" w:hAnsi="Tahoma"/>
      <w:sz w:val="16"/>
      <w:szCs w:val="16"/>
      <w:lang w:val="en-US"/>
    </w:rPr>
  </w:style>
  <w:style w:type="paragraph" w:styleId="Title">
    <w:name w:val="Title"/>
    <w:basedOn w:val="Normal"/>
    <w:link w:val="TitleChar"/>
    <w:qFormat/>
    <w:rsid w:val="00C9597C"/>
    <w:pPr>
      <w:jc w:val="center"/>
    </w:pPr>
    <w:rPr>
      <w:rFonts w:ascii="Times New Roman" w:eastAsia="Times New Roman" w:hAnsi="Times New Roman"/>
      <w:b/>
      <w:u w:val="single"/>
      <w:lang w:val="en-US"/>
    </w:rPr>
  </w:style>
  <w:style w:type="character" w:customStyle="1" w:styleId="TitleChar">
    <w:name w:val="Title Char"/>
    <w:basedOn w:val="DefaultParagraphFont"/>
    <w:link w:val="Title"/>
    <w:rsid w:val="00C9597C"/>
    <w:rPr>
      <w:rFonts w:ascii="Times New Roman" w:eastAsia="Times New Roman" w:hAnsi="Times New Roman"/>
      <w:b/>
      <w:u w:val="single"/>
      <w:lang w:val="en-US"/>
    </w:rPr>
  </w:style>
  <w:style w:type="paragraph" w:styleId="Header">
    <w:name w:val="header"/>
    <w:basedOn w:val="Normal"/>
    <w:link w:val="HeaderChar"/>
    <w:uiPriority w:val="99"/>
    <w:qFormat/>
    <w:rsid w:val="00C9597C"/>
    <w:pPr>
      <w:tabs>
        <w:tab w:val="center" w:pos="4320"/>
        <w:tab w:val="right" w:pos="8640"/>
      </w:tabs>
    </w:pPr>
    <w:rPr>
      <w:rFonts w:ascii="Times New Roman" w:eastAsia="Times New Roman" w:hAnsi="Times New Roman"/>
      <w:szCs w:val="20"/>
      <w:lang w:val="en-US"/>
    </w:rPr>
  </w:style>
  <w:style w:type="character" w:customStyle="1" w:styleId="HeaderChar">
    <w:name w:val="Header Char"/>
    <w:basedOn w:val="DefaultParagraphFont"/>
    <w:link w:val="Header"/>
    <w:uiPriority w:val="99"/>
    <w:rsid w:val="00C9597C"/>
    <w:rPr>
      <w:rFonts w:ascii="Times New Roman" w:eastAsia="Times New Roman" w:hAnsi="Times New Roman"/>
      <w:szCs w:val="20"/>
      <w:lang w:val="en-US"/>
    </w:rPr>
  </w:style>
  <w:style w:type="paragraph" w:styleId="NoSpacing">
    <w:name w:val="No Spacing"/>
    <w:link w:val="NoSpacingChar"/>
    <w:uiPriority w:val="1"/>
    <w:qFormat/>
    <w:rsid w:val="00C9597C"/>
    <w:rPr>
      <w:rFonts w:ascii="Calibri" w:eastAsia="Calibri" w:hAnsi="Calibri"/>
      <w:sz w:val="22"/>
      <w:szCs w:val="22"/>
      <w:lang w:val="en-US"/>
    </w:rPr>
  </w:style>
  <w:style w:type="character" w:customStyle="1" w:styleId="NoSpacingChar">
    <w:name w:val="No Spacing Char"/>
    <w:link w:val="NoSpacing"/>
    <w:uiPriority w:val="1"/>
    <w:rsid w:val="00C9597C"/>
    <w:rPr>
      <w:rFonts w:ascii="Calibri" w:eastAsia="Calibri" w:hAnsi="Calibri"/>
      <w:sz w:val="22"/>
      <w:szCs w:val="22"/>
      <w:lang w:val="en-US"/>
    </w:rPr>
  </w:style>
  <w:style w:type="character" w:customStyle="1" w:styleId="apple-style-span">
    <w:name w:val="apple-style-span"/>
    <w:basedOn w:val="DefaultParagraphFont"/>
    <w:rsid w:val="00C9597C"/>
  </w:style>
  <w:style w:type="character" w:customStyle="1" w:styleId="apple-converted-space">
    <w:name w:val="apple-converted-space"/>
    <w:basedOn w:val="DefaultParagraphFont"/>
    <w:rsid w:val="00C9597C"/>
  </w:style>
  <w:style w:type="character" w:styleId="Strong">
    <w:name w:val="Strong"/>
    <w:uiPriority w:val="22"/>
    <w:qFormat/>
    <w:rsid w:val="00C9597C"/>
    <w:rPr>
      <w:b/>
      <w:bCs/>
    </w:rPr>
  </w:style>
  <w:style w:type="paragraph" w:styleId="Caption">
    <w:name w:val="caption"/>
    <w:basedOn w:val="Normal"/>
    <w:next w:val="Normal"/>
    <w:uiPriority w:val="35"/>
    <w:unhideWhenUsed/>
    <w:qFormat/>
    <w:rsid w:val="00C9597C"/>
    <w:pPr>
      <w:spacing w:after="200"/>
    </w:pPr>
    <w:rPr>
      <w:rFonts w:ascii="Calibri" w:eastAsia="Calibri" w:hAnsi="Calibri"/>
      <w:b/>
      <w:bCs/>
      <w:color w:val="4F81BD"/>
      <w:sz w:val="18"/>
      <w:szCs w:val="18"/>
      <w:lang w:val="en-US"/>
    </w:rPr>
  </w:style>
  <w:style w:type="paragraph" w:customStyle="1" w:styleId="CM10">
    <w:name w:val="CM10"/>
    <w:basedOn w:val="Default"/>
    <w:next w:val="Default"/>
    <w:uiPriority w:val="99"/>
    <w:rsid w:val="00C9597C"/>
    <w:pPr>
      <w:widowControl w:val="0"/>
      <w:spacing w:after="268"/>
    </w:pPr>
    <w:rPr>
      <w:rFonts w:ascii="AWCDV-Prakash" w:eastAsia="Times New Roman" w:hAnsi="AWCDV-Prakash" w:cs="Times New Roman"/>
      <w:color w:val="auto"/>
    </w:rPr>
  </w:style>
  <w:style w:type="paragraph" w:customStyle="1" w:styleId="CM4">
    <w:name w:val="CM4"/>
    <w:basedOn w:val="Default"/>
    <w:next w:val="Default"/>
    <w:uiPriority w:val="99"/>
    <w:rsid w:val="00C9597C"/>
    <w:pPr>
      <w:widowControl w:val="0"/>
      <w:spacing w:line="391" w:lineRule="atLeast"/>
    </w:pPr>
    <w:rPr>
      <w:rFonts w:ascii="AWCDV-Prakash" w:eastAsia="Times New Roman" w:hAnsi="AWCDV-Prakash" w:cs="Times New Roman"/>
      <w:color w:val="auto"/>
    </w:rPr>
  </w:style>
  <w:style w:type="paragraph" w:customStyle="1" w:styleId="CM14">
    <w:name w:val="CM14"/>
    <w:basedOn w:val="Default"/>
    <w:next w:val="Default"/>
    <w:uiPriority w:val="99"/>
    <w:rsid w:val="00C9597C"/>
    <w:pPr>
      <w:widowControl w:val="0"/>
      <w:spacing w:after="128"/>
    </w:pPr>
    <w:rPr>
      <w:rFonts w:ascii="AWCDV-Prakash" w:eastAsia="Times New Roman" w:hAnsi="AWCDV-Prakash" w:cs="Times New Roman"/>
      <w:color w:val="auto"/>
    </w:rPr>
  </w:style>
  <w:style w:type="paragraph" w:customStyle="1" w:styleId="CM6">
    <w:name w:val="CM6"/>
    <w:basedOn w:val="Default"/>
    <w:next w:val="Default"/>
    <w:uiPriority w:val="99"/>
    <w:rsid w:val="00C9597C"/>
    <w:pPr>
      <w:widowControl w:val="0"/>
      <w:spacing w:line="391" w:lineRule="atLeast"/>
    </w:pPr>
    <w:rPr>
      <w:rFonts w:ascii="AWCDV-Prakash" w:eastAsia="Times New Roman" w:hAnsi="AWCDV-Prakash" w:cs="Times New Roman"/>
      <w:color w:val="auto"/>
    </w:rPr>
  </w:style>
  <w:style w:type="paragraph" w:customStyle="1" w:styleId="CM8">
    <w:name w:val="CM8"/>
    <w:basedOn w:val="Default"/>
    <w:next w:val="Default"/>
    <w:uiPriority w:val="99"/>
    <w:rsid w:val="00C9597C"/>
    <w:pPr>
      <w:widowControl w:val="0"/>
      <w:spacing w:line="391" w:lineRule="atLeast"/>
    </w:pPr>
    <w:rPr>
      <w:rFonts w:ascii="AWCDV-Prakash" w:eastAsia="Times New Roman" w:hAnsi="AWCDV-Prakash" w:cs="Times New Roman"/>
      <w:color w:val="auto"/>
    </w:rPr>
  </w:style>
  <w:style w:type="paragraph" w:styleId="NormalWeb">
    <w:name w:val="Normal (Web)"/>
    <w:basedOn w:val="Normal"/>
    <w:uiPriority w:val="99"/>
    <w:qFormat/>
    <w:rsid w:val="00C9597C"/>
    <w:pPr>
      <w:spacing w:before="100" w:beforeAutospacing="1" w:after="100" w:afterAutospacing="1"/>
    </w:pPr>
    <w:rPr>
      <w:rFonts w:ascii="Times New Roman" w:eastAsia="Times New Roman" w:hAnsi="Times New Roman"/>
      <w:lang w:val="en-US"/>
    </w:rPr>
  </w:style>
  <w:style w:type="character" w:styleId="Emphasis">
    <w:name w:val="Emphasis"/>
    <w:uiPriority w:val="20"/>
    <w:qFormat/>
    <w:rsid w:val="00C9597C"/>
    <w:rPr>
      <w:i/>
      <w:iCs/>
    </w:rPr>
  </w:style>
  <w:style w:type="character" w:styleId="Hyperlink">
    <w:name w:val="Hyperlink"/>
    <w:uiPriority w:val="99"/>
    <w:unhideWhenUsed/>
    <w:rsid w:val="00C9597C"/>
    <w:rPr>
      <w:color w:val="0000FF"/>
      <w:u w:val="single"/>
    </w:rPr>
  </w:style>
  <w:style w:type="paragraph" w:styleId="Footer">
    <w:name w:val="footer"/>
    <w:basedOn w:val="Normal"/>
    <w:link w:val="FooterChar"/>
    <w:uiPriority w:val="99"/>
    <w:unhideWhenUsed/>
    <w:qFormat/>
    <w:rsid w:val="00C9597C"/>
    <w:pPr>
      <w:tabs>
        <w:tab w:val="center" w:pos="4680"/>
        <w:tab w:val="right" w:pos="9360"/>
      </w:tabs>
    </w:pPr>
    <w:rPr>
      <w:rFonts w:ascii="Calibri" w:eastAsia="Calibri" w:hAnsi="Calibri"/>
      <w:sz w:val="20"/>
      <w:szCs w:val="20"/>
      <w:lang w:val="en-US"/>
    </w:rPr>
  </w:style>
  <w:style w:type="character" w:customStyle="1" w:styleId="FooterChar">
    <w:name w:val="Footer Char"/>
    <w:basedOn w:val="DefaultParagraphFont"/>
    <w:link w:val="Footer"/>
    <w:uiPriority w:val="99"/>
    <w:rsid w:val="00C9597C"/>
    <w:rPr>
      <w:rFonts w:ascii="Calibri" w:eastAsia="Calibri" w:hAnsi="Calibri"/>
      <w:sz w:val="20"/>
      <w:szCs w:val="20"/>
      <w:lang w:val="en-US"/>
    </w:rPr>
  </w:style>
  <w:style w:type="table" w:styleId="TableGrid">
    <w:name w:val="Table Grid"/>
    <w:basedOn w:val="TableNormal"/>
    <w:uiPriority w:val="5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dnoteText">
    <w:name w:val="endnote text"/>
    <w:basedOn w:val="Normal"/>
    <w:link w:val="EndnoteTextChar"/>
    <w:uiPriority w:val="99"/>
    <w:unhideWhenUsed/>
    <w:qFormat/>
    <w:rsid w:val="00C9597C"/>
    <w:rPr>
      <w:rFonts w:ascii="Calibri" w:eastAsia="Calibri" w:hAnsi="Calibri"/>
      <w:sz w:val="20"/>
      <w:szCs w:val="20"/>
      <w:lang w:val="en-US"/>
    </w:rPr>
  </w:style>
  <w:style w:type="character" w:customStyle="1" w:styleId="EndnoteTextChar">
    <w:name w:val="Endnote Text Char"/>
    <w:basedOn w:val="DefaultParagraphFont"/>
    <w:link w:val="EndnoteText"/>
    <w:uiPriority w:val="99"/>
    <w:rsid w:val="00C9597C"/>
    <w:rPr>
      <w:rFonts w:ascii="Calibri" w:eastAsia="Calibri" w:hAnsi="Calibri"/>
      <w:sz w:val="20"/>
      <w:szCs w:val="20"/>
      <w:lang w:val="en-US"/>
    </w:rPr>
  </w:style>
  <w:style w:type="character" w:styleId="EndnoteReference">
    <w:name w:val="endnote reference"/>
    <w:uiPriority w:val="99"/>
    <w:unhideWhenUsed/>
    <w:qFormat/>
    <w:rsid w:val="00C9597C"/>
    <w:rPr>
      <w:vertAlign w:val="superscript"/>
    </w:rPr>
  </w:style>
  <w:style w:type="paragraph" w:styleId="FootnoteText">
    <w:name w:val="footnote text"/>
    <w:basedOn w:val="Normal"/>
    <w:link w:val="FootnoteTextChar"/>
    <w:uiPriority w:val="99"/>
    <w:unhideWhenUsed/>
    <w:qFormat/>
    <w:rsid w:val="00C9597C"/>
    <w:rPr>
      <w:rFonts w:ascii="Calibri" w:eastAsia="Calibri" w:hAnsi="Calibri"/>
      <w:sz w:val="20"/>
      <w:szCs w:val="20"/>
      <w:lang w:val="en-US"/>
    </w:rPr>
  </w:style>
  <w:style w:type="character" w:customStyle="1" w:styleId="FootnoteTextChar">
    <w:name w:val="Footnote Text Char"/>
    <w:basedOn w:val="DefaultParagraphFont"/>
    <w:link w:val="FootnoteText"/>
    <w:uiPriority w:val="99"/>
    <w:rsid w:val="00C9597C"/>
    <w:rPr>
      <w:rFonts w:ascii="Calibri" w:eastAsia="Calibri" w:hAnsi="Calibri"/>
      <w:sz w:val="20"/>
      <w:szCs w:val="20"/>
      <w:lang w:val="en-US"/>
    </w:rPr>
  </w:style>
  <w:style w:type="character" w:styleId="FootnoteReference">
    <w:name w:val="footnote reference"/>
    <w:uiPriority w:val="99"/>
    <w:unhideWhenUsed/>
    <w:rsid w:val="00C9597C"/>
    <w:rPr>
      <w:vertAlign w:val="superscript"/>
    </w:rPr>
  </w:style>
  <w:style w:type="character" w:customStyle="1" w:styleId="spelle">
    <w:name w:val="spelle"/>
    <w:basedOn w:val="DefaultParagraphFont"/>
    <w:rsid w:val="00C9597C"/>
  </w:style>
  <w:style w:type="character" w:customStyle="1" w:styleId="grame">
    <w:name w:val="grame"/>
    <w:basedOn w:val="DefaultParagraphFont"/>
    <w:rsid w:val="00C9597C"/>
  </w:style>
  <w:style w:type="paragraph" w:styleId="BodyTextIndent">
    <w:name w:val="Body Text Indent"/>
    <w:basedOn w:val="Normal"/>
    <w:link w:val="BodyTextIndentChar"/>
    <w:uiPriority w:val="99"/>
    <w:unhideWhenUsed/>
    <w:qFormat/>
    <w:rsid w:val="00C9597C"/>
    <w:pPr>
      <w:spacing w:before="100" w:beforeAutospacing="1" w:after="100" w:afterAutospacing="1"/>
    </w:pPr>
    <w:rPr>
      <w:rFonts w:ascii="Times New Roman" w:eastAsia="Times New Roman" w:hAnsi="Times New Roman"/>
      <w:lang w:val="en-US"/>
    </w:rPr>
  </w:style>
  <w:style w:type="character" w:customStyle="1" w:styleId="BodyTextIndentChar">
    <w:name w:val="Body Text Indent Char"/>
    <w:basedOn w:val="DefaultParagraphFont"/>
    <w:link w:val="BodyTextIndent"/>
    <w:uiPriority w:val="99"/>
    <w:rsid w:val="00C9597C"/>
    <w:rPr>
      <w:rFonts w:ascii="Times New Roman" w:eastAsia="Times New Roman" w:hAnsi="Times New Roman"/>
      <w:lang w:val="en-US"/>
    </w:rPr>
  </w:style>
  <w:style w:type="paragraph" w:customStyle="1" w:styleId="listparagraph0">
    <w:name w:val="listparagraph"/>
    <w:basedOn w:val="Normal"/>
    <w:rsid w:val="00C9597C"/>
    <w:pPr>
      <w:spacing w:before="100" w:beforeAutospacing="1" w:after="100" w:afterAutospacing="1"/>
    </w:pPr>
    <w:rPr>
      <w:rFonts w:ascii="Times New Roman" w:eastAsia="Times New Roman" w:hAnsi="Times New Roman"/>
      <w:lang w:val="en-US"/>
    </w:rPr>
  </w:style>
  <w:style w:type="paragraph" w:customStyle="1" w:styleId="listparagraphcxspmiddle">
    <w:name w:val="listparagraphcxspmiddle"/>
    <w:basedOn w:val="Normal"/>
    <w:rsid w:val="00C9597C"/>
    <w:pPr>
      <w:spacing w:before="100" w:beforeAutospacing="1" w:after="100" w:afterAutospacing="1"/>
    </w:pPr>
    <w:rPr>
      <w:rFonts w:ascii="Times New Roman" w:eastAsia="Times New Roman" w:hAnsi="Times New Roman"/>
      <w:lang w:val="en-US"/>
    </w:rPr>
  </w:style>
  <w:style w:type="paragraph" w:customStyle="1" w:styleId="listparagraphcxsplast">
    <w:name w:val="listparagraphcxsplast"/>
    <w:basedOn w:val="Normal"/>
    <w:rsid w:val="00C9597C"/>
    <w:pPr>
      <w:spacing w:before="100" w:beforeAutospacing="1" w:after="100" w:afterAutospacing="1"/>
    </w:pPr>
    <w:rPr>
      <w:rFonts w:ascii="Times New Roman" w:eastAsia="Times New Roman" w:hAnsi="Times New Roman"/>
      <w:lang w:val="en-US"/>
    </w:rPr>
  </w:style>
  <w:style w:type="paragraph" w:customStyle="1" w:styleId="style3">
    <w:name w:val="style3"/>
    <w:basedOn w:val="Normal"/>
    <w:rsid w:val="00C9597C"/>
    <w:pPr>
      <w:spacing w:before="100" w:beforeAutospacing="1" w:after="100" w:afterAutospacing="1"/>
    </w:pPr>
    <w:rPr>
      <w:rFonts w:ascii="Arial" w:eastAsia="Times New Roman" w:hAnsi="Arial" w:cs="Arial"/>
      <w:sz w:val="21"/>
      <w:szCs w:val="21"/>
      <w:lang w:val="en-US"/>
    </w:rPr>
  </w:style>
  <w:style w:type="paragraph" w:customStyle="1" w:styleId="style15">
    <w:name w:val="style15"/>
    <w:basedOn w:val="Normal"/>
    <w:rsid w:val="00C9597C"/>
    <w:pPr>
      <w:spacing w:before="100" w:beforeAutospacing="1" w:after="100" w:afterAutospacing="1"/>
    </w:pPr>
    <w:rPr>
      <w:rFonts w:ascii="Arial" w:eastAsia="Times New Roman" w:hAnsi="Arial" w:cs="Arial"/>
      <w:sz w:val="23"/>
      <w:szCs w:val="23"/>
      <w:lang w:val="en-US"/>
    </w:rPr>
  </w:style>
  <w:style w:type="character" w:styleId="FollowedHyperlink">
    <w:name w:val="FollowedHyperlink"/>
    <w:uiPriority w:val="99"/>
    <w:unhideWhenUsed/>
    <w:rsid w:val="00C9597C"/>
    <w:rPr>
      <w:color w:val="800080"/>
      <w:u w:val="single"/>
    </w:rPr>
  </w:style>
  <w:style w:type="character" w:customStyle="1" w:styleId="style151">
    <w:name w:val="style151"/>
    <w:rsid w:val="00C9597C"/>
    <w:rPr>
      <w:rFonts w:ascii="Arial" w:hAnsi="Arial" w:cs="Arial" w:hint="default"/>
      <w:sz w:val="23"/>
      <w:szCs w:val="23"/>
    </w:rPr>
  </w:style>
  <w:style w:type="paragraph" w:customStyle="1" w:styleId="style17">
    <w:name w:val="style17"/>
    <w:basedOn w:val="Normal"/>
    <w:rsid w:val="00C9597C"/>
    <w:pPr>
      <w:spacing w:before="100" w:beforeAutospacing="1" w:after="100" w:afterAutospacing="1"/>
    </w:pPr>
    <w:rPr>
      <w:rFonts w:ascii="Arial" w:eastAsia="Times New Roman" w:hAnsi="Arial" w:cs="Arial"/>
      <w:sz w:val="27"/>
      <w:szCs w:val="27"/>
      <w:lang w:val="en-US"/>
    </w:rPr>
  </w:style>
  <w:style w:type="character" w:customStyle="1" w:styleId="style171">
    <w:name w:val="style171"/>
    <w:rsid w:val="00C9597C"/>
    <w:rPr>
      <w:rFonts w:ascii="Arial" w:hAnsi="Arial" w:cs="Arial" w:hint="default"/>
      <w:sz w:val="27"/>
      <w:szCs w:val="27"/>
    </w:rPr>
  </w:style>
  <w:style w:type="character" w:customStyle="1" w:styleId="style141">
    <w:name w:val="style141"/>
    <w:rsid w:val="00C9597C"/>
    <w:rPr>
      <w:rFonts w:ascii="Arial" w:hAnsi="Arial" w:cs="Arial" w:hint="default"/>
      <w:sz w:val="27"/>
      <w:szCs w:val="27"/>
    </w:rPr>
  </w:style>
  <w:style w:type="character" w:customStyle="1" w:styleId="style161">
    <w:name w:val="style161"/>
    <w:rsid w:val="00C9597C"/>
    <w:rPr>
      <w:color w:val="000000"/>
    </w:rPr>
  </w:style>
  <w:style w:type="paragraph" w:customStyle="1" w:styleId="style22">
    <w:name w:val="style22"/>
    <w:basedOn w:val="Normal"/>
    <w:rsid w:val="00C9597C"/>
    <w:pPr>
      <w:spacing w:before="100" w:beforeAutospacing="1" w:after="100" w:afterAutospacing="1"/>
    </w:pPr>
    <w:rPr>
      <w:rFonts w:ascii="Arial" w:eastAsia="Times New Roman" w:hAnsi="Arial" w:cs="Arial"/>
      <w:sz w:val="22"/>
      <w:szCs w:val="22"/>
      <w:lang w:val="en-US"/>
    </w:rPr>
  </w:style>
  <w:style w:type="paragraph" w:customStyle="1" w:styleId="CharCharCharCharCharCharCharCharCharCharCharCharCharCharCharCharCharCharCharCharChar">
    <w:name w:val="Char Char Char Char Char Char Char Char Char Char Char Char Char Char Char Char Char Char Char Char Char"/>
    <w:basedOn w:val="Normal"/>
    <w:rsid w:val="00C9597C"/>
    <w:pPr>
      <w:spacing w:after="160" w:line="240" w:lineRule="exact"/>
    </w:pPr>
    <w:rPr>
      <w:rFonts w:ascii="Verdana" w:eastAsia="Times New Roman" w:hAnsi="Verdana"/>
      <w:sz w:val="20"/>
      <w:szCs w:val="20"/>
      <w:lang w:val="en-US"/>
    </w:rPr>
  </w:style>
  <w:style w:type="character" w:customStyle="1" w:styleId="style221">
    <w:name w:val="style221"/>
    <w:rsid w:val="00C9597C"/>
    <w:rPr>
      <w:rFonts w:ascii="Arial" w:hAnsi="Arial" w:cs="Arial" w:hint="default"/>
      <w:sz w:val="22"/>
      <w:szCs w:val="22"/>
    </w:rPr>
  </w:style>
  <w:style w:type="paragraph" w:customStyle="1" w:styleId="style32">
    <w:name w:val="style32"/>
    <w:basedOn w:val="Normal"/>
    <w:rsid w:val="00C9597C"/>
    <w:pPr>
      <w:spacing w:before="100" w:beforeAutospacing="1" w:after="100" w:afterAutospacing="1"/>
    </w:pPr>
    <w:rPr>
      <w:rFonts w:ascii="Arial" w:eastAsia="Times New Roman" w:hAnsi="Arial" w:cs="Arial"/>
      <w:lang w:val="en-US"/>
    </w:rPr>
  </w:style>
  <w:style w:type="character" w:customStyle="1" w:styleId="style311">
    <w:name w:val="style311"/>
    <w:qFormat/>
    <w:rsid w:val="00C9597C"/>
    <w:rPr>
      <w:sz w:val="24"/>
      <w:szCs w:val="24"/>
    </w:rPr>
  </w:style>
  <w:style w:type="character" w:customStyle="1" w:styleId="style331">
    <w:name w:val="style331"/>
    <w:rsid w:val="00C9597C"/>
    <w:rPr>
      <w:rFonts w:ascii="Calibri" w:hAnsi="Calibri" w:cs="Calibri" w:hint="default"/>
      <w:sz w:val="27"/>
      <w:szCs w:val="27"/>
    </w:rPr>
  </w:style>
  <w:style w:type="character" w:customStyle="1" w:styleId="style31">
    <w:name w:val="style31"/>
    <w:basedOn w:val="DefaultParagraphFont"/>
    <w:rsid w:val="00C9597C"/>
  </w:style>
  <w:style w:type="character" w:customStyle="1" w:styleId="style37">
    <w:name w:val="style37"/>
    <w:basedOn w:val="DefaultParagraphFont"/>
    <w:rsid w:val="00C9597C"/>
  </w:style>
  <w:style w:type="table" w:styleId="MediumGrid3-Accent1">
    <w:name w:val="Medium Grid 3 Accent 1"/>
    <w:basedOn w:val="TableNormal"/>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body">
    <w:name w:val="body"/>
    <w:basedOn w:val="Normal"/>
    <w:rsid w:val="00C9597C"/>
    <w:pPr>
      <w:spacing w:before="100" w:beforeAutospacing="1" w:after="100" w:afterAutospacing="1"/>
      <w:jc w:val="both"/>
    </w:pPr>
    <w:rPr>
      <w:rFonts w:ascii="Times New Roman" w:eastAsia="Times New Roman" w:hAnsi="Times New Roman"/>
      <w:lang w:eastAsia="en-GB"/>
    </w:rPr>
  </w:style>
  <w:style w:type="paragraph" w:customStyle="1" w:styleId="default0">
    <w:name w:val="default"/>
    <w:basedOn w:val="Normal"/>
    <w:rsid w:val="00C9597C"/>
    <w:pPr>
      <w:spacing w:before="100" w:beforeAutospacing="1" w:after="100" w:afterAutospacing="1"/>
    </w:pPr>
    <w:rPr>
      <w:rFonts w:ascii="Times New Roman" w:eastAsia="Times New Roman" w:hAnsi="Times New Roman"/>
      <w:lang w:val="en-US"/>
    </w:rPr>
  </w:style>
  <w:style w:type="paragraph" w:customStyle="1" w:styleId="style34">
    <w:name w:val="style34"/>
    <w:basedOn w:val="Normal"/>
    <w:uiPriority w:val="99"/>
    <w:rsid w:val="00C9597C"/>
    <w:pPr>
      <w:spacing w:before="100" w:beforeAutospacing="1" w:after="100" w:afterAutospacing="1"/>
    </w:pPr>
    <w:rPr>
      <w:rFonts w:ascii="Times New Roman" w:eastAsia="Calibri" w:hAnsi="Times New Roman"/>
      <w:lang w:val="en-US"/>
    </w:rPr>
  </w:style>
  <w:style w:type="paragraph" w:customStyle="1" w:styleId="style361">
    <w:name w:val="style361"/>
    <w:basedOn w:val="Normal"/>
    <w:uiPriority w:val="99"/>
    <w:rsid w:val="00C9597C"/>
    <w:pPr>
      <w:spacing w:before="100" w:beforeAutospacing="1" w:after="100" w:afterAutospacing="1"/>
    </w:pPr>
    <w:rPr>
      <w:rFonts w:ascii="Times New Roman" w:eastAsia="Calibri" w:hAnsi="Times New Roman"/>
      <w:lang w:val="en-US"/>
    </w:rPr>
  </w:style>
  <w:style w:type="character" w:customStyle="1" w:styleId="style36">
    <w:name w:val="style36"/>
    <w:basedOn w:val="DefaultParagraphFont"/>
    <w:rsid w:val="00C9597C"/>
  </w:style>
  <w:style w:type="character" w:styleId="CommentReference">
    <w:name w:val="annotation reference"/>
    <w:uiPriority w:val="99"/>
    <w:unhideWhenUsed/>
    <w:qFormat/>
    <w:rsid w:val="00C9597C"/>
    <w:rPr>
      <w:sz w:val="16"/>
      <w:szCs w:val="16"/>
    </w:rPr>
  </w:style>
  <w:style w:type="paragraph" w:styleId="CommentText">
    <w:name w:val="annotation text"/>
    <w:basedOn w:val="Normal"/>
    <w:link w:val="CommentTextChar"/>
    <w:uiPriority w:val="99"/>
    <w:unhideWhenUsed/>
    <w:qFormat/>
    <w:rsid w:val="00C9597C"/>
    <w:pPr>
      <w:spacing w:after="200"/>
    </w:pPr>
    <w:rPr>
      <w:rFonts w:ascii="Calibri" w:eastAsia="Calibri" w:hAnsi="Calibri"/>
      <w:sz w:val="20"/>
      <w:szCs w:val="20"/>
      <w:lang w:val="en-US"/>
    </w:rPr>
  </w:style>
  <w:style w:type="character" w:customStyle="1" w:styleId="CommentTextChar">
    <w:name w:val="Comment Text Char"/>
    <w:basedOn w:val="DefaultParagraphFont"/>
    <w:link w:val="CommentText"/>
    <w:uiPriority w:val="99"/>
    <w:rsid w:val="00C9597C"/>
    <w:rPr>
      <w:rFonts w:ascii="Calibri" w:eastAsia="Calibri" w:hAnsi="Calibri"/>
      <w:sz w:val="20"/>
      <w:szCs w:val="20"/>
      <w:lang w:val="en-US"/>
    </w:rPr>
  </w:style>
  <w:style w:type="paragraph" w:styleId="CommentSubject">
    <w:name w:val="annotation subject"/>
    <w:basedOn w:val="CommentText"/>
    <w:next w:val="CommentText"/>
    <w:link w:val="CommentSubjectChar"/>
    <w:uiPriority w:val="99"/>
    <w:unhideWhenUsed/>
    <w:qFormat/>
    <w:rsid w:val="00C9597C"/>
    <w:rPr>
      <w:b/>
      <w:bCs/>
    </w:rPr>
  </w:style>
  <w:style w:type="character" w:customStyle="1" w:styleId="CommentSubjectChar">
    <w:name w:val="Comment Subject Char"/>
    <w:basedOn w:val="CommentTextChar"/>
    <w:link w:val="CommentSubject"/>
    <w:uiPriority w:val="99"/>
    <w:rsid w:val="00C9597C"/>
    <w:rPr>
      <w:rFonts w:ascii="Calibri" w:eastAsia="Calibri" w:hAnsi="Calibri"/>
      <w:b/>
      <w:bCs/>
      <w:sz w:val="20"/>
      <w:szCs w:val="20"/>
      <w:lang w:val="en-US"/>
    </w:rPr>
  </w:style>
  <w:style w:type="character" w:customStyle="1" w:styleId="BalloonTextChar1">
    <w:name w:val="Balloon Text Char1"/>
    <w:uiPriority w:val="99"/>
    <w:rsid w:val="00C9597C"/>
    <w:rPr>
      <w:rFonts w:ascii="Tahoma" w:hAnsi="Tahoma" w:cs="Tahoma"/>
      <w:sz w:val="16"/>
      <w:szCs w:val="16"/>
      <w:lang w:val="en-GB"/>
    </w:rPr>
  </w:style>
  <w:style w:type="character" w:customStyle="1" w:styleId="CommentTextChar1">
    <w:name w:val="Comment Text Char1"/>
    <w:uiPriority w:val="99"/>
    <w:rsid w:val="00C9597C"/>
    <w:rPr>
      <w:sz w:val="20"/>
      <w:szCs w:val="20"/>
      <w:lang w:val="en-GB"/>
    </w:rPr>
  </w:style>
  <w:style w:type="character" w:customStyle="1" w:styleId="CommentSubjectChar1">
    <w:name w:val="Comment Subject Char1"/>
    <w:uiPriority w:val="99"/>
    <w:rsid w:val="00C9597C"/>
    <w:rPr>
      <w:b/>
      <w:bCs/>
      <w:sz w:val="20"/>
      <w:szCs w:val="20"/>
      <w:lang w:val="en-GB"/>
    </w:rPr>
  </w:style>
  <w:style w:type="paragraph" w:customStyle="1" w:styleId="style119">
    <w:name w:val="style119"/>
    <w:basedOn w:val="Normal"/>
    <w:rsid w:val="00C9597C"/>
    <w:pPr>
      <w:spacing w:before="100" w:beforeAutospacing="1" w:after="100" w:afterAutospacing="1"/>
    </w:pPr>
    <w:rPr>
      <w:rFonts w:ascii="Arial" w:eastAsia="Calibri" w:hAnsi="Arial" w:cs="Arial"/>
      <w:sz w:val="20"/>
      <w:szCs w:val="20"/>
      <w:lang w:val="en-US" w:bidi="hi-IN"/>
    </w:rPr>
  </w:style>
  <w:style w:type="paragraph" w:customStyle="1" w:styleId="style120">
    <w:name w:val="style120"/>
    <w:basedOn w:val="Normal"/>
    <w:rsid w:val="00C9597C"/>
    <w:pPr>
      <w:spacing w:before="100" w:beforeAutospacing="1" w:after="100" w:afterAutospacing="1"/>
    </w:pPr>
    <w:rPr>
      <w:rFonts w:ascii="Times New Roman" w:eastAsia="Calibri" w:hAnsi="Times New Roman"/>
      <w:sz w:val="20"/>
      <w:szCs w:val="20"/>
      <w:lang w:val="en-US" w:bidi="hi-IN"/>
    </w:rPr>
  </w:style>
  <w:style w:type="character" w:customStyle="1" w:styleId="style1201">
    <w:name w:val="style1201"/>
    <w:rsid w:val="00C9597C"/>
    <w:rPr>
      <w:sz w:val="20"/>
      <w:szCs w:val="20"/>
    </w:rPr>
  </w:style>
  <w:style w:type="character" w:customStyle="1" w:styleId="style1191">
    <w:name w:val="style1191"/>
    <w:rsid w:val="00C9597C"/>
    <w:rPr>
      <w:rFonts w:ascii="Arial" w:hAnsi="Arial" w:cs="Arial" w:hint="default"/>
      <w:sz w:val="20"/>
      <w:szCs w:val="20"/>
    </w:rPr>
  </w:style>
  <w:style w:type="character" w:customStyle="1" w:styleId="Heading1Char1">
    <w:name w:val="Heading 1 Char1"/>
    <w:aliases w:val="Garamond Char1"/>
    <w:uiPriority w:val="9"/>
    <w:rsid w:val="00C9597C"/>
    <w:rPr>
      <w:rFonts w:ascii="Cambria" w:eastAsia="Times New Roman" w:hAnsi="Cambria" w:cs="Times New Roman"/>
      <w:b/>
      <w:bCs/>
      <w:color w:val="365F91"/>
      <w:sz w:val="28"/>
      <w:szCs w:val="28"/>
      <w:lang w:val="en-GB"/>
    </w:rPr>
  </w:style>
  <w:style w:type="table" w:styleId="MediumGrid1-Accent1">
    <w:name w:val="Medium Grid 1 Accent 1"/>
    <w:basedOn w:val="TableNormal"/>
    <w:uiPriority w:val="67"/>
    <w:qFormat/>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
    <w:name w:val="Light Grid - Accent 11"/>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5">
    <w:name w:val="Light Grid Accent 5"/>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
    <w:name w:val="Light Grid - Accent 12"/>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5">
    <w:name w:val="Light List Accent 5"/>
    <w:basedOn w:val="TableNormal"/>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
    <w:name w:val="Light List - Accent 11"/>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tyle14">
    <w:name w:val="style14"/>
    <w:basedOn w:val="Normal"/>
    <w:uiPriority w:val="99"/>
    <w:rsid w:val="00C9597C"/>
    <w:pPr>
      <w:spacing w:before="100" w:beforeAutospacing="1" w:after="100" w:afterAutospacing="1"/>
    </w:pPr>
    <w:rPr>
      <w:rFonts w:ascii="Arial" w:eastAsia="Calibri" w:hAnsi="Arial" w:cs="Arial"/>
      <w:sz w:val="20"/>
      <w:szCs w:val="20"/>
      <w:lang w:val="en-US" w:bidi="hi-IN"/>
    </w:rPr>
  </w:style>
  <w:style w:type="paragraph" w:customStyle="1" w:styleId="style1">
    <w:name w:val="style1"/>
    <w:basedOn w:val="Normal"/>
    <w:uiPriority w:val="99"/>
    <w:rsid w:val="00C9597C"/>
    <w:pPr>
      <w:spacing w:before="100" w:beforeAutospacing="1" w:after="100" w:afterAutospacing="1"/>
    </w:pPr>
    <w:rPr>
      <w:rFonts w:ascii="Arial" w:eastAsia="Calibri" w:hAnsi="Arial" w:cs="Arial"/>
      <w:sz w:val="20"/>
      <w:szCs w:val="20"/>
      <w:lang w:val="en-US"/>
    </w:rPr>
  </w:style>
  <w:style w:type="paragraph" w:customStyle="1" w:styleId="paraattribute2">
    <w:name w:val="paraattribute2"/>
    <w:basedOn w:val="Normal"/>
    <w:rsid w:val="00C9597C"/>
    <w:pPr>
      <w:spacing w:before="100" w:beforeAutospacing="1" w:after="100" w:afterAutospacing="1"/>
    </w:pPr>
    <w:rPr>
      <w:rFonts w:ascii="Times New Roman" w:eastAsia="Times New Roman" w:hAnsi="Times New Roman"/>
      <w:lang w:val="en-US" w:bidi="hi-IN"/>
    </w:rPr>
  </w:style>
  <w:style w:type="paragraph" w:customStyle="1" w:styleId="bodytext20">
    <w:name w:val="bodytext20"/>
    <w:basedOn w:val="Normal"/>
    <w:rsid w:val="00C9597C"/>
    <w:pPr>
      <w:spacing w:before="100" w:beforeAutospacing="1" w:after="100" w:afterAutospacing="1"/>
    </w:pPr>
    <w:rPr>
      <w:rFonts w:ascii="Times New Roman" w:eastAsia="Times New Roman" w:hAnsi="Times New Roman"/>
      <w:lang w:val="en-US" w:bidi="hi-IN"/>
    </w:rPr>
  </w:style>
  <w:style w:type="paragraph" w:customStyle="1" w:styleId="bodytext0">
    <w:name w:val="bodytext0"/>
    <w:basedOn w:val="Normal"/>
    <w:rsid w:val="00C9597C"/>
    <w:pPr>
      <w:spacing w:before="100" w:beforeAutospacing="1" w:after="100" w:afterAutospacing="1"/>
    </w:pPr>
    <w:rPr>
      <w:rFonts w:ascii="Times New Roman" w:eastAsia="Times New Roman" w:hAnsi="Times New Roman"/>
      <w:lang w:val="en-US"/>
    </w:rPr>
  </w:style>
  <w:style w:type="character" w:customStyle="1" w:styleId="style38">
    <w:name w:val="style38"/>
    <w:basedOn w:val="DefaultParagraphFont"/>
    <w:rsid w:val="00C9597C"/>
  </w:style>
  <w:style w:type="paragraph" w:customStyle="1" w:styleId="style49">
    <w:name w:val="style49"/>
    <w:basedOn w:val="Normal"/>
    <w:uiPriority w:val="99"/>
    <w:rsid w:val="00C9597C"/>
    <w:pPr>
      <w:spacing w:before="100" w:beforeAutospacing="1" w:after="100" w:afterAutospacing="1"/>
    </w:pPr>
    <w:rPr>
      <w:rFonts w:ascii="Times New Roman" w:eastAsia="Calibri" w:hAnsi="Times New Roman"/>
      <w:sz w:val="20"/>
      <w:szCs w:val="20"/>
      <w:lang w:val="en-US" w:bidi="hi-IN"/>
    </w:rPr>
  </w:style>
  <w:style w:type="character" w:customStyle="1" w:styleId="style1361">
    <w:name w:val="style1361"/>
    <w:rsid w:val="00C9597C"/>
    <w:rPr>
      <w:b/>
      <w:bCs/>
    </w:rPr>
  </w:style>
  <w:style w:type="character" w:customStyle="1" w:styleId="style1351">
    <w:name w:val="style1351"/>
    <w:rsid w:val="00C9597C"/>
    <w:rPr>
      <w:b/>
      <w:bCs/>
    </w:rPr>
  </w:style>
  <w:style w:type="character" w:customStyle="1" w:styleId="style1341">
    <w:name w:val="style1341"/>
    <w:rsid w:val="00C9597C"/>
    <w:rPr>
      <w:b/>
      <w:bCs/>
    </w:rPr>
  </w:style>
  <w:style w:type="character" w:customStyle="1" w:styleId="style1331">
    <w:name w:val="style1331"/>
    <w:rsid w:val="00C9597C"/>
    <w:rPr>
      <w:b/>
      <w:bCs/>
    </w:rPr>
  </w:style>
  <w:style w:type="character" w:customStyle="1" w:styleId="style1321">
    <w:name w:val="style1321"/>
    <w:qFormat/>
    <w:rsid w:val="00C9597C"/>
    <w:rPr>
      <w:b/>
      <w:bCs/>
    </w:rPr>
  </w:style>
  <w:style w:type="character" w:customStyle="1" w:styleId="style1311">
    <w:name w:val="style1311"/>
    <w:rsid w:val="00C9597C"/>
    <w:rPr>
      <w:b/>
      <w:bCs/>
    </w:rPr>
  </w:style>
  <w:style w:type="character" w:customStyle="1" w:styleId="style201">
    <w:name w:val="style201"/>
    <w:rsid w:val="00C9597C"/>
    <w:rPr>
      <w:b/>
      <w:bCs/>
    </w:rPr>
  </w:style>
  <w:style w:type="character" w:customStyle="1" w:styleId="style191">
    <w:name w:val="style191"/>
    <w:rsid w:val="00C9597C"/>
    <w:rPr>
      <w:b/>
      <w:bCs/>
    </w:rPr>
  </w:style>
  <w:style w:type="character" w:customStyle="1" w:styleId="style181">
    <w:name w:val="style181"/>
    <w:rsid w:val="00C9597C"/>
    <w:rPr>
      <w:b/>
      <w:bCs/>
    </w:rPr>
  </w:style>
  <w:style w:type="table" w:customStyle="1" w:styleId="LightGrid-Accent13">
    <w:name w:val="Light Grid - Accent 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style291">
    <w:name w:val="style291"/>
    <w:rsid w:val="00C9597C"/>
    <w:rPr>
      <w:rFonts w:ascii="Arial" w:hAnsi="Arial" w:cs="Arial" w:hint="default"/>
    </w:rPr>
  </w:style>
  <w:style w:type="paragraph" w:customStyle="1" w:styleId="style2">
    <w:name w:val="style2"/>
    <w:basedOn w:val="Normal"/>
    <w:uiPriority w:val="99"/>
    <w:rsid w:val="00C9597C"/>
    <w:pPr>
      <w:spacing w:before="100" w:beforeAutospacing="1" w:after="100" w:afterAutospacing="1"/>
    </w:pPr>
    <w:rPr>
      <w:rFonts w:ascii="Times New Roman" w:eastAsia="Calibri" w:hAnsi="Times New Roman"/>
      <w:b/>
      <w:bCs/>
      <w:sz w:val="20"/>
      <w:szCs w:val="20"/>
      <w:lang w:val="en-US"/>
    </w:rPr>
  </w:style>
  <w:style w:type="character" w:customStyle="1" w:styleId="ListParagraphChar">
    <w:name w:val="List Paragraph Char"/>
    <w:aliases w:val="lp1 Char,elenco Char,Equipment Char,Figure_name Char,List Paragraph Char Char Char,List Paragraph1 Char,List Paragraph11 Char,List Paragraph2 Char,List_TIS Char,Normal Sentence Char,Number_1 Char,Numbered Indented Text Char,Ref Char"/>
    <w:link w:val="ListParagraph"/>
    <w:uiPriority w:val="34"/>
    <w:qFormat/>
    <w:locked/>
    <w:rsid w:val="00C9597C"/>
    <w:rPr>
      <w:rFonts w:ascii="Calibri" w:eastAsia="Calibri" w:hAnsi="Calibri"/>
      <w:sz w:val="20"/>
      <w:szCs w:val="20"/>
      <w:lang w:val="en-US"/>
    </w:rPr>
  </w:style>
  <w:style w:type="table" w:styleId="MediumGrid1-Accent3">
    <w:name w:val="Medium Grid 1 Accent 3"/>
    <w:basedOn w:val="TableNormal"/>
    <w:uiPriority w:val="67"/>
    <w:qFormat/>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paragraph">
    <w:name w:val="paragraph"/>
    <w:basedOn w:val="Normal"/>
    <w:rsid w:val="00C9597C"/>
    <w:pPr>
      <w:spacing w:before="100" w:beforeAutospacing="1" w:after="100" w:afterAutospacing="1"/>
    </w:pPr>
    <w:rPr>
      <w:rFonts w:ascii="Times New Roman" w:eastAsia="Times New Roman" w:hAnsi="Times New Roman"/>
      <w:lang w:val="en-US"/>
    </w:rPr>
  </w:style>
  <w:style w:type="character" w:customStyle="1" w:styleId="ilad">
    <w:name w:val="il_ad"/>
    <w:basedOn w:val="DefaultParagraphFont"/>
    <w:rsid w:val="00C9597C"/>
  </w:style>
  <w:style w:type="paragraph" w:customStyle="1" w:styleId="s8">
    <w:name w:val="s8"/>
    <w:basedOn w:val="Normal"/>
    <w:rsid w:val="00C9597C"/>
    <w:pPr>
      <w:spacing w:before="100" w:beforeAutospacing="1" w:after="100" w:afterAutospacing="1"/>
    </w:pPr>
    <w:rPr>
      <w:rFonts w:ascii="Times New Roman" w:eastAsia="Times New Roman" w:hAnsi="Times New Roman"/>
      <w:lang w:val="en-US"/>
    </w:rPr>
  </w:style>
  <w:style w:type="character" w:customStyle="1" w:styleId="s7">
    <w:name w:val="s7"/>
    <w:basedOn w:val="DefaultParagraphFont"/>
    <w:rsid w:val="00C9597C"/>
  </w:style>
  <w:style w:type="paragraph" w:customStyle="1" w:styleId="s10">
    <w:name w:val="s10"/>
    <w:basedOn w:val="Normal"/>
    <w:rsid w:val="00C9597C"/>
    <w:pPr>
      <w:spacing w:before="100" w:beforeAutospacing="1" w:after="100" w:afterAutospacing="1"/>
    </w:pPr>
    <w:rPr>
      <w:rFonts w:ascii="Times New Roman" w:eastAsia="Times New Roman" w:hAnsi="Times New Roman"/>
      <w:lang w:val="en-US"/>
    </w:rPr>
  </w:style>
  <w:style w:type="numbering" w:customStyle="1" w:styleId="NoList1">
    <w:name w:val="No List1"/>
    <w:next w:val="NoList"/>
    <w:uiPriority w:val="99"/>
    <w:unhideWhenUsed/>
    <w:rsid w:val="00C9597C"/>
  </w:style>
  <w:style w:type="table" w:customStyle="1" w:styleId="MediumGrid1-Accent11">
    <w:name w:val="Medium Grid 1 - Accent 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
    <w:name w:val="Light Grid - Accent 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
    <w:name w:val="Light Grid - Accent 5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
    <w:name w:val="Light Grid - Accent 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
    <w:name w:val="Light List - Accent 5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
    <w:name w:val="Light List - Accent 1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
    <w:name w:val="Light Grid - Accent 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
    <w:name w:val="Medium Grid 1 - Accent 31"/>
    <w:basedOn w:val="TableNormal"/>
    <w:next w:val="MediumGrid1-Accent3"/>
    <w:uiPriority w:val="67"/>
    <w:qFormat/>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
    <w:name w:val="Grid Table 4 - Accent 3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styleId="Revision">
    <w:name w:val="Revision"/>
    <w:hidden/>
    <w:uiPriority w:val="99"/>
    <w:rsid w:val="00C9597C"/>
    <w:rPr>
      <w:rFonts w:ascii="Calibri" w:eastAsia="Calibri" w:hAnsi="Calibri"/>
      <w:sz w:val="22"/>
      <w:szCs w:val="22"/>
      <w:lang w:val="en-US"/>
    </w:rPr>
  </w:style>
  <w:style w:type="numbering" w:customStyle="1" w:styleId="NoList2">
    <w:name w:val="No List2"/>
    <w:next w:val="NoList"/>
    <w:uiPriority w:val="99"/>
    <w:unhideWhenUsed/>
    <w:rsid w:val="00C9597C"/>
  </w:style>
  <w:style w:type="table" w:customStyle="1" w:styleId="MediumGrid1-Accent12">
    <w:name w:val="Medium Grid 1 - Accent 12"/>
    <w:basedOn w:val="TableNormal"/>
    <w:next w:val="MediumGrid1-Accent1"/>
    <w:uiPriority w:val="67"/>
    <w:rsid w:val="00C9597C"/>
    <w:pPr>
      <w:jc w:val="both"/>
    </w:pPr>
    <w:rPr>
      <w:rFonts w:ascii="Times New Roman" w:hAnsi="Times New Roman"/>
      <w:lang w:val="en-IN"/>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2">
    <w:name w:val="Light Grid - Accent 112"/>
    <w:basedOn w:val="TableNormal"/>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2">
    <w:name w:val="Light Grid - Accent 52"/>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2">
    <w:name w:val="Light Grid - Accent 122"/>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2">
    <w:name w:val="Light List - Accent 52"/>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2">
    <w:name w:val="Light List - Accent 112"/>
    <w:basedOn w:val="TableNormal"/>
    <w:uiPriority w:val="61"/>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2">
    <w:name w:val="Light Grid - Accent 132"/>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2">
    <w:name w:val="Medium Grid 1 - Accent 32"/>
    <w:basedOn w:val="TableNormal"/>
    <w:next w:val="MediumGrid1-Accent3"/>
    <w:uiPriority w:val="67"/>
    <w:rsid w:val="00C9597C"/>
    <w:pPr>
      <w:jc w:val="both"/>
    </w:pPr>
    <w:rPr>
      <w:rFonts w:ascii="Times New Roman" w:hAnsi="Times New Roman"/>
      <w:lang w:val="en-I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GridTable4Accent31">
    <w:name w:val="Grid Table 4 Accent 31"/>
    <w:basedOn w:val="TableNormal"/>
    <w:uiPriority w:val="49"/>
    <w:rsid w:val="00C9597C"/>
    <w:pPr>
      <w:jc w:val="both"/>
    </w:pPr>
    <w:rPr>
      <w:rFonts w:ascii="Times New Roman" w:hAnsi="Times New Roman"/>
      <w:lang w:val="en-I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NoList3">
    <w:name w:val="No List3"/>
    <w:next w:val="NoList"/>
    <w:uiPriority w:val="99"/>
    <w:unhideWhenUsed/>
    <w:rsid w:val="00C9597C"/>
  </w:style>
  <w:style w:type="table" w:customStyle="1" w:styleId="MediumGrid1-Accent13">
    <w:name w:val="Medium Grid 1 - Accent 13"/>
    <w:basedOn w:val="TableNormal"/>
    <w:next w:val="MediumGrid1-Accent1"/>
    <w:uiPriority w:val="67"/>
    <w:rsid w:val="00C9597C"/>
    <w:pPr>
      <w:jc w:val="both"/>
    </w:pPr>
    <w:rPr>
      <w:rFonts w:ascii="Times New Roman" w:hAnsi="Times New Roman"/>
      <w:lang w:val="en-IN"/>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3">
    <w:name w:val="Light Grid - Accent 113"/>
    <w:basedOn w:val="TableNormal"/>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3">
    <w:name w:val="Light Grid - Accent 53"/>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3">
    <w:name w:val="Light Grid - Accent 123"/>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3">
    <w:name w:val="Light List - Accent 53"/>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3">
    <w:name w:val="Light List - Accent 113"/>
    <w:basedOn w:val="TableNormal"/>
    <w:uiPriority w:val="61"/>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3">
    <w:name w:val="Light Grid - Accent 133"/>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3">
    <w:name w:val="Medium Grid 1 - Accent 33"/>
    <w:basedOn w:val="TableNormal"/>
    <w:next w:val="MediumGrid1-Accent3"/>
    <w:uiPriority w:val="67"/>
    <w:rsid w:val="00C9597C"/>
    <w:pPr>
      <w:jc w:val="both"/>
    </w:pPr>
    <w:rPr>
      <w:rFonts w:ascii="Times New Roman" w:hAnsi="Times New Roman"/>
      <w:lang w:val="en-I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GridTable4Accent32">
    <w:name w:val="Grid Table 4 Accent 32"/>
    <w:basedOn w:val="TableNormal"/>
    <w:uiPriority w:val="49"/>
    <w:rsid w:val="00C9597C"/>
    <w:pPr>
      <w:jc w:val="both"/>
    </w:pPr>
    <w:rPr>
      <w:rFonts w:ascii="Times New Roman" w:hAnsi="Times New Roman"/>
      <w:lang w:val="en-I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HTMLPreformatted">
    <w:name w:val="HTML Preformatted"/>
    <w:basedOn w:val="Normal"/>
    <w:link w:val="HTMLPreformattedChar"/>
    <w:uiPriority w:val="99"/>
    <w:unhideWhenUsed/>
    <w:qFormat/>
    <w:rsid w:val="00C95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C9597C"/>
    <w:rPr>
      <w:rFonts w:ascii="Courier New" w:eastAsia="Times New Roman" w:hAnsi="Courier New" w:cs="Courier New"/>
      <w:sz w:val="20"/>
      <w:szCs w:val="20"/>
      <w:lang w:val="en-US"/>
    </w:rPr>
  </w:style>
  <w:style w:type="character" w:customStyle="1" w:styleId="unicode">
    <w:name w:val="unicode"/>
    <w:basedOn w:val="DefaultParagraphFont"/>
    <w:rsid w:val="00C9597C"/>
  </w:style>
  <w:style w:type="character" w:customStyle="1" w:styleId="fn">
    <w:name w:val="fn"/>
    <w:basedOn w:val="DefaultParagraphFont"/>
    <w:rsid w:val="00C9597C"/>
  </w:style>
  <w:style w:type="table" w:customStyle="1" w:styleId="TableGrid1">
    <w:name w:val="Table Grid1"/>
    <w:basedOn w:val="TableNormal"/>
    <w:next w:val="TableGrid"/>
    <w:uiPriority w:val="39"/>
    <w:rsid w:val="00C9597C"/>
    <w:rPr>
      <w:rFonts w:asciiTheme="minorHAnsi" w:hAnsiTheme="minorHAnsi" w:cstheme="minorBidi"/>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basedOn w:val="DefaultParagraphFont"/>
    <w:rsid w:val="00C9597C"/>
  </w:style>
  <w:style w:type="character" w:customStyle="1" w:styleId="aqj">
    <w:name w:val="aqj"/>
    <w:basedOn w:val="DefaultParagraphFont"/>
    <w:rsid w:val="00C9597C"/>
  </w:style>
  <w:style w:type="character" w:customStyle="1" w:styleId="slc367992977963056178">
    <w:name w:val="sl_c_36799297_79_63056178"/>
    <w:basedOn w:val="DefaultParagraphFont"/>
    <w:rsid w:val="00C9597C"/>
  </w:style>
  <w:style w:type="character" w:customStyle="1" w:styleId="slc3679929710863056178">
    <w:name w:val="sl_c_36799297_108_63056178"/>
    <w:basedOn w:val="DefaultParagraphFont"/>
    <w:rsid w:val="00C9597C"/>
  </w:style>
  <w:style w:type="paragraph" w:styleId="Subtitle">
    <w:name w:val="Subtitle"/>
    <w:basedOn w:val="Normal"/>
    <w:next w:val="Normal"/>
    <w:link w:val="SubtitleChar"/>
    <w:qFormat/>
    <w:rsid w:val="00C9597C"/>
    <w:pPr>
      <w:keepNext/>
      <w:keepLines/>
      <w:spacing w:before="360" w:after="80"/>
      <w:contextualSpacing/>
      <w:jc w:val="both"/>
    </w:pPr>
    <w:rPr>
      <w:rFonts w:ascii="Georgia" w:eastAsia="Georgia" w:hAnsi="Georgia" w:cs="Georgia"/>
      <w:i/>
      <w:color w:val="666666"/>
      <w:sz w:val="48"/>
      <w:szCs w:val="48"/>
      <w:lang w:val="en-IN" w:eastAsia="en-IN"/>
    </w:rPr>
  </w:style>
  <w:style w:type="character" w:customStyle="1" w:styleId="SubtitleChar">
    <w:name w:val="Subtitle Char"/>
    <w:basedOn w:val="DefaultParagraphFont"/>
    <w:link w:val="Subtitle"/>
    <w:rsid w:val="00C9597C"/>
    <w:rPr>
      <w:rFonts w:ascii="Georgia" w:eastAsia="Georgia" w:hAnsi="Georgia" w:cs="Georgia"/>
      <w:i/>
      <w:color w:val="666666"/>
      <w:sz w:val="48"/>
      <w:szCs w:val="48"/>
      <w:lang w:val="en-IN" w:eastAsia="en-IN"/>
    </w:rPr>
  </w:style>
  <w:style w:type="character" w:customStyle="1" w:styleId="lede-headlinehighlighted">
    <w:name w:val="lede-headline__highlighted"/>
    <w:basedOn w:val="DefaultParagraphFont"/>
    <w:rsid w:val="00C9597C"/>
  </w:style>
  <w:style w:type="character" w:customStyle="1" w:styleId="mfirst-letter">
    <w:name w:val="m_first-letter"/>
    <w:basedOn w:val="DefaultParagraphFont"/>
    <w:rsid w:val="00C9597C"/>
  </w:style>
  <w:style w:type="character" w:customStyle="1" w:styleId="dictionary">
    <w:name w:val="dictionary"/>
    <w:basedOn w:val="DefaultParagraphFont"/>
    <w:rsid w:val="00C9597C"/>
  </w:style>
  <w:style w:type="table" w:customStyle="1" w:styleId="TableGrid2">
    <w:name w:val="Table Grid2"/>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unhideWhenUsed/>
    <w:rsid w:val="00C9597C"/>
  </w:style>
  <w:style w:type="table" w:customStyle="1" w:styleId="MediumGrid1-Accent14">
    <w:name w:val="Medium Grid 1 - Accent 14"/>
    <w:basedOn w:val="TableNormal"/>
    <w:next w:val="MediumGrid1-Accent1"/>
    <w:uiPriority w:val="67"/>
    <w:rsid w:val="00C9597C"/>
    <w:pPr>
      <w:jc w:val="both"/>
    </w:pPr>
    <w:rPr>
      <w:rFonts w:ascii="Times New Roman" w:hAnsi="Times New Roman"/>
      <w:lang w:val="en-IN"/>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4">
    <w:name w:val="Light Grid - Accent 114"/>
    <w:basedOn w:val="TableNormal"/>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4">
    <w:name w:val="Light Grid - Accent 54"/>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4">
    <w:name w:val="Light Grid - Accent 124"/>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4">
    <w:name w:val="Light List - Accent 54"/>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4">
    <w:name w:val="Light List - Accent 114"/>
    <w:basedOn w:val="TableNormal"/>
    <w:uiPriority w:val="61"/>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4">
    <w:name w:val="Light Grid - Accent 134"/>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4">
    <w:name w:val="Medium Grid 1 - Accent 34"/>
    <w:basedOn w:val="TableNormal"/>
    <w:next w:val="MediumGrid1-Accent3"/>
    <w:uiPriority w:val="67"/>
    <w:rsid w:val="00C9597C"/>
    <w:pPr>
      <w:jc w:val="both"/>
    </w:pPr>
    <w:rPr>
      <w:rFonts w:ascii="Times New Roman" w:hAnsi="Times New Roman"/>
      <w:lang w:val="en-I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TableGrid3">
    <w:name w:val="Table Grid3"/>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
    <w:name w:val="Medium Grid 3 - Accent 1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
    <w:name w:val="No List11"/>
    <w:next w:val="NoList"/>
    <w:uiPriority w:val="99"/>
    <w:unhideWhenUsed/>
    <w:rsid w:val="00C9597C"/>
  </w:style>
  <w:style w:type="table" w:customStyle="1" w:styleId="MediumGrid1-Accent111">
    <w:name w:val="Medium Grid 1 - Accent 1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
    <w:name w:val="Light Grid - Accent 1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
    <w:name w:val="Light Grid - Accent 51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
    <w:name w:val="Light Grid - Accent 12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
    <w:name w:val="Light List - Accent 51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
    <w:name w:val="Light List - Accent 11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
    <w:name w:val="Light Grid - Accent 13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
    <w:name w:val="Medium Grid 1 - Accent 3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
    <w:name w:val="Grid Table 4 - Accent 31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
    <w:name w:val="No List21"/>
    <w:next w:val="NoList"/>
    <w:uiPriority w:val="99"/>
    <w:unhideWhenUsed/>
    <w:rsid w:val="00C9597C"/>
  </w:style>
  <w:style w:type="table" w:customStyle="1" w:styleId="MediumGrid1-Accent121">
    <w:name w:val="Medium Grid 1 - Accent 121"/>
    <w:basedOn w:val="TableNormal"/>
    <w:next w:val="MediumGrid1-Accent1"/>
    <w:uiPriority w:val="67"/>
    <w:rsid w:val="00C9597C"/>
    <w:pPr>
      <w:jc w:val="both"/>
    </w:pPr>
    <w:rPr>
      <w:rFonts w:ascii="Times New Roman" w:hAnsi="Times New Roman"/>
      <w:lang w:val="en-IN"/>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21">
    <w:name w:val="Light Grid - Accent 1121"/>
    <w:basedOn w:val="TableNormal"/>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21">
    <w:name w:val="Light Grid - Accent 521"/>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21">
    <w:name w:val="Light Grid - Accent 1221"/>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21">
    <w:name w:val="Light List - Accent 521"/>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21">
    <w:name w:val="Light List - Accent 1121"/>
    <w:basedOn w:val="TableNormal"/>
    <w:uiPriority w:val="61"/>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21">
    <w:name w:val="Light Grid - Accent 1321"/>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21">
    <w:name w:val="Medium Grid 1 - Accent 321"/>
    <w:basedOn w:val="TableNormal"/>
    <w:next w:val="MediumGrid1-Accent3"/>
    <w:uiPriority w:val="67"/>
    <w:rsid w:val="00C9597C"/>
    <w:pPr>
      <w:jc w:val="both"/>
    </w:pPr>
    <w:rPr>
      <w:rFonts w:ascii="Times New Roman" w:hAnsi="Times New Roman"/>
      <w:lang w:val="en-I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GridTable4Accent311">
    <w:name w:val="Grid Table 4 Accent 311"/>
    <w:basedOn w:val="TableNormal"/>
    <w:uiPriority w:val="49"/>
    <w:rsid w:val="00C9597C"/>
    <w:pPr>
      <w:jc w:val="both"/>
    </w:pPr>
    <w:rPr>
      <w:rFonts w:ascii="Times New Roman" w:hAnsi="Times New Roman"/>
      <w:lang w:val="en-I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NoList31">
    <w:name w:val="No List31"/>
    <w:next w:val="NoList"/>
    <w:uiPriority w:val="99"/>
    <w:unhideWhenUsed/>
    <w:rsid w:val="00C9597C"/>
  </w:style>
  <w:style w:type="table" w:customStyle="1" w:styleId="MediumGrid1-Accent131">
    <w:name w:val="Medium Grid 1 - Accent 131"/>
    <w:basedOn w:val="TableNormal"/>
    <w:next w:val="MediumGrid1-Accent1"/>
    <w:uiPriority w:val="67"/>
    <w:rsid w:val="00C9597C"/>
    <w:pPr>
      <w:jc w:val="both"/>
    </w:pPr>
    <w:rPr>
      <w:rFonts w:ascii="Times New Roman" w:hAnsi="Times New Roman"/>
      <w:lang w:val="en-IN"/>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31">
    <w:name w:val="Light Grid - Accent 1131"/>
    <w:basedOn w:val="TableNormal"/>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31">
    <w:name w:val="Light Grid - Accent 531"/>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31">
    <w:name w:val="Light Grid - Accent 1231"/>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31">
    <w:name w:val="Light List - Accent 531"/>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31">
    <w:name w:val="Light List - Accent 1131"/>
    <w:basedOn w:val="TableNormal"/>
    <w:uiPriority w:val="61"/>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31">
    <w:name w:val="Light Grid - Accent 1331"/>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31">
    <w:name w:val="Medium Grid 1 - Accent 331"/>
    <w:basedOn w:val="TableNormal"/>
    <w:next w:val="MediumGrid1-Accent3"/>
    <w:uiPriority w:val="67"/>
    <w:rsid w:val="00C9597C"/>
    <w:pPr>
      <w:jc w:val="both"/>
    </w:pPr>
    <w:rPr>
      <w:rFonts w:ascii="Times New Roman" w:hAnsi="Times New Roman"/>
      <w:lang w:val="en-I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GridTable4Accent321">
    <w:name w:val="Grid Table 4 Accent 321"/>
    <w:basedOn w:val="TableNormal"/>
    <w:uiPriority w:val="49"/>
    <w:rsid w:val="00C9597C"/>
    <w:pPr>
      <w:jc w:val="both"/>
    </w:pPr>
    <w:rPr>
      <w:rFonts w:ascii="Times New Roman" w:hAnsi="Times New Roman"/>
      <w:lang w:val="en-I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11">
    <w:name w:val="Table Grid11"/>
    <w:basedOn w:val="TableNormal"/>
    <w:next w:val="TableGrid"/>
    <w:uiPriority w:val="39"/>
    <w:rsid w:val="00C9597C"/>
    <w:rPr>
      <w:rFonts w:asciiTheme="minorHAnsi" w:hAnsiTheme="minorHAnsi" w:cstheme="minorBidi"/>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unhideWhenUsed/>
    <w:rsid w:val="00C9597C"/>
  </w:style>
  <w:style w:type="table" w:customStyle="1" w:styleId="TableGrid4">
    <w:name w:val="Table Grid4"/>
    <w:basedOn w:val="TableNormal"/>
    <w:next w:val="TableGrid"/>
    <w:uiPriority w:val="5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2">
    <w:name w:val="Medium Grid 3 - Accent 12"/>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5">
    <w:name w:val="Medium Grid 1 - Accent 15"/>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5">
    <w:name w:val="Light Grid - Accent 115"/>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5">
    <w:name w:val="Light Grid - Accent 55"/>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5">
    <w:name w:val="Light Grid - Accent 125"/>
    <w:basedOn w:val="TableNormal"/>
    <w:uiPriority w:val="62"/>
    <w:qFormat/>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5">
    <w:name w:val="Light List - Accent 55"/>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
    <w:name w:val="Light List - Accent 115"/>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5">
    <w:name w:val="Light Grid - Accent 13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5">
    <w:name w:val="Medium Grid 1 - Accent 3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2">
    <w:name w:val="No List12"/>
    <w:next w:val="NoList"/>
    <w:uiPriority w:val="99"/>
    <w:unhideWhenUsed/>
    <w:rsid w:val="00C9597C"/>
  </w:style>
  <w:style w:type="table" w:customStyle="1" w:styleId="MediumGrid1-Accent112">
    <w:name w:val="Medium Grid 1 - Accent 112"/>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2">
    <w:name w:val="Light Grid - Accent 11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2">
    <w:name w:val="Light Grid - Accent 512"/>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2">
    <w:name w:val="Light Grid - Accent 12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2">
    <w:name w:val="Light List - Accent 512"/>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
    <w:name w:val="Light List - Accent 1112"/>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2">
    <w:name w:val="Light Grid - Accent 13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2">
    <w:name w:val="Medium Grid 1 - Accent 312"/>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2">
    <w:name w:val="Grid Table 4 - Accent 312"/>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2">
    <w:name w:val="No List22"/>
    <w:next w:val="NoList"/>
    <w:uiPriority w:val="99"/>
    <w:unhideWhenUsed/>
    <w:rsid w:val="00C9597C"/>
  </w:style>
  <w:style w:type="table" w:customStyle="1" w:styleId="MediumGrid1-Accent122">
    <w:name w:val="Medium Grid 1 - Accent 122"/>
    <w:basedOn w:val="TableNormal"/>
    <w:next w:val="MediumGrid1-Accent1"/>
    <w:uiPriority w:val="67"/>
    <w:rsid w:val="00C9597C"/>
    <w:pPr>
      <w:jc w:val="both"/>
    </w:pPr>
    <w:rPr>
      <w:rFonts w:ascii="Times New Roman" w:hAnsi="Times New Roman"/>
      <w:lang w:val="en-IN"/>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22">
    <w:name w:val="Light Grid - Accent 1122"/>
    <w:basedOn w:val="TableNormal"/>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22">
    <w:name w:val="Light Grid - Accent 522"/>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22">
    <w:name w:val="Light Grid - Accent 1222"/>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22">
    <w:name w:val="Light List - Accent 522"/>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22">
    <w:name w:val="Light List - Accent 1122"/>
    <w:basedOn w:val="TableNormal"/>
    <w:uiPriority w:val="61"/>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22">
    <w:name w:val="Light Grid - Accent 1322"/>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22">
    <w:name w:val="Medium Grid 1 - Accent 322"/>
    <w:basedOn w:val="TableNormal"/>
    <w:next w:val="MediumGrid1-Accent3"/>
    <w:uiPriority w:val="67"/>
    <w:rsid w:val="00C9597C"/>
    <w:pPr>
      <w:jc w:val="both"/>
    </w:pPr>
    <w:rPr>
      <w:rFonts w:ascii="Times New Roman" w:hAnsi="Times New Roman"/>
      <w:lang w:val="en-I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GridTable4Accent312">
    <w:name w:val="Grid Table 4 Accent 312"/>
    <w:basedOn w:val="TableNormal"/>
    <w:uiPriority w:val="49"/>
    <w:rsid w:val="00C9597C"/>
    <w:pPr>
      <w:jc w:val="both"/>
    </w:pPr>
    <w:rPr>
      <w:rFonts w:ascii="Times New Roman" w:hAnsi="Times New Roman"/>
      <w:lang w:val="en-I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NoList32">
    <w:name w:val="No List32"/>
    <w:next w:val="NoList"/>
    <w:uiPriority w:val="99"/>
    <w:unhideWhenUsed/>
    <w:rsid w:val="00C9597C"/>
  </w:style>
  <w:style w:type="table" w:customStyle="1" w:styleId="MediumGrid1-Accent132">
    <w:name w:val="Medium Grid 1 - Accent 132"/>
    <w:basedOn w:val="TableNormal"/>
    <w:next w:val="MediumGrid1-Accent1"/>
    <w:uiPriority w:val="67"/>
    <w:rsid w:val="00C9597C"/>
    <w:pPr>
      <w:jc w:val="both"/>
    </w:pPr>
    <w:rPr>
      <w:rFonts w:ascii="Times New Roman" w:hAnsi="Times New Roman"/>
      <w:lang w:val="en-IN"/>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32">
    <w:name w:val="Light Grid - Accent 1132"/>
    <w:basedOn w:val="TableNormal"/>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32">
    <w:name w:val="Light Grid - Accent 532"/>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32">
    <w:name w:val="Light Grid - Accent 1232"/>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32">
    <w:name w:val="Light List - Accent 532"/>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32">
    <w:name w:val="Light List - Accent 1132"/>
    <w:basedOn w:val="TableNormal"/>
    <w:uiPriority w:val="61"/>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32">
    <w:name w:val="Light Grid - Accent 1332"/>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32">
    <w:name w:val="Medium Grid 1 - Accent 332"/>
    <w:basedOn w:val="TableNormal"/>
    <w:next w:val="MediumGrid1-Accent3"/>
    <w:uiPriority w:val="67"/>
    <w:rsid w:val="00C9597C"/>
    <w:pPr>
      <w:jc w:val="both"/>
    </w:pPr>
    <w:rPr>
      <w:rFonts w:ascii="Times New Roman" w:hAnsi="Times New Roman"/>
      <w:lang w:val="en-I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GridTable4Accent322">
    <w:name w:val="Grid Table 4 Accent 322"/>
    <w:basedOn w:val="TableNormal"/>
    <w:uiPriority w:val="49"/>
    <w:rsid w:val="00C9597C"/>
    <w:pPr>
      <w:jc w:val="both"/>
    </w:pPr>
    <w:rPr>
      <w:rFonts w:ascii="Times New Roman" w:hAnsi="Times New Roman"/>
      <w:lang w:val="en-I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12">
    <w:name w:val="Table Grid12"/>
    <w:basedOn w:val="TableNormal"/>
    <w:next w:val="TableGrid"/>
    <w:uiPriority w:val="39"/>
    <w:rsid w:val="00C9597C"/>
    <w:rPr>
      <w:rFonts w:asciiTheme="minorHAnsi" w:hAnsiTheme="minorHAnsi" w:cstheme="minorBidi"/>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unhideWhenUsed/>
    <w:rsid w:val="00C9597C"/>
  </w:style>
  <w:style w:type="table" w:customStyle="1" w:styleId="MediumGrid1-Accent16">
    <w:name w:val="Medium Grid 1 - Accent 16"/>
    <w:basedOn w:val="TableNormal"/>
    <w:next w:val="MediumGrid1-Accent1"/>
    <w:uiPriority w:val="67"/>
    <w:rsid w:val="00C9597C"/>
    <w:pPr>
      <w:jc w:val="both"/>
    </w:pPr>
    <w:rPr>
      <w:rFonts w:ascii="Times New Roman" w:hAnsi="Times New Roman"/>
      <w:lang w:val="en-IN"/>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6">
    <w:name w:val="Light Grid - Accent 116"/>
    <w:basedOn w:val="TableNormal"/>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6">
    <w:name w:val="Light Grid - Accent 56"/>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6">
    <w:name w:val="Light Grid - Accent 126"/>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6">
    <w:name w:val="Light List - Accent 56"/>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6">
    <w:name w:val="Light List - Accent 116"/>
    <w:basedOn w:val="TableNormal"/>
    <w:uiPriority w:val="61"/>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6">
    <w:name w:val="Light Grid - Accent 136"/>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6">
    <w:name w:val="Medium Grid 1 - Accent 36"/>
    <w:basedOn w:val="TableNormal"/>
    <w:next w:val="MediumGrid1-Accent3"/>
    <w:uiPriority w:val="67"/>
    <w:rsid w:val="00C9597C"/>
    <w:pPr>
      <w:jc w:val="both"/>
    </w:pPr>
    <w:rPr>
      <w:rFonts w:ascii="Times New Roman" w:hAnsi="Times New Roman"/>
      <w:lang w:val="en-I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numbering" w:customStyle="1" w:styleId="NoList13">
    <w:name w:val="No List13"/>
    <w:next w:val="NoList"/>
    <w:uiPriority w:val="99"/>
    <w:unhideWhenUsed/>
    <w:rsid w:val="00C9597C"/>
  </w:style>
  <w:style w:type="numbering" w:customStyle="1" w:styleId="NoList23">
    <w:name w:val="No List23"/>
    <w:next w:val="NoList"/>
    <w:uiPriority w:val="99"/>
    <w:unhideWhenUsed/>
    <w:rsid w:val="00C9597C"/>
  </w:style>
  <w:style w:type="numbering" w:customStyle="1" w:styleId="NoList33">
    <w:name w:val="No List33"/>
    <w:next w:val="NoList"/>
    <w:uiPriority w:val="99"/>
    <w:unhideWhenUsed/>
    <w:rsid w:val="00C9597C"/>
  </w:style>
  <w:style w:type="numbering" w:customStyle="1" w:styleId="NoList7">
    <w:name w:val="No List7"/>
    <w:next w:val="NoList"/>
    <w:uiPriority w:val="99"/>
    <w:unhideWhenUsed/>
    <w:rsid w:val="00C9597C"/>
  </w:style>
  <w:style w:type="table" w:customStyle="1" w:styleId="TableGrid5">
    <w:name w:val="Table Grid5"/>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3">
    <w:name w:val="Medium Grid 3 - Accent 13"/>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7">
    <w:name w:val="Medium Grid 1 - Accent 17"/>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7">
    <w:name w:val="Light Grid - Accent 117"/>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7">
    <w:name w:val="Light Grid - Accent 57"/>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7">
    <w:name w:val="Light Grid - Accent 127"/>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7">
    <w:name w:val="Light List - Accent 57"/>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7">
    <w:name w:val="Light List - Accent 117"/>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7">
    <w:name w:val="Light Grid - Accent 137"/>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7">
    <w:name w:val="Medium Grid 1 - Accent 37"/>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4">
    <w:name w:val="No List14"/>
    <w:next w:val="NoList"/>
    <w:uiPriority w:val="99"/>
    <w:unhideWhenUsed/>
    <w:rsid w:val="00C9597C"/>
  </w:style>
  <w:style w:type="table" w:customStyle="1" w:styleId="MediumGrid1-Accent113">
    <w:name w:val="Medium Grid 1 - Accent 113"/>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3">
    <w:name w:val="Light Grid - Accent 11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3">
    <w:name w:val="Light Grid - Accent 513"/>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3">
    <w:name w:val="Light Grid - Accent 12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3">
    <w:name w:val="Light List - Accent 513"/>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
    <w:name w:val="Light List - Accent 1113"/>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3">
    <w:name w:val="Light Grid - Accent 13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3">
    <w:name w:val="Medium Grid 1 - Accent 313"/>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3">
    <w:name w:val="Grid Table 4 - Accent 313"/>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4">
    <w:name w:val="No List24"/>
    <w:next w:val="NoList"/>
    <w:uiPriority w:val="99"/>
    <w:unhideWhenUsed/>
    <w:rsid w:val="00C9597C"/>
  </w:style>
  <w:style w:type="table" w:customStyle="1" w:styleId="MediumGrid1-Accent123">
    <w:name w:val="Medium Grid 1 - Accent 123"/>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3">
    <w:name w:val="Light Grid - Accent 1123"/>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3">
    <w:name w:val="Light Grid - Accent 523"/>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3">
    <w:name w:val="Light Grid - Accent 122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3">
    <w:name w:val="Light List - Accent 523"/>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3">
    <w:name w:val="Light List - Accent 1123"/>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3">
    <w:name w:val="Light Grid - Accent 132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3">
    <w:name w:val="Medium Grid 1 - Accent 323"/>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3">
    <w:name w:val="Grid Table 4 Accent 313"/>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4">
    <w:name w:val="No List34"/>
    <w:next w:val="NoList"/>
    <w:uiPriority w:val="99"/>
    <w:unhideWhenUsed/>
    <w:rsid w:val="00C9597C"/>
  </w:style>
  <w:style w:type="table" w:customStyle="1" w:styleId="MediumGrid1-Accent133">
    <w:name w:val="Medium Grid 1 - Accent 133"/>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3">
    <w:name w:val="Light Grid - Accent 1133"/>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3">
    <w:name w:val="Light Grid - Accent 533"/>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3">
    <w:name w:val="Light Grid - Accent 123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3">
    <w:name w:val="Light List - Accent 533"/>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3">
    <w:name w:val="Light List - Accent 1133"/>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3">
    <w:name w:val="Light Grid - Accent 133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3">
    <w:name w:val="Medium Grid 1 - Accent 333"/>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3">
    <w:name w:val="Grid Table 4 Accent 323"/>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3">
    <w:name w:val="Table Grid13"/>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unhideWhenUsed/>
    <w:rsid w:val="00C9597C"/>
  </w:style>
  <w:style w:type="table" w:customStyle="1" w:styleId="MediumGrid1-Accent141">
    <w:name w:val="Medium Grid 1 - Accent 1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1">
    <w:name w:val="Light Grid - Accent 114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1">
    <w:name w:val="Light Grid - Accent 5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1">
    <w:name w:val="Light Grid - Accent 12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1">
    <w:name w:val="Light List - Accent 5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1">
    <w:name w:val="Light List - Accent 11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1">
    <w:name w:val="Light Grid - Accent 13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1">
    <w:name w:val="Medium Grid 1 - Accent 3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1">
    <w:name w:val="Table Grid21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1">
    <w:name w:val="Medium Grid 3 - Accent 11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
    <w:name w:val="No List111"/>
    <w:next w:val="NoList"/>
    <w:uiPriority w:val="99"/>
    <w:unhideWhenUsed/>
    <w:rsid w:val="00C9597C"/>
  </w:style>
  <w:style w:type="table" w:customStyle="1" w:styleId="MediumGrid1-Accent1111">
    <w:name w:val="Medium Grid 1 - Accent 11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
    <w:name w:val="Light Grid - Accent 11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
    <w:name w:val="Light Grid - Accent 511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
    <w:name w:val="Light Grid - Accent 12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
    <w:name w:val="Light List - Accent 511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
    <w:name w:val="Light List - Accent 111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
    <w:name w:val="Light Grid - Accent 13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
    <w:name w:val="Medium Grid 1 - Accent 31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1">
    <w:name w:val="Grid Table 4 - Accent 311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1">
    <w:name w:val="No List211"/>
    <w:next w:val="NoList"/>
    <w:uiPriority w:val="99"/>
    <w:unhideWhenUsed/>
    <w:rsid w:val="00C9597C"/>
  </w:style>
  <w:style w:type="table" w:customStyle="1" w:styleId="MediumGrid1-Accent1211">
    <w:name w:val="Medium Grid 1 - Accent 12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1">
    <w:name w:val="Light Grid - Accent 1121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1">
    <w:name w:val="Light Grid - Accent 521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1">
    <w:name w:val="Light Grid - Accent 122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1">
    <w:name w:val="Light List - Accent 521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1">
    <w:name w:val="Light List - Accent 112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1">
    <w:name w:val="Light Grid - Accent 132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1">
    <w:name w:val="Medium Grid 1 - Accent 32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1">
    <w:name w:val="Grid Table 4 Accent 311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1">
    <w:name w:val="No List311"/>
    <w:next w:val="NoList"/>
    <w:uiPriority w:val="99"/>
    <w:unhideWhenUsed/>
    <w:rsid w:val="00C9597C"/>
  </w:style>
  <w:style w:type="table" w:customStyle="1" w:styleId="MediumGrid1-Accent1311">
    <w:name w:val="Medium Grid 1 - Accent 13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1">
    <w:name w:val="Light Grid - Accent 1131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1">
    <w:name w:val="Light Grid - Accent 531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1">
    <w:name w:val="Light Grid - Accent 123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1">
    <w:name w:val="Light List - Accent 531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1">
    <w:name w:val="Light List - Accent 113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1">
    <w:name w:val="Light Grid - Accent 133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1">
    <w:name w:val="Medium Grid 1 - Accent 33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1">
    <w:name w:val="Grid Table 4 Accent 321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1">
    <w:name w:val="Table Grid11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unhideWhenUsed/>
    <w:rsid w:val="00C9597C"/>
  </w:style>
  <w:style w:type="table" w:customStyle="1" w:styleId="MediumGrid1-Accent151">
    <w:name w:val="Medium Grid 1 - Accent 15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1">
    <w:name w:val="Light Grid - Accent 115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1">
    <w:name w:val="Light Grid - Accent 5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1">
    <w:name w:val="Light Grid - Accent 12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1">
    <w:name w:val="Light List - Accent 5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1">
    <w:name w:val="Light List - Accent 11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1">
    <w:name w:val="Light Grid - Accent 13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1">
    <w:name w:val="Medium Grid 1 - Accent 3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1">
    <w:name w:val="No List121"/>
    <w:next w:val="NoList"/>
    <w:uiPriority w:val="99"/>
    <w:unhideWhenUsed/>
    <w:rsid w:val="00C9597C"/>
  </w:style>
  <w:style w:type="numbering" w:customStyle="1" w:styleId="NoList221">
    <w:name w:val="No List221"/>
    <w:next w:val="NoList"/>
    <w:uiPriority w:val="99"/>
    <w:unhideWhenUsed/>
    <w:rsid w:val="00C9597C"/>
  </w:style>
  <w:style w:type="numbering" w:customStyle="1" w:styleId="NoList321">
    <w:name w:val="No List321"/>
    <w:next w:val="NoList"/>
    <w:uiPriority w:val="99"/>
    <w:unhideWhenUsed/>
    <w:rsid w:val="00C9597C"/>
  </w:style>
  <w:style w:type="numbering" w:customStyle="1" w:styleId="NoList61">
    <w:name w:val="No List61"/>
    <w:next w:val="NoList"/>
    <w:uiPriority w:val="99"/>
    <w:unhideWhenUsed/>
    <w:rsid w:val="00C9597C"/>
  </w:style>
  <w:style w:type="table" w:customStyle="1" w:styleId="MediumGrid1-Accent161">
    <w:name w:val="Medium Grid 1 - Accent 16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1">
    <w:name w:val="Light Grid - Accent 116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1">
    <w:name w:val="Light Grid - Accent 56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1">
    <w:name w:val="Light Grid - Accent 126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1">
    <w:name w:val="Light List - Accent 56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1">
    <w:name w:val="Light List - Accent 116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1">
    <w:name w:val="Light Grid - Accent 136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1">
    <w:name w:val="Medium Grid 1 - Accent 36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1">
    <w:name w:val="No List131"/>
    <w:next w:val="NoList"/>
    <w:uiPriority w:val="99"/>
    <w:unhideWhenUsed/>
    <w:rsid w:val="00C9597C"/>
  </w:style>
  <w:style w:type="numbering" w:customStyle="1" w:styleId="NoList231">
    <w:name w:val="No List231"/>
    <w:next w:val="NoList"/>
    <w:uiPriority w:val="99"/>
    <w:unhideWhenUsed/>
    <w:rsid w:val="00C9597C"/>
  </w:style>
  <w:style w:type="numbering" w:customStyle="1" w:styleId="NoList331">
    <w:name w:val="No List331"/>
    <w:next w:val="NoList"/>
    <w:uiPriority w:val="99"/>
    <w:unhideWhenUsed/>
    <w:rsid w:val="00C9597C"/>
  </w:style>
  <w:style w:type="numbering" w:customStyle="1" w:styleId="NoList8">
    <w:name w:val="No List8"/>
    <w:next w:val="NoList"/>
    <w:uiPriority w:val="99"/>
    <w:unhideWhenUsed/>
    <w:rsid w:val="00C9597C"/>
  </w:style>
  <w:style w:type="table" w:customStyle="1" w:styleId="TableGrid6">
    <w:name w:val="Table Grid6"/>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4">
    <w:name w:val="Medium Grid 3 - Accent 14"/>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8">
    <w:name w:val="Medium Grid 1 - Accent 18"/>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8">
    <w:name w:val="Light Grid - Accent 118"/>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8">
    <w:name w:val="Light Grid - Accent 58"/>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8">
    <w:name w:val="Light Grid - Accent 128"/>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8">
    <w:name w:val="Light List - Accent 58"/>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8">
    <w:name w:val="Light List - Accent 118"/>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8">
    <w:name w:val="Light Grid - Accent 138"/>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8">
    <w:name w:val="Medium Grid 1 - Accent 38"/>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5">
    <w:name w:val="No List15"/>
    <w:next w:val="NoList"/>
    <w:uiPriority w:val="99"/>
    <w:unhideWhenUsed/>
    <w:rsid w:val="00C9597C"/>
  </w:style>
  <w:style w:type="table" w:customStyle="1" w:styleId="MediumGrid1-Accent114">
    <w:name w:val="Medium Grid 1 - Accent 114"/>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4">
    <w:name w:val="Light Grid - Accent 11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4">
    <w:name w:val="Light Grid - Accent 514"/>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4">
    <w:name w:val="Light Grid - Accent 12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4">
    <w:name w:val="Light List - Accent 514"/>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4">
    <w:name w:val="Light List - Accent 1114"/>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4">
    <w:name w:val="Light Grid - Accent 13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4">
    <w:name w:val="Medium Grid 1 - Accent 314"/>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4">
    <w:name w:val="Grid Table 4 - Accent 314"/>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5">
    <w:name w:val="No List25"/>
    <w:next w:val="NoList"/>
    <w:uiPriority w:val="99"/>
    <w:unhideWhenUsed/>
    <w:rsid w:val="00C9597C"/>
  </w:style>
  <w:style w:type="table" w:customStyle="1" w:styleId="MediumGrid1-Accent124">
    <w:name w:val="Medium Grid 1 - Accent 124"/>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4">
    <w:name w:val="Light Grid - Accent 1124"/>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4">
    <w:name w:val="Light Grid - Accent 524"/>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4">
    <w:name w:val="Light Grid - Accent 122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4">
    <w:name w:val="Light List - Accent 524"/>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4">
    <w:name w:val="Light List - Accent 1124"/>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4">
    <w:name w:val="Light Grid - Accent 132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4">
    <w:name w:val="Medium Grid 1 - Accent 324"/>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4">
    <w:name w:val="Grid Table 4 Accent 314"/>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5">
    <w:name w:val="No List35"/>
    <w:next w:val="NoList"/>
    <w:uiPriority w:val="99"/>
    <w:unhideWhenUsed/>
    <w:rsid w:val="00C9597C"/>
  </w:style>
  <w:style w:type="table" w:customStyle="1" w:styleId="MediumGrid1-Accent134">
    <w:name w:val="Medium Grid 1 - Accent 134"/>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4">
    <w:name w:val="Light Grid - Accent 1134"/>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4">
    <w:name w:val="Light Grid - Accent 534"/>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4">
    <w:name w:val="Light Grid - Accent 123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4">
    <w:name w:val="Light List - Accent 534"/>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4">
    <w:name w:val="Light List - Accent 1134"/>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4">
    <w:name w:val="Light Grid - Accent 133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4">
    <w:name w:val="Medium Grid 1 - Accent 334"/>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4">
    <w:name w:val="Grid Table 4 Accent 324"/>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
    <w:name w:val="Table Grid14"/>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unhideWhenUsed/>
    <w:rsid w:val="00C9597C"/>
  </w:style>
  <w:style w:type="table" w:customStyle="1" w:styleId="MediumGrid1-Accent142">
    <w:name w:val="Medium Grid 1 - Accent 142"/>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2">
    <w:name w:val="Light Grid - Accent 1142"/>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2">
    <w:name w:val="Light Grid - Accent 542"/>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2">
    <w:name w:val="Light Grid - Accent 124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2">
    <w:name w:val="Light List - Accent 542"/>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2">
    <w:name w:val="Light List - Accent 1142"/>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2">
    <w:name w:val="Light Grid - Accent 134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2">
    <w:name w:val="Medium Grid 1 - Accent 342"/>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2">
    <w:name w:val="Table Grid212"/>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2">
    <w:name w:val="Medium Grid 3 - Accent 112"/>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2">
    <w:name w:val="No List112"/>
    <w:next w:val="NoList"/>
    <w:uiPriority w:val="99"/>
    <w:unhideWhenUsed/>
    <w:rsid w:val="00C9597C"/>
  </w:style>
  <w:style w:type="table" w:customStyle="1" w:styleId="MediumGrid1-Accent1112">
    <w:name w:val="Medium Grid 1 - Accent 1112"/>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2">
    <w:name w:val="Light Grid - Accent 111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2">
    <w:name w:val="Light Grid - Accent 5112"/>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2">
    <w:name w:val="Light Grid - Accent 121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2">
    <w:name w:val="Light List - Accent 5112"/>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2">
    <w:name w:val="Light List - Accent 11112"/>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2">
    <w:name w:val="Light Grid - Accent 131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2">
    <w:name w:val="Medium Grid 1 - Accent 3112"/>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2">
    <w:name w:val="Grid Table 4 - Accent 3112"/>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2">
    <w:name w:val="No List212"/>
    <w:next w:val="NoList"/>
    <w:uiPriority w:val="99"/>
    <w:unhideWhenUsed/>
    <w:rsid w:val="00C9597C"/>
  </w:style>
  <w:style w:type="table" w:customStyle="1" w:styleId="MediumGrid1-Accent1212">
    <w:name w:val="Medium Grid 1 - Accent 1212"/>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2">
    <w:name w:val="Light Grid - Accent 11212"/>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2">
    <w:name w:val="Light Grid - Accent 5212"/>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2">
    <w:name w:val="Light Grid - Accent 122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2">
    <w:name w:val="Light List - Accent 5212"/>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2">
    <w:name w:val="Light List - Accent 11212"/>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2">
    <w:name w:val="Light Grid - Accent 132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2">
    <w:name w:val="Medium Grid 1 - Accent 3212"/>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2">
    <w:name w:val="Grid Table 4 Accent 3112"/>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2">
    <w:name w:val="No List312"/>
    <w:next w:val="NoList"/>
    <w:uiPriority w:val="99"/>
    <w:unhideWhenUsed/>
    <w:rsid w:val="00C9597C"/>
  </w:style>
  <w:style w:type="table" w:customStyle="1" w:styleId="MediumGrid1-Accent1312">
    <w:name w:val="Medium Grid 1 - Accent 1312"/>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2">
    <w:name w:val="Light Grid - Accent 11312"/>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2">
    <w:name w:val="Light Grid - Accent 5312"/>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2">
    <w:name w:val="Light Grid - Accent 123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2">
    <w:name w:val="Light List - Accent 5312"/>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2">
    <w:name w:val="Light List - Accent 11312"/>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2">
    <w:name w:val="Light Grid - Accent 133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2">
    <w:name w:val="Medium Grid 1 - Accent 3312"/>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2">
    <w:name w:val="Grid Table 4 Accent 3212"/>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2">
    <w:name w:val="Table Grid112"/>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unhideWhenUsed/>
    <w:rsid w:val="00C9597C"/>
  </w:style>
  <w:style w:type="table" w:customStyle="1" w:styleId="MediumGrid1-Accent152">
    <w:name w:val="Medium Grid 1 - Accent 152"/>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2">
    <w:name w:val="Light Grid - Accent 1152"/>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2">
    <w:name w:val="Light Grid - Accent 552"/>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2">
    <w:name w:val="Light Grid - Accent 125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2">
    <w:name w:val="Light List - Accent 552"/>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2">
    <w:name w:val="Light List - Accent 1152"/>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2">
    <w:name w:val="Light Grid - Accent 135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2">
    <w:name w:val="Medium Grid 1 - Accent 352"/>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2">
    <w:name w:val="No List122"/>
    <w:next w:val="NoList"/>
    <w:uiPriority w:val="99"/>
    <w:unhideWhenUsed/>
    <w:rsid w:val="00C9597C"/>
  </w:style>
  <w:style w:type="numbering" w:customStyle="1" w:styleId="NoList222">
    <w:name w:val="No List222"/>
    <w:next w:val="NoList"/>
    <w:uiPriority w:val="99"/>
    <w:unhideWhenUsed/>
    <w:rsid w:val="00C9597C"/>
  </w:style>
  <w:style w:type="numbering" w:customStyle="1" w:styleId="NoList322">
    <w:name w:val="No List322"/>
    <w:next w:val="NoList"/>
    <w:uiPriority w:val="99"/>
    <w:unhideWhenUsed/>
    <w:rsid w:val="00C9597C"/>
  </w:style>
  <w:style w:type="numbering" w:customStyle="1" w:styleId="NoList62">
    <w:name w:val="No List62"/>
    <w:next w:val="NoList"/>
    <w:uiPriority w:val="99"/>
    <w:unhideWhenUsed/>
    <w:rsid w:val="00C9597C"/>
  </w:style>
  <w:style w:type="table" w:customStyle="1" w:styleId="MediumGrid1-Accent162">
    <w:name w:val="Medium Grid 1 - Accent 162"/>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2">
    <w:name w:val="Light Grid - Accent 1162"/>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2">
    <w:name w:val="Light Grid - Accent 562"/>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2">
    <w:name w:val="Light Grid - Accent 126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2">
    <w:name w:val="Light List - Accent 562"/>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2">
    <w:name w:val="Light List - Accent 1162"/>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2">
    <w:name w:val="Light Grid - Accent 136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2">
    <w:name w:val="Medium Grid 1 - Accent 362"/>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2">
    <w:name w:val="No List132"/>
    <w:next w:val="NoList"/>
    <w:uiPriority w:val="99"/>
    <w:unhideWhenUsed/>
    <w:rsid w:val="00C9597C"/>
  </w:style>
  <w:style w:type="numbering" w:customStyle="1" w:styleId="NoList232">
    <w:name w:val="No List232"/>
    <w:next w:val="NoList"/>
    <w:uiPriority w:val="99"/>
    <w:unhideWhenUsed/>
    <w:rsid w:val="00C9597C"/>
  </w:style>
  <w:style w:type="numbering" w:customStyle="1" w:styleId="NoList332">
    <w:name w:val="No List332"/>
    <w:next w:val="NoList"/>
    <w:uiPriority w:val="99"/>
    <w:unhideWhenUsed/>
    <w:rsid w:val="00C9597C"/>
  </w:style>
  <w:style w:type="numbering" w:customStyle="1" w:styleId="NoList9">
    <w:name w:val="No List9"/>
    <w:next w:val="NoList"/>
    <w:uiPriority w:val="99"/>
    <w:unhideWhenUsed/>
    <w:rsid w:val="00C9597C"/>
  </w:style>
  <w:style w:type="table" w:customStyle="1" w:styleId="TableGrid7">
    <w:name w:val="Table Grid7"/>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5">
    <w:name w:val="Medium Grid 3 - Accent 15"/>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9">
    <w:name w:val="Medium Grid 1 - Accent 19"/>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9">
    <w:name w:val="Light Grid - Accent 119"/>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9">
    <w:name w:val="Light Grid - Accent 59"/>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9">
    <w:name w:val="Light Grid - Accent 129"/>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9">
    <w:name w:val="Light List - Accent 59"/>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
    <w:name w:val="Light List - Accent 119"/>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9">
    <w:name w:val="Light Grid - Accent 139"/>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9">
    <w:name w:val="Medium Grid 1 - Accent 39"/>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6">
    <w:name w:val="No List16"/>
    <w:next w:val="NoList"/>
    <w:uiPriority w:val="99"/>
    <w:unhideWhenUsed/>
    <w:rsid w:val="00C9597C"/>
  </w:style>
  <w:style w:type="table" w:customStyle="1" w:styleId="MediumGrid1-Accent115">
    <w:name w:val="Medium Grid 1 - Accent 115"/>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5">
    <w:name w:val="Light Grid - Accent 11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5">
    <w:name w:val="Light Grid - Accent 515"/>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5">
    <w:name w:val="Light Grid - Accent 12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5">
    <w:name w:val="Light List - Accent 515"/>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5">
    <w:name w:val="Light List - Accent 1115"/>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5">
    <w:name w:val="Light Grid - Accent 13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5">
    <w:name w:val="Medium Grid 1 - Accent 31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5">
    <w:name w:val="Grid Table 4 - Accent 315"/>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6">
    <w:name w:val="No List26"/>
    <w:next w:val="NoList"/>
    <w:uiPriority w:val="99"/>
    <w:unhideWhenUsed/>
    <w:rsid w:val="00C9597C"/>
  </w:style>
  <w:style w:type="table" w:customStyle="1" w:styleId="MediumGrid1-Accent125">
    <w:name w:val="Medium Grid 1 - Accent 125"/>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5">
    <w:name w:val="Light Grid - Accent 1125"/>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5">
    <w:name w:val="Light Grid - Accent 525"/>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5">
    <w:name w:val="Light Grid - Accent 122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5">
    <w:name w:val="Light List - Accent 525"/>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5">
    <w:name w:val="Light List - Accent 1125"/>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5">
    <w:name w:val="Light Grid - Accent 132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5">
    <w:name w:val="Medium Grid 1 - Accent 32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5">
    <w:name w:val="Grid Table 4 Accent 315"/>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6">
    <w:name w:val="No List36"/>
    <w:next w:val="NoList"/>
    <w:uiPriority w:val="99"/>
    <w:unhideWhenUsed/>
    <w:rsid w:val="00C9597C"/>
  </w:style>
  <w:style w:type="table" w:customStyle="1" w:styleId="MediumGrid1-Accent135">
    <w:name w:val="Medium Grid 1 - Accent 135"/>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5">
    <w:name w:val="Light Grid - Accent 1135"/>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5">
    <w:name w:val="Light Grid - Accent 535"/>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5">
    <w:name w:val="Light Grid - Accent 123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5">
    <w:name w:val="Light List - Accent 535"/>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5">
    <w:name w:val="Light List - Accent 1135"/>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5">
    <w:name w:val="Light Grid - Accent 133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5">
    <w:name w:val="Medium Grid 1 - Accent 33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5">
    <w:name w:val="Grid Table 4 Accent 325"/>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5">
    <w:name w:val="Table Grid15"/>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NoList"/>
    <w:uiPriority w:val="99"/>
    <w:unhideWhenUsed/>
    <w:rsid w:val="00C9597C"/>
  </w:style>
  <w:style w:type="table" w:customStyle="1" w:styleId="MediumGrid1-Accent143">
    <w:name w:val="Medium Grid 1 - Accent 143"/>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3">
    <w:name w:val="Light Grid - Accent 1143"/>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3">
    <w:name w:val="Light Grid - Accent 543"/>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3">
    <w:name w:val="Light Grid - Accent 124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3">
    <w:name w:val="Light List - Accent 543"/>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3">
    <w:name w:val="Light List - Accent 1143"/>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3">
    <w:name w:val="Light Grid - Accent 134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3">
    <w:name w:val="Medium Grid 1 - Accent 343"/>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3">
    <w:name w:val="Table Grid213"/>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3">
    <w:name w:val="Medium Grid 3 - Accent 113"/>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3">
    <w:name w:val="No List113"/>
    <w:next w:val="NoList"/>
    <w:uiPriority w:val="99"/>
    <w:unhideWhenUsed/>
    <w:rsid w:val="00C9597C"/>
  </w:style>
  <w:style w:type="table" w:customStyle="1" w:styleId="MediumGrid1-Accent1113">
    <w:name w:val="Medium Grid 1 - Accent 1113"/>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3">
    <w:name w:val="Light Grid - Accent 111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3">
    <w:name w:val="Light Grid - Accent 5113"/>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3">
    <w:name w:val="Light Grid - Accent 121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3">
    <w:name w:val="Light List - Accent 5113"/>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3">
    <w:name w:val="Light List - Accent 11113"/>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3">
    <w:name w:val="Light Grid - Accent 131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3">
    <w:name w:val="Medium Grid 1 - Accent 3113"/>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3">
    <w:name w:val="Grid Table 4 - Accent 3113"/>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3">
    <w:name w:val="No List213"/>
    <w:next w:val="NoList"/>
    <w:uiPriority w:val="99"/>
    <w:unhideWhenUsed/>
    <w:rsid w:val="00C9597C"/>
  </w:style>
  <w:style w:type="table" w:customStyle="1" w:styleId="MediumGrid1-Accent1213">
    <w:name w:val="Medium Grid 1 - Accent 1213"/>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3">
    <w:name w:val="Light Grid - Accent 11213"/>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3">
    <w:name w:val="Light Grid - Accent 5213"/>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3">
    <w:name w:val="Light Grid - Accent 122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3">
    <w:name w:val="Light List - Accent 5213"/>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3">
    <w:name w:val="Light List - Accent 11213"/>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3">
    <w:name w:val="Light Grid - Accent 132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3">
    <w:name w:val="Medium Grid 1 - Accent 3213"/>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3">
    <w:name w:val="Grid Table 4 Accent 3113"/>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3">
    <w:name w:val="No List313"/>
    <w:next w:val="NoList"/>
    <w:uiPriority w:val="99"/>
    <w:unhideWhenUsed/>
    <w:rsid w:val="00C9597C"/>
  </w:style>
  <w:style w:type="table" w:customStyle="1" w:styleId="MediumGrid1-Accent1313">
    <w:name w:val="Medium Grid 1 - Accent 1313"/>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3">
    <w:name w:val="Light Grid - Accent 11313"/>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3">
    <w:name w:val="Light Grid - Accent 5313"/>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3">
    <w:name w:val="Light Grid - Accent 123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3">
    <w:name w:val="Light List - Accent 5313"/>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3">
    <w:name w:val="Light List - Accent 11313"/>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3">
    <w:name w:val="Light Grid - Accent 133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3">
    <w:name w:val="Medium Grid 1 - Accent 3313"/>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3">
    <w:name w:val="Grid Table 4 Accent 3213"/>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3">
    <w:name w:val="Table Grid113"/>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unhideWhenUsed/>
    <w:rsid w:val="00C9597C"/>
  </w:style>
  <w:style w:type="table" w:customStyle="1" w:styleId="MediumGrid1-Accent153">
    <w:name w:val="Medium Grid 1 - Accent 153"/>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3">
    <w:name w:val="Light Grid - Accent 1153"/>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3">
    <w:name w:val="Light Grid - Accent 553"/>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3">
    <w:name w:val="Light Grid - Accent 125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3">
    <w:name w:val="Light List - Accent 553"/>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3">
    <w:name w:val="Light List - Accent 1153"/>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3">
    <w:name w:val="Light Grid - Accent 135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3">
    <w:name w:val="Medium Grid 1 - Accent 353"/>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3">
    <w:name w:val="No List123"/>
    <w:next w:val="NoList"/>
    <w:uiPriority w:val="99"/>
    <w:unhideWhenUsed/>
    <w:rsid w:val="00C9597C"/>
  </w:style>
  <w:style w:type="numbering" w:customStyle="1" w:styleId="NoList223">
    <w:name w:val="No List223"/>
    <w:next w:val="NoList"/>
    <w:uiPriority w:val="99"/>
    <w:unhideWhenUsed/>
    <w:rsid w:val="00C9597C"/>
  </w:style>
  <w:style w:type="numbering" w:customStyle="1" w:styleId="NoList323">
    <w:name w:val="No List323"/>
    <w:next w:val="NoList"/>
    <w:uiPriority w:val="99"/>
    <w:unhideWhenUsed/>
    <w:rsid w:val="00C9597C"/>
  </w:style>
  <w:style w:type="numbering" w:customStyle="1" w:styleId="NoList63">
    <w:name w:val="No List63"/>
    <w:next w:val="NoList"/>
    <w:uiPriority w:val="99"/>
    <w:unhideWhenUsed/>
    <w:rsid w:val="00C9597C"/>
  </w:style>
  <w:style w:type="table" w:customStyle="1" w:styleId="MediumGrid1-Accent163">
    <w:name w:val="Medium Grid 1 - Accent 163"/>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3">
    <w:name w:val="Light Grid - Accent 1163"/>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3">
    <w:name w:val="Light Grid - Accent 563"/>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3">
    <w:name w:val="Light Grid - Accent 126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3">
    <w:name w:val="Light List - Accent 563"/>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3">
    <w:name w:val="Light List - Accent 1163"/>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3">
    <w:name w:val="Light Grid - Accent 136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3">
    <w:name w:val="Medium Grid 1 - Accent 363"/>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3">
    <w:name w:val="No List133"/>
    <w:next w:val="NoList"/>
    <w:uiPriority w:val="99"/>
    <w:unhideWhenUsed/>
    <w:rsid w:val="00C9597C"/>
  </w:style>
  <w:style w:type="numbering" w:customStyle="1" w:styleId="NoList233">
    <w:name w:val="No List233"/>
    <w:next w:val="NoList"/>
    <w:uiPriority w:val="99"/>
    <w:unhideWhenUsed/>
    <w:rsid w:val="00C9597C"/>
  </w:style>
  <w:style w:type="numbering" w:customStyle="1" w:styleId="NoList333">
    <w:name w:val="No List333"/>
    <w:next w:val="NoList"/>
    <w:uiPriority w:val="99"/>
    <w:unhideWhenUsed/>
    <w:rsid w:val="00C9597C"/>
  </w:style>
  <w:style w:type="numbering" w:customStyle="1" w:styleId="NoList10">
    <w:name w:val="No List10"/>
    <w:next w:val="NoList"/>
    <w:uiPriority w:val="99"/>
    <w:unhideWhenUsed/>
    <w:rsid w:val="00C9597C"/>
  </w:style>
  <w:style w:type="table" w:customStyle="1" w:styleId="TableGrid8">
    <w:name w:val="Table Grid8"/>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6">
    <w:name w:val="Medium Grid 3 - Accent 16"/>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0">
    <w:name w:val="Medium Grid 1 - Accent 110"/>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0">
    <w:name w:val="Light Grid - Accent 1110"/>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0">
    <w:name w:val="Light Grid - Accent 510"/>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0">
    <w:name w:val="Light Grid - Accent 1210"/>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0">
    <w:name w:val="Light List - Accent 510"/>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0">
    <w:name w:val="Light List - Accent 1110"/>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0">
    <w:name w:val="Light Grid - Accent 1310"/>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0">
    <w:name w:val="Medium Grid 1 - Accent 310"/>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7">
    <w:name w:val="No List17"/>
    <w:next w:val="NoList"/>
    <w:uiPriority w:val="99"/>
    <w:unhideWhenUsed/>
    <w:rsid w:val="00C9597C"/>
  </w:style>
  <w:style w:type="table" w:customStyle="1" w:styleId="MediumGrid1-Accent116">
    <w:name w:val="Medium Grid 1 - Accent 116"/>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6">
    <w:name w:val="Light Grid - Accent 11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6">
    <w:name w:val="Light Grid - Accent 516"/>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6">
    <w:name w:val="Light Grid - Accent 12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6">
    <w:name w:val="Light List - Accent 516"/>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6">
    <w:name w:val="Light List - Accent 1116"/>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6">
    <w:name w:val="Light Grid - Accent 13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6">
    <w:name w:val="Medium Grid 1 - Accent 316"/>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6">
    <w:name w:val="Grid Table 4 - Accent 316"/>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7">
    <w:name w:val="No List27"/>
    <w:next w:val="NoList"/>
    <w:uiPriority w:val="99"/>
    <w:unhideWhenUsed/>
    <w:rsid w:val="00C9597C"/>
  </w:style>
  <w:style w:type="table" w:customStyle="1" w:styleId="MediumGrid1-Accent126">
    <w:name w:val="Medium Grid 1 - Accent 126"/>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6">
    <w:name w:val="Light Grid - Accent 1126"/>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6">
    <w:name w:val="Light Grid - Accent 526"/>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6">
    <w:name w:val="Light Grid - Accent 122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6">
    <w:name w:val="Light List - Accent 526"/>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6">
    <w:name w:val="Light List - Accent 1126"/>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6">
    <w:name w:val="Light Grid - Accent 132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6">
    <w:name w:val="Medium Grid 1 - Accent 326"/>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6">
    <w:name w:val="Grid Table 4 Accent 316"/>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7">
    <w:name w:val="No List37"/>
    <w:next w:val="NoList"/>
    <w:uiPriority w:val="99"/>
    <w:unhideWhenUsed/>
    <w:rsid w:val="00C9597C"/>
  </w:style>
  <w:style w:type="table" w:customStyle="1" w:styleId="MediumGrid1-Accent136">
    <w:name w:val="Medium Grid 1 - Accent 136"/>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6">
    <w:name w:val="Light Grid - Accent 1136"/>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6">
    <w:name w:val="Light Grid - Accent 536"/>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6">
    <w:name w:val="Light Grid - Accent 123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6">
    <w:name w:val="Light List - Accent 536"/>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6">
    <w:name w:val="Light List - Accent 1136"/>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6">
    <w:name w:val="Light Grid - Accent 133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6">
    <w:name w:val="Medium Grid 1 - Accent 336"/>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6">
    <w:name w:val="Grid Table 4 Accent 326"/>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6">
    <w:name w:val="Table Grid16"/>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unhideWhenUsed/>
    <w:rsid w:val="00C9597C"/>
  </w:style>
  <w:style w:type="table" w:customStyle="1" w:styleId="MediumGrid1-Accent144">
    <w:name w:val="Medium Grid 1 - Accent 144"/>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4">
    <w:name w:val="Light Grid - Accent 1144"/>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4">
    <w:name w:val="Light Grid - Accent 544"/>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4">
    <w:name w:val="Light Grid - Accent 124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4">
    <w:name w:val="Light List - Accent 544"/>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4">
    <w:name w:val="Light List - Accent 1144"/>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4">
    <w:name w:val="Light Grid - Accent 134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4">
    <w:name w:val="Medium Grid 1 - Accent 344"/>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4">
    <w:name w:val="Table Grid214"/>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4">
    <w:name w:val="Medium Grid 3 - Accent 114"/>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4">
    <w:name w:val="No List114"/>
    <w:next w:val="NoList"/>
    <w:uiPriority w:val="99"/>
    <w:unhideWhenUsed/>
    <w:rsid w:val="00C9597C"/>
  </w:style>
  <w:style w:type="table" w:customStyle="1" w:styleId="MediumGrid1-Accent1114">
    <w:name w:val="Medium Grid 1 - Accent 1114"/>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4">
    <w:name w:val="Light Grid - Accent 111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4">
    <w:name w:val="Light Grid - Accent 5114"/>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4">
    <w:name w:val="Light Grid - Accent 121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4">
    <w:name w:val="Light List - Accent 5114"/>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4">
    <w:name w:val="Light List - Accent 11114"/>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4">
    <w:name w:val="Light Grid - Accent 131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4">
    <w:name w:val="Medium Grid 1 - Accent 3114"/>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4">
    <w:name w:val="Grid Table 4 - Accent 3114"/>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4">
    <w:name w:val="No List214"/>
    <w:next w:val="NoList"/>
    <w:uiPriority w:val="99"/>
    <w:unhideWhenUsed/>
    <w:rsid w:val="00C9597C"/>
  </w:style>
  <w:style w:type="table" w:customStyle="1" w:styleId="MediumGrid1-Accent1214">
    <w:name w:val="Medium Grid 1 - Accent 1214"/>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4">
    <w:name w:val="Light Grid - Accent 11214"/>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4">
    <w:name w:val="Light Grid - Accent 5214"/>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4">
    <w:name w:val="Light Grid - Accent 122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4">
    <w:name w:val="Light List - Accent 5214"/>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4">
    <w:name w:val="Light List - Accent 11214"/>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4">
    <w:name w:val="Light Grid - Accent 132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4">
    <w:name w:val="Medium Grid 1 - Accent 3214"/>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4">
    <w:name w:val="Grid Table 4 Accent 3114"/>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4">
    <w:name w:val="No List314"/>
    <w:next w:val="NoList"/>
    <w:uiPriority w:val="99"/>
    <w:unhideWhenUsed/>
    <w:rsid w:val="00C9597C"/>
  </w:style>
  <w:style w:type="table" w:customStyle="1" w:styleId="MediumGrid1-Accent1314">
    <w:name w:val="Medium Grid 1 - Accent 1314"/>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4">
    <w:name w:val="Light Grid - Accent 11314"/>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4">
    <w:name w:val="Light Grid - Accent 5314"/>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4">
    <w:name w:val="Light Grid - Accent 123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4">
    <w:name w:val="Light List - Accent 5314"/>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4">
    <w:name w:val="Light List - Accent 11314"/>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4">
    <w:name w:val="Light Grid - Accent 133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4">
    <w:name w:val="Medium Grid 1 - Accent 3314"/>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4">
    <w:name w:val="Grid Table 4 Accent 3214"/>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4">
    <w:name w:val="Table Grid114"/>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
    <w:name w:val="No List54"/>
    <w:next w:val="NoList"/>
    <w:uiPriority w:val="99"/>
    <w:unhideWhenUsed/>
    <w:rsid w:val="00C9597C"/>
  </w:style>
  <w:style w:type="table" w:customStyle="1" w:styleId="MediumGrid1-Accent154">
    <w:name w:val="Medium Grid 1 - Accent 154"/>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4">
    <w:name w:val="Light Grid - Accent 1154"/>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4">
    <w:name w:val="Light Grid - Accent 554"/>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4">
    <w:name w:val="Light Grid - Accent 125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4">
    <w:name w:val="Light List - Accent 554"/>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4">
    <w:name w:val="Light List - Accent 1154"/>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4">
    <w:name w:val="Light Grid - Accent 135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4">
    <w:name w:val="Medium Grid 1 - Accent 354"/>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4">
    <w:name w:val="No List124"/>
    <w:next w:val="NoList"/>
    <w:uiPriority w:val="99"/>
    <w:unhideWhenUsed/>
    <w:rsid w:val="00C9597C"/>
  </w:style>
  <w:style w:type="numbering" w:customStyle="1" w:styleId="NoList224">
    <w:name w:val="No List224"/>
    <w:next w:val="NoList"/>
    <w:uiPriority w:val="99"/>
    <w:unhideWhenUsed/>
    <w:rsid w:val="00C9597C"/>
  </w:style>
  <w:style w:type="numbering" w:customStyle="1" w:styleId="NoList324">
    <w:name w:val="No List324"/>
    <w:next w:val="NoList"/>
    <w:uiPriority w:val="99"/>
    <w:unhideWhenUsed/>
    <w:rsid w:val="00C9597C"/>
  </w:style>
  <w:style w:type="numbering" w:customStyle="1" w:styleId="NoList64">
    <w:name w:val="No List64"/>
    <w:next w:val="NoList"/>
    <w:uiPriority w:val="99"/>
    <w:unhideWhenUsed/>
    <w:rsid w:val="00C9597C"/>
  </w:style>
  <w:style w:type="table" w:customStyle="1" w:styleId="MediumGrid1-Accent164">
    <w:name w:val="Medium Grid 1 - Accent 164"/>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4">
    <w:name w:val="Light Grid - Accent 1164"/>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4">
    <w:name w:val="Light Grid - Accent 564"/>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4">
    <w:name w:val="Light Grid - Accent 126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4">
    <w:name w:val="Light List - Accent 564"/>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4">
    <w:name w:val="Light List - Accent 1164"/>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4">
    <w:name w:val="Light Grid - Accent 136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4">
    <w:name w:val="Medium Grid 1 - Accent 364"/>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4">
    <w:name w:val="No List134"/>
    <w:next w:val="NoList"/>
    <w:uiPriority w:val="99"/>
    <w:unhideWhenUsed/>
    <w:rsid w:val="00C9597C"/>
  </w:style>
  <w:style w:type="numbering" w:customStyle="1" w:styleId="NoList234">
    <w:name w:val="No List234"/>
    <w:next w:val="NoList"/>
    <w:uiPriority w:val="99"/>
    <w:unhideWhenUsed/>
    <w:rsid w:val="00C9597C"/>
  </w:style>
  <w:style w:type="numbering" w:customStyle="1" w:styleId="NoList334">
    <w:name w:val="No List334"/>
    <w:next w:val="NoList"/>
    <w:uiPriority w:val="99"/>
    <w:unhideWhenUsed/>
    <w:rsid w:val="00C9597C"/>
  </w:style>
  <w:style w:type="numbering" w:customStyle="1" w:styleId="NoList18">
    <w:name w:val="No List18"/>
    <w:next w:val="NoList"/>
    <w:uiPriority w:val="99"/>
    <w:unhideWhenUsed/>
    <w:rsid w:val="00C9597C"/>
  </w:style>
  <w:style w:type="table" w:customStyle="1" w:styleId="TableGrid9">
    <w:name w:val="Table Grid9"/>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7">
    <w:name w:val="Medium Grid 3 - Accent 17"/>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7">
    <w:name w:val="Medium Grid 1 - Accent 117"/>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7">
    <w:name w:val="Light Grid - Accent 1117"/>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7">
    <w:name w:val="Light Grid - Accent 517"/>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7">
    <w:name w:val="Light Grid - Accent 1217"/>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7">
    <w:name w:val="Light List - Accent 517"/>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7">
    <w:name w:val="Light List - Accent 1117"/>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7">
    <w:name w:val="Light Grid - Accent 1317"/>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7">
    <w:name w:val="Medium Grid 1 - Accent 317"/>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9">
    <w:name w:val="No List19"/>
    <w:next w:val="NoList"/>
    <w:uiPriority w:val="99"/>
    <w:unhideWhenUsed/>
    <w:rsid w:val="00C9597C"/>
  </w:style>
  <w:style w:type="table" w:customStyle="1" w:styleId="MediumGrid1-Accent118">
    <w:name w:val="Medium Grid 1 - Accent 118"/>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8">
    <w:name w:val="Light Grid - Accent 1118"/>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8">
    <w:name w:val="Light Grid - Accent 518"/>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8">
    <w:name w:val="Light Grid - Accent 1218"/>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8">
    <w:name w:val="Light List - Accent 518"/>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8">
    <w:name w:val="Light List - Accent 1118"/>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8">
    <w:name w:val="Light Grid - Accent 1318"/>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8">
    <w:name w:val="Medium Grid 1 - Accent 318"/>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7">
    <w:name w:val="Grid Table 4 - Accent 317"/>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8">
    <w:name w:val="No List28"/>
    <w:next w:val="NoList"/>
    <w:uiPriority w:val="99"/>
    <w:unhideWhenUsed/>
    <w:rsid w:val="00C9597C"/>
  </w:style>
  <w:style w:type="table" w:customStyle="1" w:styleId="MediumGrid1-Accent127">
    <w:name w:val="Medium Grid 1 - Accent 127"/>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7">
    <w:name w:val="Light Grid - Accent 1127"/>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7">
    <w:name w:val="Light Grid - Accent 527"/>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7">
    <w:name w:val="Light Grid - Accent 1227"/>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7">
    <w:name w:val="Light List - Accent 527"/>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7">
    <w:name w:val="Light List - Accent 1127"/>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7">
    <w:name w:val="Light Grid - Accent 1327"/>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7">
    <w:name w:val="Medium Grid 1 - Accent 327"/>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7">
    <w:name w:val="Grid Table 4 Accent 317"/>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8">
    <w:name w:val="No List38"/>
    <w:next w:val="NoList"/>
    <w:uiPriority w:val="99"/>
    <w:unhideWhenUsed/>
    <w:rsid w:val="00C9597C"/>
  </w:style>
  <w:style w:type="table" w:customStyle="1" w:styleId="MediumGrid1-Accent137">
    <w:name w:val="Medium Grid 1 - Accent 137"/>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7">
    <w:name w:val="Light Grid - Accent 1137"/>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7">
    <w:name w:val="Light Grid - Accent 537"/>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7">
    <w:name w:val="Light Grid - Accent 1237"/>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7">
    <w:name w:val="Light List - Accent 537"/>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7">
    <w:name w:val="Light List - Accent 1137"/>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7">
    <w:name w:val="Light Grid - Accent 1337"/>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7">
    <w:name w:val="Medium Grid 1 - Accent 337"/>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7">
    <w:name w:val="Grid Table 4 Accent 327"/>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7">
    <w:name w:val="Table Grid17"/>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unhideWhenUsed/>
    <w:rsid w:val="00C9597C"/>
  </w:style>
  <w:style w:type="table" w:customStyle="1" w:styleId="MediumGrid1-Accent145">
    <w:name w:val="Medium Grid 1 - Accent 145"/>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5">
    <w:name w:val="Light Grid - Accent 1145"/>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5">
    <w:name w:val="Light Grid - Accent 545"/>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5">
    <w:name w:val="Light Grid - Accent 124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5">
    <w:name w:val="Light List - Accent 545"/>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5">
    <w:name w:val="Light List - Accent 1145"/>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5">
    <w:name w:val="Light Grid - Accent 134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5">
    <w:name w:val="Medium Grid 1 - Accent 34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5">
    <w:name w:val="Table Grid215"/>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5">
    <w:name w:val="Medium Grid 3 - Accent 115"/>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5">
    <w:name w:val="No List115"/>
    <w:next w:val="NoList"/>
    <w:uiPriority w:val="99"/>
    <w:unhideWhenUsed/>
    <w:rsid w:val="00C9597C"/>
  </w:style>
  <w:style w:type="table" w:customStyle="1" w:styleId="MediumGrid1-Accent1115">
    <w:name w:val="Medium Grid 1 - Accent 1115"/>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5">
    <w:name w:val="Light Grid - Accent 111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5">
    <w:name w:val="Light Grid - Accent 5115"/>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5">
    <w:name w:val="Light Grid - Accent 121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5">
    <w:name w:val="Light List - Accent 5115"/>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5">
    <w:name w:val="Light List - Accent 11115"/>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5">
    <w:name w:val="Light Grid - Accent 131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5">
    <w:name w:val="Medium Grid 1 - Accent 311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5">
    <w:name w:val="Grid Table 4 - Accent 3115"/>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5">
    <w:name w:val="No List215"/>
    <w:next w:val="NoList"/>
    <w:uiPriority w:val="99"/>
    <w:unhideWhenUsed/>
    <w:rsid w:val="00C9597C"/>
  </w:style>
  <w:style w:type="table" w:customStyle="1" w:styleId="MediumGrid1-Accent1215">
    <w:name w:val="Medium Grid 1 - Accent 1215"/>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5">
    <w:name w:val="Light Grid - Accent 11215"/>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5">
    <w:name w:val="Light Grid - Accent 5215"/>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5">
    <w:name w:val="Light Grid - Accent 122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5">
    <w:name w:val="Light List - Accent 5215"/>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5">
    <w:name w:val="Light List - Accent 11215"/>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5">
    <w:name w:val="Light Grid - Accent 132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5">
    <w:name w:val="Medium Grid 1 - Accent 321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5">
    <w:name w:val="Grid Table 4 Accent 3115"/>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5">
    <w:name w:val="No List315"/>
    <w:next w:val="NoList"/>
    <w:uiPriority w:val="99"/>
    <w:unhideWhenUsed/>
    <w:rsid w:val="00C9597C"/>
  </w:style>
  <w:style w:type="table" w:customStyle="1" w:styleId="MediumGrid1-Accent1315">
    <w:name w:val="Medium Grid 1 - Accent 1315"/>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5">
    <w:name w:val="Light Grid - Accent 11315"/>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5">
    <w:name w:val="Light Grid - Accent 5315"/>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5">
    <w:name w:val="Light Grid - Accent 123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5">
    <w:name w:val="Light List - Accent 5315"/>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5">
    <w:name w:val="Light List - Accent 11315"/>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5">
    <w:name w:val="Light Grid - Accent 133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5">
    <w:name w:val="Medium Grid 1 - Accent 331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5">
    <w:name w:val="Grid Table 4 Accent 3215"/>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5">
    <w:name w:val="Table Grid115"/>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
    <w:name w:val="No List55"/>
    <w:next w:val="NoList"/>
    <w:uiPriority w:val="99"/>
    <w:unhideWhenUsed/>
    <w:rsid w:val="00C9597C"/>
  </w:style>
  <w:style w:type="table" w:customStyle="1" w:styleId="MediumGrid1-Accent155">
    <w:name w:val="Medium Grid 1 - Accent 155"/>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5">
    <w:name w:val="Light Grid - Accent 1155"/>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5">
    <w:name w:val="Light Grid - Accent 555"/>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5">
    <w:name w:val="Light Grid - Accent 125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5">
    <w:name w:val="Light List - Accent 555"/>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5">
    <w:name w:val="Light List - Accent 1155"/>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5">
    <w:name w:val="Light Grid - Accent 135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5">
    <w:name w:val="Medium Grid 1 - Accent 35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5">
    <w:name w:val="No List125"/>
    <w:next w:val="NoList"/>
    <w:uiPriority w:val="99"/>
    <w:unhideWhenUsed/>
    <w:rsid w:val="00C9597C"/>
  </w:style>
  <w:style w:type="numbering" w:customStyle="1" w:styleId="NoList225">
    <w:name w:val="No List225"/>
    <w:next w:val="NoList"/>
    <w:uiPriority w:val="99"/>
    <w:unhideWhenUsed/>
    <w:rsid w:val="00C9597C"/>
  </w:style>
  <w:style w:type="numbering" w:customStyle="1" w:styleId="NoList325">
    <w:name w:val="No List325"/>
    <w:next w:val="NoList"/>
    <w:uiPriority w:val="99"/>
    <w:unhideWhenUsed/>
    <w:rsid w:val="00C9597C"/>
  </w:style>
  <w:style w:type="numbering" w:customStyle="1" w:styleId="NoList65">
    <w:name w:val="No List65"/>
    <w:next w:val="NoList"/>
    <w:uiPriority w:val="99"/>
    <w:unhideWhenUsed/>
    <w:rsid w:val="00C9597C"/>
  </w:style>
  <w:style w:type="table" w:customStyle="1" w:styleId="MediumGrid1-Accent165">
    <w:name w:val="Medium Grid 1 - Accent 165"/>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5">
    <w:name w:val="Light Grid - Accent 1165"/>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5">
    <w:name w:val="Light Grid - Accent 565"/>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5">
    <w:name w:val="Light Grid - Accent 126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5">
    <w:name w:val="Light List - Accent 565"/>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5">
    <w:name w:val="Light List - Accent 1165"/>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5">
    <w:name w:val="Light Grid - Accent 136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5">
    <w:name w:val="Medium Grid 1 - Accent 36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5">
    <w:name w:val="No List135"/>
    <w:next w:val="NoList"/>
    <w:uiPriority w:val="99"/>
    <w:unhideWhenUsed/>
    <w:rsid w:val="00C9597C"/>
  </w:style>
  <w:style w:type="numbering" w:customStyle="1" w:styleId="NoList235">
    <w:name w:val="No List235"/>
    <w:next w:val="NoList"/>
    <w:uiPriority w:val="99"/>
    <w:unhideWhenUsed/>
    <w:rsid w:val="00C9597C"/>
  </w:style>
  <w:style w:type="numbering" w:customStyle="1" w:styleId="NoList335">
    <w:name w:val="No List335"/>
    <w:next w:val="NoList"/>
    <w:uiPriority w:val="99"/>
    <w:unhideWhenUsed/>
    <w:rsid w:val="00C9597C"/>
  </w:style>
  <w:style w:type="numbering" w:customStyle="1" w:styleId="NoList20">
    <w:name w:val="No List20"/>
    <w:next w:val="NoList"/>
    <w:uiPriority w:val="99"/>
    <w:unhideWhenUsed/>
    <w:rsid w:val="00C9597C"/>
  </w:style>
  <w:style w:type="table" w:customStyle="1" w:styleId="TableGrid10">
    <w:name w:val="Table Grid10"/>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8">
    <w:name w:val="Medium Grid 3 - Accent 18"/>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9">
    <w:name w:val="Medium Grid 1 - Accent 119"/>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9">
    <w:name w:val="Light Grid - Accent 1119"/>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9">
    <w:name w:val="Light Grid - Accent 519"/>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9">
    <w:name w:val="Light Grid - Accent 1219"/>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9">
    <w:name w:val="Light List - Accent 519"/>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9">
    <w:name w:val="Light List - Accent 1119"/>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9">
    <w:name w:val="Light Grid - Accent 1319"/>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9">
    <w:name w:val="Medium Grid 1 - Accent 319"/>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10">
    <w:name w:val="No List110"/>
    <w:next w:val="NoList"/>
    <w:uiPriority w:val="99"/>
    <w:unhideWhenUsed/>
    <w:rsid w:val="00C9597C"/>
  </w:style>
  <w:style w:type="table" w:customStyle="1" w:styleId="MediumGrid1-Accent1110">
    <w:name w:val="Medium Grid 1 - Accent 1110"/>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0">
    <w:name w:val="Light Grid - Accent 11110"/>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0">
    <w:name w:val="Light Grid - Accent 5110"/>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0">
    <w:name w:val="Light Grid - Accent 12110"/>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0">
    <w:name w:val="Light List - Accent 5110"/>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0">
    <w:name w:val="Light List - Accent 11110"/>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0">
    <w:name w:val="Light Grid - Accent 13110"/>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0">
    <w:name w:val="Medium Grid 1 - Accent 3110"/>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8">
    <w:name w:val="Grid Table 4 - Accent 318"/>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9">
    <w:name w:val="No List29"/>
    <w:next w:val="NoList"/>
    <w:uiPriority w:val="99"/>
    <w:unhideWhenUsed/>
    <w:rsid w:val="00C9597C"/>
  </w:style>
  <w:style w:type="table" w:customStyle="1" w:styleId="MediumGrid1-Accent128">
    <w:name w:val="Medium Grid 1 - Accent 128"/>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8">
    <w:name w:val="Light Grid - Accent 1128"/>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8">
    <w:name w:val="Light Grid - Accent 528"/>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8">
    <w:name w:val="Light Grid - Accent 1228"/>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8">
    <w:name w:val="Light List - Accent 528"/>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8">
    <w:name w:val="Light List - Accent 1128"/>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8">
    <w:name w:val="Light Grid - Accent 1328"/>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8">
    <w:name w:val="Medium Grid 1 - Accent 328"/>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8">
    <w:name w:val="Grid Table 4 Accent 318"/>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9">
    <w:name w:val="No List39"/>
    <w:next w:val="NoList"/>
    <w:uiPriority w:val="99"/>
    <w:unhideWhenUsed/>
    <w:rsid w:val="00C9597C"/>
  </w:style>
  <w:style w:type="table" w:customStyle="1" w:styleId="MediumGrid1-Accent138">
    <w:name w:val="Medium Grid 1 - Accent 138"/>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8">
    <w:name w:val="Light Grid - Accent 1138"/>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8">
    <w:name w:val="Light Grid - Accent 538"/>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8">
    <w:name w:val="Light Grid - Accent 1238"/>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8">
    <w:name w:val="Light List - Accent 538"/>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8">
    <w:name w:val="Light List - Accent 1138"/>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8">
    <w:name w:val="Light Grid - Accent 1338"/>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8">
    <w:name w:val="Medium Grid 1 - Accent 338"/>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8">
    <w:name w:val="Grid Table 4 Accent 328"/>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8">
    <w:name w:val="Table Grid18"/>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unhideWhenUsed/>
    <w:rsid w:val="00C9597C"/>
  </w:style>
  <w:style w:type="table" w:customStyle="1" w:styleId="MediumGrid1-Accent146">
    <w:name w:val="Medium Grid 1 - Accent 146"/>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6">
    <w:name w:val="Light Grid - Accent 1146"/>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6">
    <w:name w:val="Light Grid - Accent 546"/>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6">
    <w:name w:val="Light Grid - Accent 124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6">
    <w:name w:val="Light List - Accent 546"/>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6">
    <w:name w:val="Light List - Accent 1146"/>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6">
    <w:name w:val="Light Grid - Accent 134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6">
    <w:name w:val="Medium Grid 1 - Accent 346"/>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31">
    <w:name w:val="Table Grid3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6">
    <w:name w:val="Medium Grid 3 - Accent 116"/>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6">
    <w:name w:val="No List116"/>
    <w:next w:val="NoList"/>
    <w:uiPriority w:val="99"/>
    <w:unhideWhenUsed/>
    <w:rsid w:val="00C9597C"/>
  </w:style>
  <w:style w:type="table" w:customStyle="1" w:styleId="MediumGrid1-Accent1116">
    <w:name w:val="Medium Grid 1 - Accent 1116"/>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6">
    <w:name w:val="Light Grid - Accent 111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6">
    <w:name w:val="Light Grid - Accent 5116"/>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6">
    <w:name w:val="Light Grid - Accent 121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6">
    <w:name w:val="Light List - Accent 5116"/>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6">
    <w:name w:val="Light List - Accent 11116"/>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6">
    <w:name w:val="Light Grid - Accent 131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6">
    <w:name w:val="Medium Grid 1 - Accent 3116"/>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6">
    <w:name w:val="Grid Table 4 - Accent 3116"/>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6">
    <w:name w:val="No List216"/>
    <w:next w:val="NoList"/>
    <w:uiPriority w:val="99"/>
    <w:unhideWhenUsed/>
    <w:rsid w:val="00C9597C"/>
  </w:style>
  <w:style w:type="table" w:customStyle="1" w:styleId="MediumGrid1-Accent1216">
    <w:name w:val="Medium Grid 1 - Accent 1216"/>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6">
    <w:name w:val="Light Grid - Accent 11216"/>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6">
    <w:name w:val="Light Grid - Accent 5216"/>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6">
    <w:name w:val="Light Grid - Accent 122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6">
    <w:name w:val="Light List - Accent 5216"/>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6">
    <w:name w:val="Light List - Accent 11216"/>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6">
    <w:name w:val="Light Grid - Accent 132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6">
    <w:name w:val="Medium Grid 1 - Accent 3216"/>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6">
    <w:name w:val="Grid Table 4 Accent 3116"/>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6">
    <w:name w:val="No List316"/>
    <w:next w:val="NoList"/>
    <w:uiPriority w:val="99"/>
    <w:unhideWhenUsed/>
    <w:rsid w:val="00C9597C"/>
  </w:style>
  <w:style w:type="table" w:customStyle="1" w:styleId="MediumGrid1-Accent1316">
    <w:name w:val="Medium Grid 1 - Accent 1316"/>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6">
    <w:name w:val="Light Grid - Accent 11316"/>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6">
    <w:name w:val="Light Grid - Accent 5316"/>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6">
    <w:name w:val="Light Grid - Accent 123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6">
    <w:name w:val="Light List - Accent 5316"/>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6">
    <w:name w:val="Light List - Accent 11316"/>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6">
    <w:name w:val="Light Grid - Accent 133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6">
    <w:name w:val="Medium Grid 1 - Accent 3316"/>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6">
    <w:name w:val="Grid Table 4 Accent 3216"/>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6">
    <w:name w:val="Table Grid116"/>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6">
    <w:name w:val="No List56"/>
    <w:next w:val="NoList"/>
    <w:uiPriority w:val="99"/>
    <w:unhideWhenUsed/>
    <w:rsid w:val="00C9597C"/>
  </w:style>
  <w:style w:type="table" w:customStyle="1" w:styleId="TableGrid41">
    <w:name w:val="Table Grid41"/>
    <w:basedOn w:val="TableNormal"/>
    <w:next w:val="TableGrid"/>
    <w:uiPriority w:val="5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21">
    <w:name w:val="Medium Grid 3 - Accent 12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56">
    <w:name w:val="Medium Grid 1 - Accent 156"/>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56">
    <w:name w:val="Light Grid - Accent 1156"/>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56">
    <w:name w:val="Light Grid - Accent 556"/>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56">
    <w:name w:val="Light Grid - Accent 1256"/>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56">
    <w:name w:val="Light List - Accent 556"/>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6">
    <w:name w:val="Light List - Accent 1156"/>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56">
    <w:name w:val="Light Grid - Accent 135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56">
    <w:name w:val="Medium Grid 1 - Accent 356"/>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26">
    <w:name w:val="No List126"/>
    <w:next w:val="NoList"/>
    <w:uiPriority w:val="99"/>
    <w:unhideWhenUsed/>
    <w:rsid w:val="00C9597C"/>
  </w:style>
  <w:style w:type="table" w:customStyle="1" w:styleId="MediumGrid1-Accent1121">
    <w:name w:val="Medium Grid 1 - Accent 112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21">
    <w:name w:val="Light Grid - Accent 11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21">
    <w:name w:val="Light Grid - Accent 512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21">
    <w:name w:val="Light Grid - Accent 12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21">
    <w:name w:val="Light List - Accent 512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1">
    <w:name w:val="Light List - Accent 1112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21">
    <w:name w:val="Light Grid - Accent 13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21">
    <w:name w:val="Medium Grid 1 - Accent 312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21">
    <w:name w:val="Grid Table 4 - Accent 312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26">
    <w:name w:val="No List226"/>
    <w:next w:val="NoList"/>
    <w:uiPriority w:val="99"/>
    <w:unhideWhenUsed/>
    <w:rsid w:val="00C9597C"/>
  </w:style>
  <w:style w:type="table" w:customStyle="1" w:styleId="MediumGrid1-Accent1221">
    <w:name w:val="Medium Grid 1 - Accent 122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21">
    <w:name w:val="Light Grid - Accent 1122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21">
    <w:name w:val="Light Grid - Accent 522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21">
    <w:name w:val="Light Grid - Accent 122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21">
    <w:name w:val="Light List - Accent 522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21">
    <w:name w:val="Light List - Accent 1122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21">
    <w:name w:val="Light Grid - Accent 132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21">
    <w:name w:val="Medium Grid 1 - Accent 322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21">
    <w:name w:val="Grid Table 4 Accent 312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26">
    <w:name w:val="No List326"/>
    <w:next w:val="NoList"/>
    <w:uiPriority w:val="99"/>
    <w:unhideWhenUsed/>
    <w:rsid w:val="00C9597C"/>
  </w:style>
  <w:style w:type="table" w:customStyle="1" w:styleId="MediumGrid1-Accent1321">
    <w:name w:val="Medium Grid 1 - Accent 132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21">
    <w:name w:val="Light Grid - Accent 1132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21">
    <w:name w:val="Light Grid - Accent 532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21">
    <w:name w:val="Light Grid - Accent 123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21">
    <w:name w:val="Light List - Accent 532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21">
    <w:name w:val="Light List - Accent 1132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21">
    <w:name w:val="Light Grid - Accent 133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21">
    <w:name w:val="Medium Grid 1 - Accent 332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21">
    <w:name w:val="Grid Table 4 Accent 322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21">
    <w:name w:val="Table Grid12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next w:val="TableGrid"/>
    <w:uiPriority w:val="3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
    <w:name w:val="No List66"/>
    <w:next w:val="NoList"/>
    <w:uiPriority w:val="99"/>
    <w:unhideWhenUsed/>
    <w:rsid w:val="00C9597C"/>
  </w:style>
  <w:style w:type="table" w:customStyle="1" w:styleId="MediumGrid1-Accent166">
    <w:name w:val="Medium Grid 1 - Accent 166"/>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6">
    <w:name w:val="Light Grid - Accent 1166"/>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6">
    <w:name w:val="Light Grid - Accent 566"/>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6">
    <w:name w:val="Light Grid - Accent 126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6">
    <w:name w:val="Light List - Accent 566"/>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6">
    <w:name w:val="Light List - Accent 1166"/>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6">
    <w:name w:val="Light Grid - Accent 136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6">
    <w:name w:val="Medium Grid 1 - Accent 366"/>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6">
    <w:name w:val="No List136"/>
    <w:next w:val="NoList"/>
    <w:uiPriority w:val="99"/>
    <w:unhideWhenUsed/>
    <w:rsid w:val="00C9597C"/>
  </w:style>
  <w:style w:type="numbering" w:customStyle="1" w:styleId="NoList236">
    <w:name w:val="No List236"/>
    <w:next w:val="NoList"/>
    <w:uiPriority w:val="99"/>
    <w:unhideWhenUsed/>
    <w:rsid w:val="00C9597C"/>
  </w:style>
  <w:style w:type="numbering" w:customStyle="1" w:styleId="NoList336">
    <w:name w:val="No List336"/>
    <w:next w:val="NoList"/>
    <w:uiPriority w:val="99"/>
    <w:unhideWhenUsed/>
    <w:rsid w:val="00C9597C"/>
  </w:style>
  <w:style w:type="numbering" w:customStyle="1" w:styleId="NoList71">
    <w:name w:val="No List71"/>
    <w:next w:val="NoList"/>
    <w:uiPriority w:val="99"/>
    <w:unhideWhenUsed/>
    <w:rsid w:val="00C9597C"/>
  </w:style>
  <w:style w:type="table" w:customStyle="1" w:styleId="TableGrid51">
    <w:name w:val="Table Grid5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31">
    <w:name w:val="Medium Grid 3 - Accent 13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71">
    <w:name w:val="Medium Grid 1 - Accent 171"/>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71">
    <w:name w:val="Light Grid - Accent 1171"/>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71">
    <w:name w:val="Light Grid - Accent 571"/>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71">
    <w:name w:val="Light Grid - Accent 1271"/>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71">
    <w:name w:val="Light List - Accent 571"/>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71">
    <w:name w:val="Light List - Accent 1171"/>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71">
    <w:name w:val="Light Grid - Accent 137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71">
    <w:name w:val="Medium Grid 1 - Accent 37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41">
    <w:name w:val="No List141"/>
    <w:next w:val="NoList"/>
    <w:uiPriority w:val="99"/>
    <w:unhideWhenUsed/>
    <w:rsid w:val="00C9597C"/>
  </w:style>
  <w:style w:type="table" w:customStyle="1" w:styleId="MediumGrid1-Accent1131">
    <w:name w:val="Medium Grid 1 - Accent 113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31">
    <w:name w:val="Light Grid - Accent 11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31">
    <w:name w:val="Light Grid - Accent 513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31">
    <w:name w:val="Light Grid - Accent 12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31">
    <w:name w:val="Light List - Accent 513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1">
    <w:name w:val="Light List - Accent 1113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31">
    <w:name w:val="Light Grid - Accent 13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31">
    <w:name w:val="Medium Grid 1 - Accent 313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31">
    <w:name w:val="Grid Table 4 - Accent 313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41">
    <w:name w:val="No List241"/>
    <w:next w:val="NoList"/>
    <w:uiPriority w:val="99"/>
    <w:unhideWhenUsed/>
    <w:rsid w:val="00C9597C"/>
  </w:style>
  <w:style w:type="table" w:customStyle="1" w:styleId="MediumGrid1-Accent1231">
    <w:name w:val="Medium Grid 1 - Accent 123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31">
    <w:name w:val="Light Grid - Accent 1123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31">
    <w:name w:val="Light Grid - Accent 523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31">
    <w:name w:val="Light Grid - Accent 122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31">
    <w:name w:val="Light List - Accent 523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31">
    <w:name w:val="Light List - Accent 1123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31">
    <w:name w:val="Light Grid - Accent 132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31">
    <w:name w:val="Medium Grid 1 - Accent 323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31">
    <w:name w:val="Grid Table 4 Accent 313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41">
    <w:name w:val="No List341"/>
    <w:next w:val="NoList"/>
    <w:uiPriority w:val="99"/>
    <w:unhideWhenUsed/>
    <w:rsid w:val="00C9597C"/>
  </w:style>
  <w:style w:type="table" w:customStyle="1" w:styleId="MediumGrid1-Accent1331">
    <w:name w:val="Medium Grid 1 - Accent 133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31">
    <w:name w:val="Light Grid - Accent 1133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31">
    <w:name w:val="Light Grid - Accent 533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31">
    <w:name w:val="Light Grid - Accent 123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31">
    <w:name w:val="Light List - Accent 533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31">
    <w:name w:val="Light List - Accent 1133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31">
    <w:name w:val="Light Grid - Accent 133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31">
    <w:name w:val="Medium Grid 1 - Accent 333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31">
    <w:name w:val="Grid Table 4 Accent 323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31">
    <w:name w:val="Table Grid13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
    <w:name w:val="No List411"/>
    <w:next w:val="NoList"/>
    <w:uiPriority w:val="99"/>
    <w:unhideWhenUsed/>
    <w:rsid w:val="00C9597C"/>
  </w:style>
  <w:style w:type="table" w:customStyle="1" w:styleId="MediumGrid1-Accent1411">
    <w:name w:val="Medium Grid 1 - Accent 14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11">
    <w:name w:val="Light Grid - Accent 1141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11">
    <w:name w:val="Light Grid - Accent 541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11">
    <w:name w:val="Light Grid - Accent 124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11">
    <w:name w:val="Light List - Accent 541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11">
    <w:name w:val="Light List - Accent 114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11">
    <w:name w:val="Light Grid - Accent 134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11">
    <w:name w:val="Medium Grid 1 - Accent 34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11">
    <w:name w:val="Table Grid211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11">
    <w:name w:val="Medium Grid 3 - Accent 111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1">
    <w:name w:val="No List1111"/>
    <w:next w:val="NoList"/>
    <w:uiPriority w:val="99"/>
    <w:unhideWhenUsed/>
    <w:rsid w:val="00C9597C"/>
  </w:style>
  <w:style w:type="table" w:customStyle="1" w:styleId="MediumGrid1-Accent11111">
    <w:name w:val="Medium Grid 1 - Accent 111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1">
    <w:name w:val="Light Grid - Accent 111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1">
    <w:name w:val="Light Grid - Accent 5111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1">
    <w:name w:val="Light Grid - Accent 121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1">
    <w:name w:val="Light List - Accent 5111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1">
    <w:name w:val="Light List - Accent 1111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1">
    <w:name w:val="Light Grid - Accent 131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1">
    <w:name w:val="Medium Grid 1 - Accent 311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11">
    <w:name w:val="Grid Table 4 - Accent 3111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11">
    <w:name w:val="No List2111"/>
    <w:next w:val="NoList"/>
    <w:uiPriority w:val="99"/>
    <w:unhideWhenUsed/>
    <w:rsid w:val="00C9597C"/>
  </w:style>
  <w:style w:type="table" w:customStyle="1" w:styleId="MediumGrid1-Accent12111">
    <w:name w:val="Medium Grid 1 - Accent 121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11">
    <w:name w:val="Light Grid - Accent 11211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11">
    <w:name w:val="Light Grid - Accent 5211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11">
    <w:name w:val="Light Grid - Accent 122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11">
    <w:name w:val="Light List - Accent 5211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11">
    <w:name w:val="Light List - Accent 1121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11">
    <w:name w:val="Light Grid - Accent 132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11">
    <w:name w:val="Medium Grid 1 - Accent 321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11">
    <w:name w:val="Grid Table 4 Accent 3111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11">
    <w:name w:val="No List3111"/>
    <w:next w:val="NoList"/>
    <w:uiPriority w:val="99"/>
    <w:unhideWhenUsed/>
    <w:rsid w:val="00C9597C"/>
  </w:style>
  <w:style w:type="table" w:customStyle="1" w:styleId="MediumGrid1-Accent13111">
    <w:name w:val="Medium Grid 1 - Accent 131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11">
    <w:name w:val="Light Grid - Accent 11311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11">
    <w:name w:val="Light Grid - Accent 5311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11">
    <w:name w:val="Light Grid - Accent 123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11">
    <w:name w:val="Light List - Accent 5311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11">
    <w:name w:val="Light List - Accent 1131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11">
    <w:name w:val="Light Grid - Accent 133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11">
    <w:name w:val="Medium Grid 1 - Accent 331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11">
    <w:name w:val="Grid Table 4 Accent 3211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11">
    <w:name w:val="Table Grid111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
    <w:name w:val="No List511"/>
    <w:next w:val="NoList"/>
    <w:uiPriority w:val="99"/>
    <w:unhideWhenUsed/>
    <w:rsid w:val="00C9597C"/>
  </w:style>
  <w:style w:type="table" w:customStyle="1" w:styleId="MediumGrid1-Accent1511">
    <w:name w:val="Medium Grid 1 - Accent 15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11">
    <w:name w:val="Light Grid - Accent 1151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11">
    <w:name w:val="Light Grid - Accent 551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11">
    <w:name w:val="Light Grid - Accent 125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11">
    <w:name w:val="Light List - Accent 551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11">
    <w:name w:val="Light List - Accent 115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11">
    <w:name w:val="Light Grid - Accent 135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11">
    <w:name w:val="Medium Grid 1 - Accent 35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11">
    <w:name w:val="No List1211"/>
    <w:next w:val="NoList"/>
    <w:uiPriority w:val="99"/>
    <w:unhideWhenUsed/>
    <w:rsid w:val="00C9597C"/>
  </w:style>
  <w:style w:type="numbering" w:customStyle="1" w:styleId="NoList2211">
    <w:name w:val="No List2211"/>
    <w:next w:val="NoList"/>
    <w:uiPriority w:val="99"/>
    <w:unhideWhenUsed/>
    <w:rsid w:val="00C9597C"/>
  </w:style>
  <w:style w:type="numbering" w:customStyle="1" w:styleId="NoList3211">
    <w:name w:val="No List3211"/>
    <w:next w:val="NoList"/>
    <w:uiPriority w:val="99"/>
    <w:unhideWhenUsed/>
    <w:rsid w:val="00C9597C"/>
  </w:style>
  <w:style w:type="numbering" w:customStyle="1" w:styleId="NoList611">
    <w:name w:val="No List611"/>
    <w:next w:val="NoList"/>
    <w:uiPriority w:val="99"/>
    <w:unhideWhenUsed/>
    <w:rsid w:val="00C9597C"/>
  </w:style>
  <w:style w:type="table" w:customStyle="1" w:styleId="MediumGrid1-Accent1611">
    <w:name w:val="Medium Grid 1 - Accent 16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11">
    <w:name w:val="Light Grid - Accent 1161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11">
    <w:name w:val="Light Grid - Accent 561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11">
    <w:name w:val="Light Grid - Accent 126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11">
    <w:name w:val="Light List - Accent 561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11">
    <w:name w:val="Light List - Accent 116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11">
    <w:name w:val="Light Grid - Accent 136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11">
    <w:name w:val="Medium Grid 1 - Accent 36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11">
    <w:name w:val="No List1311"/>
    <w:next w:val="NoList"/>
    <w:uiPriority w:val="99"/>
    <w:unhideWhenUsed/>
    <w:rsid w:val="00C9597C"/>
  </w:style>
  <w:style w:type="numbering" w:customStyle="1" w:styleId="NoList2311">
    <w:name w:val="No List2311"/>
    <w:next w:val="NoList"/>
    <w:uiPriority w:val="99"/>
    <w:unhideWhenUsed/>
    <w:rsid w:val="00C9597C"/>
  </w:style>
  <w:style w:type="numbering" w:customStyle="1" w:styleId="NoList3311">
    <w:name w:val="No List3311"/>
    <w:next w:val="NoList"/>
    <w:uiPriority w:val="99"/>
    <w:unhideWhenUsed/>
    <w:rsid w:val="00C9597C"/>
  </w:style>
  <w:style w:type="numbering" w:customStyle="1" w:styleId="NoList81">
    <w:name w:val="No List81"/>
    <w:next w:val="NoList"/>
    <w:uiPriority w:val="99"/>
    <w:unhideWhenUsed/>
    <w:rsid w:val="00C9597C"/>
  </w:style>
  <w:style w:type="table" w:customStyle="1" w:styleId="TableGrid61">
    <w:name w:val="Table Grid6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41">
    <w:name w:val="Medium Grid 3 - Accent 14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81">
    <w:name w:val="Medium Grid 1 - Accent 181"/>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81">
    <w:name w:val="Light Grid - Accent 1181"/>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81">
    <w:name w:val="Light Grid - Accent 581"/>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81">
    <w:name w:val="Light Grid - Accent 1281"/>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81">
    <w:name w:val="Light List - Accent 581"/>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81">
    <w:name w:val="Light List - Accent 1181"/>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81">
    <w:name w:val="Light Grid - Accent 138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81">
    <w:name w:val="Medium Grid 1 - Accent 38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51">
    <w:name w:val="No List151"/>
    <w:next w:val="NoList"/>
    <w:uiPriority w:val="99"/>
    <w:unhideWhenUsed/>
    <w:rsid w:val="00C9597C"/>
  </w:style>
  <w:style w:type="table" w:customStyle="1" w:styleId="MediumGrid1-Accent1141">
    <w:name w:val="Medium Grid 1 - Accent 11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41">
    <w:name w:val="Light Grid - Accent 11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41">
    <w:name w:val="Light Grid - Accent 514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41">
    <w:name w:val="Light Grid - Accent 12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41">
    <w:name w:val="Light List - Accent 514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41">
    <w:name w:val="Light List - Accent 111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41">
    <w:name w:val="Light Grid - Accent 13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41">
    <w:name w:val="Medium Grid 1 - Accent 31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41">
    <w:name w:val="Grid Table 4 - Accent 314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51">
    <w:name w:val="No List251"/>
    <w:next w:val="NoList"/>
    <w:uiPriority w:val="99"/>
    <w:unhideWhenUsed/>
    <w:rsid w:val="00C9597C"/>
  </w:style>
  <w:style w:type="table" w:customStyle="1" w:styleId="MediumGrid1-Accent1241">
    <w:name w:val="Medium Grid 1 - Accent 12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41">
    <w:name w:val="Light Grid - Accent 1124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41">
    <w:name w:val="Light Grid - Accent 52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41">
    <w:name w:val="Light Grid - Accent 122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41">
    <w:name w:val="Light List - Accent 52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41">
    <w:name w:val="Light List - Accent 112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41">
    <w:name w:val="Light Grid - Accent 132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41">
    <w:name w:val="Medium Grid 1 - Accent 32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41">
    <w:name w:val="Grid Table 4 Accent 314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51">
    <w:name w:val="No List351"/>
    <w:next w:val="NoList"/>
    <w:uiPriority w:val="99"/>
    <w:unhideWhenUsed/>
    <w:rsid w:val="00C9597C"/>
  </w:style>
  <w:style w:type="table" w:customStyle="1" w:styleId="MediumGrid1-Accent1341">
    <w:name w:val="Medium Grid 1 - Accent 13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41">
    <w:name w:val="Light Grid - Accent 1134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41">
    <w:name w:val="Light Grid - Accent 53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41">
    <w:name w:val="Light Grid - Accent 123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41">
    <w:name w:val="Light List - Accent 53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41">
    <w:name w:val="Light List - Accent 113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41">
    <w:name w:val="Light Grid - Accent 133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41">
    <w:name w:val="Medium Grid 1 - Accent 33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41">
    <w:name w:val="Grid Table 4 Accent 324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1">
    <w:name w:val="Table Grid14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
    <w:name w:val="No List421"/>
    <w:next w:val="NoList"/>
    <w:uiPriority w:val="99"/>
    <w:unhideWhenUsed/>
    <w:rsid w:val="00C9597C"/>
  </w:style>
  <w:style w:type="table" w:customStyle="1" w:styleId="MediumGrid1-Accent1421">
    <w:name w:val="Medium Grid 1 - Accent 142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21">
    <w:name w:val="Light Grid - Accent 1142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21">
    <w:name w:val="Light Grid - Accent 542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21">
    <w:name w:val="Light Grid - Accent 124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21">
    <w:name w:val="Light List - Accent 542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21">
    <w:name w:val="Light List - Accent 1142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21">
    <w:name w:val="Light Grid - Accent 134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21">
    <w:name w:val="Medium Grid 1 - Accent 342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21">
    <w:name w:val="Table Grid212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21">
    <w:name w:val="Medium Grid 3 - Accent 112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21">
    <w:name w:val="No List1121"/>
    <w:next w:val="NoList"/>
    <w:uiPriority w:val="99"/>
    <w:unhideWhenUsed/>
    <w:rsid w:val="00C9597C"/>
  </w:style>
  <w:style w:type="table" w:customStyle="1" w:styleId="MediumGrid1-Accent11121">
    <w:name w:val="Medium Grid 1 - Accent 1112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21">
    <w:name w:val="Light Grid - Accent 111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21">
    <w:name w:val="Light Grid - Accent 5112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21">
    <w:name w:val="Light Grid - Accent 121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21">
    <w:name w:val="Light List - Accent 5112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21">
    <w:name w:val="Light List - Accent 11112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21">
    <w:name w:val="Light Grid - Accent 131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21">
    <w:name w:val="Medium Grid 1 - Accent 3112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21">
    <w:name w:val="Grid Table 4 - Accent 3112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21">
    <w:name w:val="No List2121"/>
    <w:next w:val="NoList"/>
    <w:uiPriority w:val="99"/>
    <w:unhideWhenUsed/>
    <w:rsid w:val="00C9597C"/>
  </w:style>
  <w:style w:type="table" w:customStyle="1" w:styleId="MediumGrid1-Accent12121">
    <w:name w:val="Medium Grid 1 - Accent 1212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21">
    <w:name w:val="Light Grid - Accent 11212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21">
    <w:name w:val="Light Grid - Accent 5212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21">
    <w:name w:val="Light Grid - Accent 122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21">
    <w:name w:val="Light List - Accent 5212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21">
    <w:name w:val="Light List - Accent 11212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21">
    <w:name w:val="Light Grid - Accent 132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21">
    <w:name w:val="Medium Grid 1 - Accent 3212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21">
    <w:name w:val="Grid Table 4 Accent 3112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21">
    <w:name w:val="No List3121"/>
    <w:next w:val="NoList"/>
    <w:uiPriority w:val="99"/>
    <w:unhideWhenUsed/>
    <w:rsid w:val="00C9597C"/>
  </w:style>
  <w:style w:type="table" w:customStyle="1" w:styleId="MediumGrid1-Accent13121">
    <w:name w:val="Medium Grid 1 - Accent 1312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21">
    <w:name w:val="Light Grid - Accent 11312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21">
    <w:name w:val="Light Grid - Accent 5312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21">
    <w:name w:val="Light Grid - Accent 123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21">
    <w:name w:val="Light List - Accent 5312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21">
    <w:name w:val="Light List - Accent 11312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21">
    <w:name w:val="Light Grid - Accent 133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21">
    <w:name w:val="Medium Grid 1 - Accent 3312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21">
    <w:name w:val="Grid Table 4 Accent 3212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21">
    <w:name w:val="Table Grid112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
    <w:name w:val="No List521"/>
    <w:next w:val="NoList"/>
    <w:uiPriority w:val="99"/>
    <w:unhideWhenUsed/>
    <w:rsid w:val="00C9597C"/>
  </w:style>
  <w:style w:type="table" w:customStyle="1" w:styleId="MediumGrid1-Accent1521">
    <w:name w:val="Medium Grid 1 - Accent 152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21">
    <w:name w:val="Light Grid - Accent 1152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21">
    <w:name w:val="Light Grid - Accent 552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21">
    <w:name w:val="Light Grid - Accent 125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21">
    <w:name w:val="Light List - Accent 552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21">
    <w:name w:val="Light List - Accent 1152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21">
    <w:name w:val="Light Grid - Accent 135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21">
    <w:name w:val="Medium Grid 1 - Accent 352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21">
    <w:name w:val="No List1221"/>
    <w:next w:val="NoList"/>
    <w:uiPriority w:val="99"/>
    <w:unhideWhenUsed/>
    <w:rsid w:val="00C9597C"/>
  </w:style>
  <w:style w:type="numbering" w:customStyle="1" w:styleId="NoList2221">
    <w:name w:val="No List2221"/>
    <w:next w:val="NoList"/>
    <w:uiPriority w:val="99"/>
    <w:unhideWhenUsed/>
    <w:rsid w:val="00C9597C"/>
  </w:style>
  <w:style w:type="numbering" w:customStyle="1" w:styleId="NoList3221">
    <w:name w:val="No List3221"/>
    <w:next w:val="NoList"/>
    <w:uiPriority w:val="99"/>
    <w:unhideWhenUsed/>
    <w:rsid w:val="00C9597C"/>
  </w:style>
  <w:style w:type="numbering" w:customStyle="1" w:styleId="NoList621">
    <w:name w:val="No List621"/>
    <w:next w:val="NoList"/>
    <w:uiPriority w:val="99"/>
    <w:unhideWhenUsed/>
    <w:rsid w:val="00C9597C"/>
  </w:style>
  <w:style w:type="table" w:customStyle="1" w:styleId="MediumGrid1-Accent1621">
    <w:name w:val="Medium Grid 1 - Accent 162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21">
    <w:name w:val="Light Grid - Accent 1162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21">
    <w:name w:val="Light Grid - Accent 562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21">
    <w:name w:val="Light Grid - Accent 126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21">
    <w:name w:val="Light List - Accent 562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21">
    <w:name w:val="Light List - Accent 1162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21">
    <w:name w:val="Light Grid - Accent 136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21">
    <w:name w:val="Medium Grid 1 - Accent 362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21">
    <w:name w:val="No List1321"/>
    <w:next w:val="NoList"/>
    <w:uiPriority w:val="99"/>
    <w:unhideWhenUsed/>
    <w:rsid w:val="00C9597C"/>
  </w:style>
  <w:style w:type="numbering" w:customStyle="1" w:styleId="NoList2321">
    <w:name w:val="No List2321"/>
    <w:next w:val="NoList"/>
    <w:uiPriority w:val="99"/>
    <w:unhideWhenUsed/>
    <w:rsid w:val="00C9597C"/>
  </w:style>
  <w:style w:type="numbering" w:customStyle="1" w:styleId="NoList3321">
    <w:name w:val="No List3321"/>
    <w:next w:val="NoList"/>
    <w:uiPriority w:val="99"/>
    <w:unhideWhenUsed/>
    <w:rsid w:val="00C9597C"/>
  </w:style>
  <w:style w:type="numbering" w:customStyle="1" w:styleId="NoList91">
    <w:name w:val="No List91"/>
    <w:next w:val="NoList"/>
    <w:uiPriority w:val="99"/>
    <w:unhideWhenUsed/>
    <w:rsid w:val="00C9597C"/>
  </w:style>
  <w:style w:type="table" w:customStyle="1" w:styleId="TableGrid71">
    <w:name w:val="Table Grid7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51">
    <w:name w:val="Medium Grid 3 - Accent 151"/>
    <w:basedOn w:val="TableNormal"/>
    <w:next w:val="MediumGrid3-Accent1"/>
    <w:uiPriority w:val="69"/>
    <w:locked/>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91">
    <w:name w:val="Medium Grid 1 - Accent 191"/>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91">
    <w:name w:val="Light Grid - Accent 1191"/>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91">
    <w:name w:val="Light Grid - Accent 591"/>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91">
    <w:name w:val="Light Grid - Accent 1291"/>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91">
    <w:name w:val="Light List - Accent 591"/>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1">
    <w:name w:val="Light List - Accent 1191"/>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91">
    <w:name w:val="Light Grid - Accent 139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91">
    <w:name w:val="Medium Grid 1 - Accent 39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61">
    <w:name w:val="No List161"/>
    <w:next w:val="NoList"/>
    <w:uiPriority w:val="99"/>
    <w:unhideWhenUsed/>
    <w:rsid w:val="00C9597C"/>
  </w:style>
  <w:style w:type="table" w:customStyle="1" w:styleId="MediumGrid1-Accent1151">
    <w:name w:val="Medium Grid 1 - Accent 115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51">
    <w:name w:val="Light Grid - Accent 11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51">
    <w:name w:val="Light Grid - Accent 515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51">
    <w:name w:val="Light Grid - Accent 12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51">
    <w:name w:val="Light List - Accent 515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51">
    <w:name w:val="Light List - Accent 111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51">
    <w:name w:val="Light Grid - Accent 13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51">
    <w:name w:val="Medium Grid 1 - Accent 31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51">
    <w:name w:val="Grid Table 4 - Accent 315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61">
    <w:name w:val="No List261"/>
    <w:next w:val="NoList"/>
    <w:uiPriority w:val="99"/>
    <w:unhideWhenUsed/>
    <w:rsid w:val="00C9597C"/>
  </w:style>
  <w:style w:type="table" w:customStyle="1" w:styleId="MediumGrid1-Accent1251">
    <w:name w:val="Medium Grid 1 - Accent 1251"/>
    <w:basedOn w:val="TableNormal"/>
    <w:next w:val="MediumGrid1-Accent1"/>
    <w:uiPriority w:val="67"/>
    <w:qFormat/>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51">
    <w:name w:val="Light Grid - Accent 1125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51">
    <w:name w:val="Light Grid - Accent 52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51">
    <w:name w:val="Light Grid - Accent 122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51">
    <w:name w:val="Light List - Accent 52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51">
    <w:name w:val="Light List - Accent 112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51">
    <w:name w:val="Light Grid - Accent 132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51">
    <w:name w:val="Medium Grid 1 - Accent 32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51">
    <w:name w:val="Grid Table 4 Accent 315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61">
    <w:name w:val="No List361"/>
    <w:next w:val="NoList"/>
    <w:uiPriority w:val="99"/>
    <w:unhideWhenUsed/>
    <w:rsid w:val="00C9597C"/>
  </w:style>
  <w:style w:type="table" w:customStyle="1" w:styleId="MediumGrid1-Accent1351">
    <w:name w:val="Medium Grid 1 - Accent 135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51">
    <w:name w:val="Light Grid - Accent 1135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51">
    <w:name w:val="Light Grid - Accent 53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51">
    <w:name w:val="Light Grid - Accent 123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51">
    <w:name w:val="Light List - Accent 53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51">
    <w:name w:val="Light List - Accent 113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51">
    <w:name w:val="Light Grid - Accent 133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51">
    <w:name w:val="Medium Grid 1 - Accent 33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51">
    <w:name w:val="Grid Table 4 Accent 325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51">
    <w:name w:val="Table Grid15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
    <w:name w:val="No List431"/>
    <w:next w:val="NoList"/>
    <w:uiPriority w:val="99"/>
    <w:unhideWhenUsed/>
    <w:rsid w:val="00C9597C"/>
  </w:style>
  <w:style w:type="table" w:customStyle="1" w:styleId="MediumGrid1-Accent1431">
    <w:name w:val="Medium Grid 1 - Accent 143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31">
    <w:name w:val="Light Grid - Accent 1143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31">
    <w:name w:val="Light Grid - Accent 543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31">
    <w:name w:val="Light Grid - Accent 124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31">
    <w:name w:val="Light List - Accent 543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31">
    <w:name w:val="Light List - Accent 1143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31">
    <w:name w:val="Light Grid - Accent 134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31">
    <w:name w:val="Medium Grid 1 - Accent 343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31">
    <w:name w:val="Table Grid213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31">
    <w:name w:val="Medium Grid 3 - Accent 113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31">
    <w:name w:val="No List1131"/>
    <w:next w:val="NoList"/>
    <w:uiPriority w:val="99"/>
    <w:unhideWhenUsed/>
    <w:rsid w:val="00C9597C"/>
  </w:style>
  <w:style w:type="table" w:customStyle="1" w:styleId="MediumGrid1-Accent11131">
    <w:name w:val="Medium Grid 1 - Accent 1113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31">
    <w:name w:val="Light Grid - Accent 111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31">
    <w:name w:val="Light Grid - Accent 5113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31">
    <w:name w:val="Light Grid - Accent 121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31">
    <w:name w:val="Light List - Accent 5113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31">
    <w:name w:val="Light List - Accent 11113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31">
    <w:name w:val="Light Grid - Accent 131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31">
    <w:name w:val="Medium Grid 1 - Accent 3113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31">
    <w:name w:val="Grid Table 4 - Accent 3113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31">
    <w:name w:val="No List2131"/>
    <w:next w:val="NoList"/>
    <w:uiPriority w:val="99"/>
    <w:unhideWhenUsed/>
    <w:rsid w:val="00C9597C"/>
  </w:style>
  <w:style w:type="table" w:customStyle="1" w:styleId="MediumGrid1-Accent12131">
    <w:name w:val="Medium Grid 1 - Accent 1213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31">
    <w:name w:val="Light Grid - Accent 11213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31">
    <w:name w:val="Light Grid - Accent 5213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31">
    <w:name w:val="Light Grid - Accent 122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31">
    <w:name w:val="Light List - Accent 5213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31">
    <w:name w:val="Light List - Accent 11213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31">
    <w:name w:val="Light Grid - Accent 132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31">
    <w:name w:val="Medium Grid 1 - Accent 3213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31">
    <w:name w:val="Grid Table 4 Accent 3113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31">
    <w:name w:val="No List3131"/>
    <w:next w:val="NoList"/>
    <w:uiPriority w:val="99"/>
    <w:unhideWhenUsed/>
    <w:rsid w:val="00C9597C"/>
  </w:style>
  <w:style w:type="table" w:customStyle="1" w:styleId="MediumGrid1-Accent13131">
    <w:name w:val="Medium Grid 1 - Accent 1313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31">
    <w:name w:val="Light Grid - Accent 11313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31">
    <w:name w:val="Light Grid - Accent 5313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31">
    <w:name w:val="Light Grid - Accent 123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31">
    <w:name w:val="Light List - Accent 5313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31">
    <w:name w:val="Light List - Accent 11313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31">
    <w:name w:val="Light Grid - Accent 133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31">
    <w:name w:val="Medium Grid 1 - Accent 3313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31">
    <w:name w:val="Grid Table 4 Accent 3213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31">
    <w:name w:val="Table Grid113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
    <w:name w:val="No List531"/>
    <w:next w:val="NoList"/>
    <w:uiPriority w:val="99"/>
    <w:unhideWhenUsed/>
    <w:rsid w:val="00C9597C"/>
  </w:style>
  <w:style w:type="table" w:customStyle="1" w:styleId="MediumGrid1-Accent1531">
    <w:name w:val="Medium Grid 1 - Accent 153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31">
    <w:name w:val="Light Grid - Accent 1153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31">
    <w:name w:val="Light Grid - Accent 553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31">
    <w:name w:val="Light Grid - Accent 125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31">
    <w:name w:val="Light List - Accent 553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31">
    <w:name w:val="Light List - Accent 1153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31">
    <w:name w:val="Light Grid - Accent 135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31">
    <w:name w:val="Medium Grid 1 - Accent 353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31">
    <w:name w:val="No List1231"/>
    <w:next w:val="NoList"/>
    <w:uiPriority w:val="99"/>
    <w:unhideWhenUsed/>
    <w:rsid w:val="00C9597C"/>
  </w:style>
  <w:style w:type="numbering" w:customStyle="1" w:styleId="NoList2231">
    <w:name w:val="No List2231"/>
    <w:next w:val="NoList"/>
    <w:uiPriority w:val="99"/>
    <w:unhideWhenUsed/>
    <w:rsid w:val="00C9597C"/>
  </w:style>
  <w:style w:type="numbering" w:customStyle="1" w:styleId="NoList3231">
    <w:name w:val="No List3231"/>
    <w:next w:val="NoList"/>
    <w:uiPriority w:val="99"/>
    <w:unhideWhenUsed/>
    <w:rsid w:val="00C9597C"/>
  </w:style>
  <w:style w:type="numbering" w:customStyle="1" w:styleId="NoList631">
    <w:name w:val="No List631"/>
    <w:next w:val="NoList"/>
    <w:uiPriority w:val="99"/>
    <w:unhideWhenUsed/>
    <w:rsid w:val="00C9597C"/>
  </w:style>
  <w:style w:type="table" w:customStyle="1" w:styleId="MediumGrid1-Accent1631">
    <w:name w:val="Medium Grid 1 - Accent 163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31">
    <w:name w:val="Light Grid - Accent 1163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31">
    <w:name w:val="Light Grid - Accent 563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31">
    <w:name w:val="Light Grid - Accent 126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31">
    <w:name w:val="Light List - Accent 563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31">
    <w:name w:val="Light List - Accent 1163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31">
    <w:name w:val="Light Grid - Accent 136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31">
    <w:name w:val="Medium Grid 1 - Accent 363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31">
    <w:name w:val="No List1331"/>
    <w:next w:val="NoList"/>
    <w:uiPriority w:val="99"/>
    <w:unhideWhenUsed/>
    <w:rsid w:val="00C9597C"/>
  </w:style>
  <w:style w:type="numbering" w:customStyle="1" w:styleId="NoList2331">
    <w:name w:val="No List2331"/>
    <w:next w:val="NoList"/>
    <w:uiPriority w:val="99"/>
    <w:unhideWhenUsed/>
    <w:rsid w:val="00C9597C"/>
  </w:style>
  <w:style w:type="numbering" w:customStyle="1" w:styleId="NoList3331">
    <w:name w:val="No List3331"/>
    <w:next w:val="NoList"/>
    <w:uiPriority w:val="99"/>
    <w:unhideWhenUsed/>
    <w:rsid w:val="00C9597C"/>
  </w:style>
  <w:style w:type="numbering" w:customStyle="1" w:styleId="NoList101">
    <w:name w:val="No List101"/>
    <w:next w:val="NoList"/>
    <w:uiPriority w:val="99"/>
    <w:unhideWhenUsed/>
    <w:rsid w:val="00C9597C"/>
  </w:style>
  <w:style w:type="table" w:customStyle="1" w:styleId="TableGrid81">
    <w:name w:val="Table Grid8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61">
    <w:name w:val="Medium Grid 3 - Accent 16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01">
    <w:name w:val="Medium Grid 1 - Accent 1101"/>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01">
    <w:name w:val="Light Grid - Accent 11101"/>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01">
    <w:name w:val="Light Grid - Accent 5101"/>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01">
    <w:name w:val="Light Grid - Accent 12101"/>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01">
    <w:name w:val="Light List - Accent 5101"/>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01">
    <w:name w:val="Light List - Accent 11101"/>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01">
    <w:name w:val="Light Grid - Accent 1310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01">
    <w:name w:val="Medium Grid 1 - Accent 310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71">
    <w:name w:val="No List171"/>
    <w:next w:val="NoList"/>
    <w:uiPriority w:val="99"/>
    <w:unhideWhenUsed/>
    <w:rsid w:val="00C9597C"/>
  </w:style>
  <w:style w:type="table" w:customStyle="1" w:styleId="MediumGrid1-Accent1161">
    <w:name w:val="Medium Grid 1 - Accent 116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61">
    <w:name w:val="Light Grid - Accent 1116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61">
    <w:name w:val="Light Grid - Accent 516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61">
    <w:name w:val="Light Grid - Accent 1216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61">
    <w:name w:val="Light List - Accent 516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61">
    <w:name w:val="Light List - Accent 1116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61">
    <w:name w:val="Light Grid - Accent 1316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61">
    <w:name w:val="Medium Grid 1 - Accent 316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61">
    <w:name w:val="Grid Table 4 - Accent 316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71">
    <w:name w:val="No List271"/>
    <w:next w:val="NoList"/>
    <w:uiPriority w:val="99"/>
    <w:unhideWhenUsed/>
    <w:rsid w:val="00C9597C"/>
  </w:style>
  <w:style w:type="table" w:customStyle="1" w:styleId="MediumGrid1-Accent1261">
    <w:name w:val="Medium Grid 1 - Accent 126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61">
    <w:name w:val="Light Grid - Accent 1126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61">
    <w:name w:val="Light Grid - Accent 526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61">
    <w:name w:val="Light Grid - Accent 1226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61">
    <w:name w:val="Light List - Accent 526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61">
    <w:name w:val="Light List - Accent 1126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61">
    <w:name w:val="Light Grid - Accent 1326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61">
    <w:name w:val="Medium Grid 1 - Accent 326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61">
    <w:name w:val="Grid Table 4 Accent 316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71">
    <w:name w:val="No List371"/>
    <w:next w:val="NoList"/>
    <w:uiPriority w:val="99"/>
    <w:unhideWhenUsed/>
    <w:rsid w:val="00C9597C"/>
  </w:style>
  <w:style w:type="table" w:customStyle="1" w:styleId="MediumGrid1-Accent1361">
    <w:name w:val="Medium Grid 1 - Accent 136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61">
    <w:name w:val="Light Grid - Accent 1136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61">
    <w:name w:val="Light Grid - Accent 536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61">
    <w:name w:val="Light Grid - Accent 1236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61">
    <w:name w:val="Light List - Accent 536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61">
    <w:name w:val="Light List - Accent 1136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61">
    <w:name w:val="Light Grid - Accent 1336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61">
    <w:name w:val="Medium Grid 1 - Accent 336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61">
    <w:name w:val="Grid Table 4 Accent 326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61">
    <w:name w:val="Table Grid16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
    <w:name w:val="No List441"/>
    <w:next w:val="NoList"/>
    <w:uiPriority w:val="99"/>
    <w:unhideWhenUsed/>
    <w:rsid w:val="00C9597C"/>
  </w:style>
  <w:style w:type="table" w:customStyle="1" w:styleId="MediumGrid1-Accent1441">
    <w:name w:val="Medium Grid 1 - Accent 14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41">
    <w:name w:val="Light Grid - Accent 1144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41">
    <w:name w:val="Light Grid - Accent 54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41">
    <w:name w:val="Light Grid - Accent 124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41">
    <w:name w:val="Light List - Accent 54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41">
    <w:name w:val="Light List - Accent 114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41">
    <w:name w:val="Light Grid - Accent 134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41">
    <w:name w:val="Medium Grid 1 - Accent 34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41">
    <w:name w:val="Table Grid214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41">
    <w:name w:val="Medium Grid 3 - Accent 114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41">
    <w:name w:val="No List1141"/>
    <w:next w:val="NoList"/>
    <w:uiPriority w:val="99"/>
    <w:unhideWhenUsed/>
    <w:rsid w:val="00C9597C"/>
  </w:style>
  <w:style w:type="table" w:customStyle="1" w:styleId="MediumGrid1-Accent11141">
    <w:name w:val="Medium Grid 1 - Accent 111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41">
    <w:name w:val="Light Grid - Accent 111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41">
    <w:name w:val="Light Grid - Accent 5114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41">
    <w:name w:val="Light Grid - Accent 121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41">
    <w:name w:val="Light List - Accent 5114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41">
    <w:name w:val="Light List - Accent 1111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41">
    <w:name w:val="Light Grid - Accent 131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41">
    <w:name w:val="Medium Grid 1 - Accent 311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41">
    <w:name w:val="Grid Table 4 - Accent 3114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41">
    <w:name w:val="No List2141"/>
    <w:next w:val="NoList"/>
    <w:uiPriority w:val="99"/>
    <w:unhideWhenUsed/>
    <w:rsid w:val="00C9597C"/>
  </w:style>
  <w:style w:type="table" w:customStyle="1" w:styleId="MediumGrid1-Accent12141">
    <w:name w:val="Medium Grid 1 - Accent 121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41">
    <w:name w:val="Light Grid - Accent 11214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41">
    <w:name w:val="Light Grid - Accent 521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41">
    <w:name w:val="Light Grid - Accent 122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41">
    <w:name w:val="Light List - Accent 521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41">
    <w:name w:val="Light List - Accent 1121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41">
    <w:name w:val="Light Grid - Accent 132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41">
    <w:name w:val="Medium Grid 1 - Accent 321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41">
    <w:name w:val="Grid Table 4 Accent 3114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41">
    <w:name w:val="No List3141"/>
    <w:next w:val="NoList"/>
    <w:uiPriority w:val="99"/>
    <w:unhideWhenUsed/>
    <w:rsid w:val="00C9597C"/>
  </w:style>
  <w:style w:type="table" w:customStyle="1" w:styleId="MediumGrid1-Accent13141">
    <w:name w:val="Medium Grid 1 - Accent 131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41">
    <w:name w:val="Light Grid - Accent 11314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41">
    <w:name w:val="Light Grid - Accent 531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41">
    <w:name w:val="Light Grid - Accent 123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41">
    <w:name w:val="Light List - Accent 531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41">
    <w:name w:val="Light List - Accent 1131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41">
    <w:name w:val="Light Grid - Accent 133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41">
    <w:name w:val="Medium Grid 1 - Accent 331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41">
    <w:name w:val="Grid Table 4 Accent 3214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41">
    <w:name w:val="Table Grid114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1">
    <w:name w:val="No List541"/>
    <w:next w:val="NoList"/>
    <w:uiPriority w:val="99"/>
    <w:unhideWhenUsed/>
    <w:rsid w:val="00C9597C"/>
  </w:style>
  <w:style w:type="table" w:customStyle="1" w:styleId="MediumGrid1-Accent1541">
    <w:name w:val="Medium Grid 1 - Accent 15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41">
    <w:name w:val="Light Grid - Accent 1154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41">
    <w:name w:val="Light Grid - Accent 55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41">
    <w:name w:val="Light Grid - Accent 125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41">
    <w:name w:val="Light List - Accent 55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41">
    <w:name w:val="Light List - Accent 115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41">
    <w:name w:val="Light Grid - Accent 135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41">
    <w:name w:val="Medium Grid 1 - Accent 35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41">
    <w:name w:val="No List1241"/>
    <w:next w:val="NoList"/>
    <w:uiPriority w:val="99"/>
    <w:unhideWhenUsed/>
    <w:rsid w:val="00C9597C"/>
  </w:style>
  <w:style w:type="numbering" w:customStyle="1" w:styleId="NoList2241">
    <w:name w:val="No List2241"/>
    <w:next w:val="NoList"/>
    <w:uiPriority w:val="99"/>
    <w:unhideWhenUsed/>
    <w:rsid w:val="00C9597C"/>
  </w:style>
  <w:style w:type="numbering" w:customStyle="1" w:styleId="NoList3241">
    <w:name w:val="No List3241"/>
    <w:next w:val="NoList"/>
    <w:uiPriority w:val="99"/>
    <w:unhideWhenUsed/>
    <w:rsid w:val="00C9597C"/>
  </w:style>
  <w:style w:type="numbering" w:customStyle="1" w:styleId="NoList641">
    <w:name w:val="No List641"/>
    <w:next w:val="NoList"/>
    <w:uiPriority w:val="99"/>
    <w:unhideWhenUsed/>
    <w:rsid w:val="00C9597C"/>
  </w:style>
  <w:style w:type="table" w:customStyle="1" w:styleId="MediumGrid1-Accent1641">
    <w:name w:val="Medium Grid 1 - Accent 16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41">
    <w:name w:val="Light Grid - Accent 1164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41">
    <w:name w:val="Light Grid - Accent 56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41">
    <w:name w:val="Light Grid - Accent 126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41">
    <w:name w:val="Light List - Accent 56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41">
    <w:name w:val="Light List - Accent 116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41">
    <w:name w:val="Light Grid - Accent 136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41">
    <w:name w:val="Medium Grid 1 - Accent 36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41">
    <w:name w:val="No List1341"/>
    <w:next w:val="NoList"/>
    <w:uiPriority w:val="99"/>
    <w:unhideWhenUsed/>
    <w:rsid w:val="00C9597C"/>
  </w:style>
  <w:style w:type="numbering" w:customStyle="1" w:styleId="NoList2341">
    <w:name w:val="No List2341"/>
    <w:next w:val="NoList"/>
    <w:uiPriority w:val="99"/>
    <w:unhideWhenUsed/>
    <w:rsid w:val="00C9597C"/>
  </w:style>
  <w:style w:type="numbering" w:customStyle="1" w:styleId="NoList3341">
    <w:name w:val="No List3341"/>
    <w:next w:val="NoList"/>
    <w:uiPriority w:val="99"/>
    <w:unhideWhenUsed/>
    <w:rsid w:val="00C9597C"/>
  </w:style>
  <w:style w:type="numbering" w:customStyle="1" w:styleId="NoList181">
    <w:name w:val="No List181"/>
    <w:next w:val="NoList"/>
    <w:uiPriority w:val="99"/>
    <w:unhideWhenUsed/>
    <w:rsid w:val="00C9597C"/>
  </w:style>
  <w:style w:type="table" w:customStyle="1" w:styleId="TableGrid91">
    <w:name w:val="Table Grid9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71">
    <w:name w:val="Medium Grid 3 - Accent 17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71">
    <w:name w:val="Medium Grid 1 - Accent 1171"/>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71">
    <w:name w:val="Light Grid - Accent 11171"/>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71">
    <w:name w:val="Light Grid - Accent 5171"/>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71">
    <w:name w:val="Light Grid - Accent 12171"/>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71">
    <w:name w:val="Light List - Accent 5171"/>
    <w:basedOn w:val="TableNormal"/>
    <w:next w:val="LightList-Accent5"/>
    <w:uiPriority w:val="61"/>
    <w:locked/>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71">
    <w:name w:val="Light List - Accent 11171"/>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71">
    <w:name w:val="Light Grid - Accent 1317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71">
    <w:name w:val="Medium Grid 1 - Accent 317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91">
    <w:name w:val="No List191"/>
    <w:next w:val="NoList"/>
    <w:uiPriority w:val="99"/>
    <w:unhideWhenUsed/>
    <w:rsid w:val="00C9597C"/>
  </w:style>
  <w:style w:type="table" w:customStyle="1" w:styleId="MediumGrid1-Accent1181">
    <w:name w:val="Medium Grid 1 - Accent 118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81">
    <w:name w:val="Light Grid - Accent 1118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81">
    <w:name w:val="Light Grid - Accent 518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81">
    <w:name w:val="Light Grid - Accent 1218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81">
    <w:name w:val="Light List - Accent 518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81">
    <w:name w:val="Light List - Accent 1118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81">
    <w:name w:val="Light Grid - Accent 1318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81">
    <w:name w:val="Medium Grid 1 - Accent 318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71">
    <w:name w:val="Grid Table 4 - Accent 317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81">
    <w:name w:val="No List281"/>
    <w:next w:val="NoList"/>
    <w:uiPriority w:val="99"/>
    <w:unhideWhenUsed/>
    <w:rsid w:val="00C9597C"/>
  </w:style>
  <w:style w:type="table" w:customStyle="1" w:styleId="MediumGrid1-Accent1271">
    <w:name w:val="Medium Grid 1 - Accent 127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71">
    <w:name w:val="Light Grid - Accent 1127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71">
    <w:name w:val="Light Grid - Accent 527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71">
    <w:name w:val="Light Grid - Accent 1227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71">
    <w:name w:val="Light List - Accent 527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71">
    <w:name w:val="Light List - Accent 1127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71">
    <w:name w:val="Light Grid - Accent 1327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71">
    <w:name w:val="Medium Grid 1 - Accent 327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71">
    <w:name w:val="Grid Table 4 Accent 317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81">
    <w:name w:val="No List381"/>
    <w:next w:val="NoList"/>
    <w:uiPriority w:val="99"/>
    <w:unhideWhenUsed/>
    <w:rsid w:val="00C9597C"/>
  </w:style>
  <w:style w:type="table" w:customStyle="1" w:styleId="MediumGrid1-Accent1371">
    <w:name w:val="Medium Grid 1 - Accent 137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71">
    <w:name w:val="Light Grid - Accent 1137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71">
    <w:name w:val="Light Grid - Accent 537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71">
    <w:name w:val="Light Grid - Accent 1237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71">
    <w:name w:val="Light List - Accent 537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71">
    <w:name w:val="Light List - Accent 1137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71">
    <w:name w:val="Light Grid - Accent 1337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71">
    <w:name w:val="Medium Grid 1 - Accent 337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71">
    <w:name w:val="Grid Table 4 Accent 327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71">
    <w:name w:val="Table Grid17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1">
    <w:name w:val="No List451"/>
    <w:next w:val="NoList"/>
    <w:uiPriority w:val="99"/>
    <w:unhideWhenUsed/>
    <w:rsid w:val="00C9597C"/>
  </w:style>
  <w:style w:type="table" w:customStyle="1" w:styleId="MediumGrid1-Accent1451">
    <w:name w:val="Medium Grid 1 - Accent 145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51">
    <w:name w:val="Light Grid - Accent 1145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51">
    <w:name w:val="Light Grid - Accent 54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51">
    <w:name w:val="Light Grid - Accent 124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51">
    <w:name w:val="Light List - Accent 54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51">
    <w:name w:val="Light List - Accent 114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51">
    <w:name w:val="Light Grid - Accent 134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51">
    <w:name w:val="Medium Grid 1 - Accent 34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51">
    <w:name w:val="Table Grid215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51">
    <w:name w:val="Medium Grid 3 - Accent 115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51">
    <w:name w:val="No List1151"/>
    <w:next w:val="NoList"/>
    <w:uiPriority w:val="99"/>
    <w:unhideWhenUsed/>
    <w:rsid w:val="00C9597C"/>
  </w:style>
  <w:style w:type="table" w:customStyle="1" w:styleId="MediumGrid1-Accent11151">
    <w:name w:val="Medium Grid 1 - Accent 1115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51">
    <w:name w:val="Light Grid - Accent 111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51">
    <w:name w:val="Light Grid - Accent 5115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51">
    <w:name w:val="Light Grid - Accent 121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51">
    <w:name w:val="Light List - Accent 5115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51">
    <w:name w:val="Light List - Accent 1111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51">
    <w:name w:val="Light Grid - Accent 131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51">
    <w:name w:val="Medium Grid 1 - Accent 311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51">
    <w:name w:val="Grid Table 4 - Accent 3115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51">
    <w:name w:val="No List2151"/>
    <w:next w:val="NoList"/>
    <w:uiPriority w:val="99"/>
    <w:unhideWhenUsed/>
    <w:rsid w:val="00C9597C"/>
  </w:style>
  <w:style w:type="table" w:customStyle="1" w:styleId="MediumGrid1-Accent12151">
    <w:name w:val="Medium Grid 1 - Accent 1215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51">
    <w:name w:val="Light Grid - Accent 11215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51">
    <w:name w:val="Light Grid - Accent 521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51">
    <w:name w:val="Light Grid - Accent 122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51">
    <w:name w:val="Light List - Accent 521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51">
    <w:name w:val="Light List - Accent 1121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51">
    <w:name w:val="Light Grid - Accent 132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51">
    <w:name w:val="Medium Grid 1 - Accent 321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51">
    <w:name w:val="Grid Table 4 Accent 3115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51">
    <w:name w:val="No List3151"/>
    <w:next w:val="NoList"/>
    <w:uiPriority w:val="99"/>
    <w:unhideWhenUsed/>
    <w:rsid w:val="00C9597C"/>
  </w:style>
  <w:style w:type="table" w:customStyle="1" w:styleId="MediumGrid1-Accent13151">
    <w:name w:val="Medium Grid 1 - Accent 1315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51">
    <w:name w:val="Light Grid - Accent 11315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51">
    <w:name w:val="Light Grid - Accent 531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51">
    <w:name w:val="Light Grid - Accent 123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51">
    <w:name w:val="Light List - Accent 531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51">
    <w:name w:val="Light List - Accent 1131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51">
    <w:name w:val="Light Grid - Accent 133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51">
    <w:name w:val="Medium Grid 1 - Accent 331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51">
    <w:name w:val="Grid Table 4 Accent 3215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51">
    <w:name w:val="Table Grid115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1">
    <w:name w:val="No List551"/>
    <w:next w:val="NoList"/>
    <w:uiPriority w:val="99"/>
    <w:unhideWhenUsed/>
    <w:rsid w:val="00C9597C"/>
  </w:style>
  <w:style w:type="table" w:customStyle="1" w:styleId="MediumGrid1-Accent1551">
    <w:name w:val="Medium Grid 1 - Accent 155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51">
    <w:name w:val="Light Grid - Accent 1155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51">
    <w:name w:val="Light Grid - Accent 55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51">
    <w:name w:val="Light Grid - Accent 125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51">
    <w:name w:val="Light List - Accent 55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51">
    <w:name w:val="Light List - Accent 115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51">
    <w:name w:val="Light Grid - Accent 135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51">
    <w:name w:val="Medium Grid 1 - Accent 35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51">
    <w:name w:val="No List1251"/>
    <w:next w:val="NoList"/>
    <w:uiPriority w:val="99"/>
    <w:unhideWhenUsed/>
    <w:rsid w:val="00C9597C"/>
  </w:style>
  <w:style w:type="numbering" w:customStyle="1" w:styleId="NoList2251">
    <w:name w:val="No List2251"/>
    <w:next w:val="NoList"/>
    <w:uiPriority w:val="99"/>
    <w:unhideWhenUsed/>
    <w:rsid w:val="00C9597C"/>
  </w:style>
  <w:style w:type="numbering" w:customStyle="1" w:styleId="NoList3251">
    <w:name w:val="No List3251"/>
    <w:next w:val="NoList"/>
    <w:uiPriority w:val="99"/>
    <w:unhideWhenUsed/>
    <w:rsid w:val="00C9597C"/>
  </w:style>
  <w:style w:type="numbering" w:customStyle="1" w:styleId="NoList651">
    <w:name w:val="No List651"/>
    <w:next w:val="NoList"/>
    <w:uiPriority w:val="99"/>
    <w:unhideWhenUsed/>
    <w:rsid w:val="00C9597C"/>
  </w:style>
  <w:style w:type="table" w:customStyle="1" w:styleId="MediumGrid1-Accent1651">
    <w:name w:val="Medium Grid 1 - Accent 165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51">
    <w:name w:val="Light Grid - Accent 1165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51">
    <w:name w:val="Light Grid - Accent 56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51">
    <w:name w:val="Light Grid - Accent 126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51">
    <w:name w:val="Light List - Accent 56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51">
    <w:name w:val="Light List - Accent 116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51">
    <w:name w:val="Light Grid - Accent 136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51">
    <w:name w:val="Medium Grid 1 - Accent 36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51">
    <w:name w:val="No List1351"/>
    <w:next w:val="NoList"/>
    <w:uiPriority w:val="99"/>
    <w:unhideWhenUsed/>
    <w:rsid w:val="00C9597C"/>
  </w:style>
  <w:style w:type="numbering" w:customStyle="1" w:styleId="NoList2351">
    <w:name w:val="No List2351"/>
    <w:next w:val="NoList"/>
    <w:uiPriority w:val="99"/>
    <w:unhideWhenUsed/>
    <w:rsid w:val="00C9597C"/>
  </w:style>
  <w:style w:type="numbering" w:customStyle="1" w:styleId="NoList3351">
    <w:name w:val="No List3351"/>
    <w:next w:val="NoList"/>
    <w:uiPriority w:val="99"/>
    <w:unhideWhenUsed/>
    <w:rsid w:val="00C9597C"/>
  </w:style>
  <w:style w:type="table" w:styleId="GridTable4-Accent5">
    <w:name w:val="Grid Table 4 Accent 5"/>
    <w:basedOn w:val="TableNormal"/>
    <w:uiPriority w:val="49"/>
    <w:rsid w:val="00B25DA6"/>
    <w:rPr>
      <w:rFonts w:asciiTheme="minorHAnsi" w:hAnsiTheme="minorHAnsi" w:cstheme="minorBidi"/>
      <w:sz w:val="22"/>
      <w:szCs w:val="22"/>
      <w:lang w:val="en-IN"/>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numbering" w:customStyle="1" w:styleId="NoList30">
    <w:name w:val="No List30"/>
    <w:next w:val="NoList"/>
    <w:uiPriority w:val="99"/>
    <w:unhideWhenUsed/>
    <w:rsid w:val="00C64FC7"/>
  </w:style>
  <w:style w:type="table" w:customStyle="1" w:styleId="TableGrid19">
    <w:name w:val="Table Grid19"/>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9">
    <w:name w:val="Medium Grid 3 - Accent 19"/>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20">
    <w:name w:val="Medium Grid 1 - Accent 120"/>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20">
    <w:name w:val="Light Grid - Accent 1120"/>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20">
    <w:name w:val="Light Grid - Accent 520"/>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20">
    <w:name w:val="Light Grid - Accent 1220"/>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20">
    <w:name w:val="Light List - Accent 520"/>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0">
    <w:name w:val="Light List - Accent 1120"/>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20">
    <w:name w:val="Light Grid - Accent 1320"/>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20">
    <w:name w:val="Medium Grid 1 - Accent 320"/>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17">
    <w:name w:val="No List117"/>
    <w:next w:val="NoList"/>
    <w:uiPriority w:val="99"/>
    <w:unhideWhenUsed/>
    <w:rsid w:val="00C64FC7"/>
  </w:style>
  <w:style w:type="table" w:customStyle="1" w:styleId="MediumGrid1-Accent1117">
    <w:name w:val="Medium Grid 1 - Accent 1117"/>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7">
    <w:name w:val="Light Grid - Accent 1111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7">
    <w:name w:val="Light Grid - Accent 5117"/>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7">
    <w:name w:val="Light Grid - Accent 1211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7">
    <w:name w:val="Light List - Accent 5117"/>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7">
    <w:name w:val="Light List - Accent 11117"/>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7">
    <w:name w:val="Light Grid - Accent 1311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7">
    <w:name w:val="Medium Grid 1 - Accent 3117"/>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9">
    <w:name w:val="Grid Table 4 - Accent 319"/>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0">
    <w:name w:val="No List210"/>
    <w:next w:val="NoList"/>
    <w:uiPriority w:val="99"/>
    <w:unhideWhenUsed/>
    <w:rsid w:val="00C64FC7"/>
  </w:style>
  <w:style w:type="table" w:customStyle="1" w:styleId="MediumGrid1-Accent129">
    <w:name w:val="Medium Grid 1 - Accent 129"/>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9">
    <w:name w:val="Light Grid - Accent 1129"/>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9">
    <w:name w:val="Light Grid - Accent 529"/>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9">
    <w:name w:val="Light Grid - Accent 1229"/>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9">
    <w:name w:val="Light List - Accent 529"/>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9">
    <w:name w:val="Light List - Accent 1129"/>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9">
    <w:name w:val="Light Grid - Accent 1329"/>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9">
    <w:name w:val="Medium Grid 1 - Accent 329"/>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9">
    <w:name w:val="Grid Table 4 Accent 319"/>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0">
    <w:name w:val="No List310"/>
    <w:next w:val="NoList"/>
    <w:uiPriority w:val="99"/>
    <w:unhideWhenUsed/>
    <w:rsid w:val="00C64FC7"/>
  </w:style>
  <w:style w:type="table" w:customStyle="1" w:styleId="MediumGrid1-Accent139">
    <w:name w:val="Medium Grid 1 - Accent 139"/>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9">
    <w:name w:val="Light Grid - Accent 1139"/>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9">
    <w:name w:val="Light Grid - Accent 539"/>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9">
    <w:name w:val="Light Grid - Accent 1239"/>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9">
    <w:name w:val="Light List - Accent 539"/>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9">
    <w:name w:val="Light List - Accent 1139"/>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9">
    <w:name w:val="Light Grid - Accent 1339"/>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9">
    <w:name w:val="Medium Grid 1 - Accent 339"/>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9">
    <w:name w:val="Grid Table 4 Accent 329"/>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0">
    <w:name w:val="Table Grid110"/>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
    <w:name w:val="No List47"/>
    <w:next w:val="NoList"/>
    <w:uiPriority w:val="99"/>
    <w:unhideWhenUsed/>
    <w:rsid w:val="00C64FC7"/>
  </w:style>
  <w:style w:type="table" w:customStyle="1" w:styleId="MediumGrid1-Accent147">
    <w:name w:val="Medium Grid 1 - Accent 147"/>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7">
    <w:name w:val="Light Grid - Accent 1147"/>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7">
    <w:name w:val="Light Grid - Accent 547"/>
    <w:basedOn w:val="TableNormal"/>
    <w:next w:val="LightGrid-Accent5"/>
    <w:uiPriority w:val="62"/>
    <w:qFormat/>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7">
    <w:name w:val="Light Grid - Accent 124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7">
    <w:name w:val="Light List - Accent 547"/>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7">
    <w:name w:val="Light List - Accent 1147"/>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7">
    <w:name w:val="Light Grid - Accent 134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7">
    <w:name w:val="Medium Grid 1 - Accent 347"/>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32">
    <w:name w:val="Table Grid3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7">
    <w:name w:val="Medium Grid 3 - Accent 117"/>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8">
    <w:name w:val="No List118"/>
    <w:next w:val="NoList"/>
    <w:uiPriority w:val="99"/>
    <w:unhideWhenUsed/>
    <w:rsid w:val="00C64FC7"/>
  </w:style>
  <w:style w:type="table" w:customStyle="1" w:styleId="MediumGrid1-Accent1118">
    <w:name w:val="Medium Grid 1 - Accent 1118"/>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8">
    <w:name w:val="Light Grid - Accent 1111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8">
    <w:name w:val="Light Grid - Accent 5118"/>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8">
    <w:name w:val="Light Grid - Accent 1211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8">
    <w:name w:val="Light List - Accent 5118"/>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8">
    <w:name w:val="Light List - Accent 11118"/>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8">
    <w:name w:val="Light Grid - Accent 1311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8">
    <w:name w:val="Medium Grid 1 - Accent 3118"/>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7">
    <w:name w:val="Grid Table 4 - Accent 3117"/>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7">
    <w:name w:val="No List217"/>
    <w:next w:val="NoList"/>
    <w:uiPriority w:val="99"/>
    <w:unhideWhenUsed/>
    <w:rsid w:val="00C64FC7"/>
  </w:style>
  <w:style w:type="table" w:customStyle="1" w:styleId="MediumGrid1-Accent1217">
    <w:name w:val="Medium Grid 1 - Accent 1217"/>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7">
    <w:name w:val="Light Grid - Accent 11217"/>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7">
    <w:name w:val="Light Grid - Accent 5217"/>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7">
    <w:name w:val="Light Grid - Accent 1221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7">
    <w:name w:val="Light List - Accent 5217"/>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7">
    <w:name w:val="Light List - Accent 11217"/>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7">
    <w:name w:val="Light Grid - Accent 1321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7">
    <w:name w:val="Medium Grid 1 - Accent 3217"/>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7">
    <w:name w:val="Grid Table 4 Accent 3117"/>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7">
    <w:name w:val="No List317"/>
    <w:next w:val="NoList"/>
    <w:uiPriority w:val="99"/>
    <w:unhideWhenUsed/>
    <w:rsid w:val="00C64FC7"/>
  </w:style>
  <w:style w:type="table" w:customStyle="1" w:styleId="MediumGrid1-Accent1317">
    <w:name w:val="Medium Grid 1 - Accent 1317"/>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7">
    <w:name w:val="Light Grid - Accent 11317"/>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7">
    <w:name w:val="Light Grid - Accent 5317"/>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7">
    <w:name w:val="Light Grid - Accent 1231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7">
    <w:name w:val="Light List - Accent 5317"/>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7">
    <w:name w:val="Light List - Accent 11317"/>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7">
    <w:name w:val="Light Grid - Accent 1331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7">
    <w:name w:val="Medium Grid 1 - Accent 3317"/>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7">
    <w:name w:val="Grid Table 4 Accent 3217"/>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7">
    <w:name w:val="Table Grid117"/>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
    <w:name w:val="No List57"/>
    <w:next w:val="NoList"/>
    <w:uiPriority w:val="99"/>
    <w:unhideWhenUsed/>
    <w:rsid w:val="00C64FC7"/>
  </w:style>
  <w:style w:type="table" w:customStyle="1" w:styleId="TableGrid42">
    <w:name w:val="Table Grid42"/>
    <w:basedOn w:val="TableNormal"/>
    <w:next w:val="TableGrid"/>
    <w:uiPriority w:val="5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22">
    <w:name w:val="Medium Grid 3 - Accent 12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57">
    <w:name w:val="Medium Grid 1 - Accent 157"/>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57">
    <w:name w:val="Light Grid - Accent 1157"/>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57">
    <w:name w:val="Light Grid - Accent 557"/>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57">
    <w:name w:val="Light Grid - Accent 1257"/>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57">
    <w:name w:val="Light List - Accent 557"/>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7">
    <w:name w:val="Light List - Accent 1157"/>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57">
    <w:name w:val="Light Grid - Accent 135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57">
    <w:name w:val="Medium Grid 1 - Accent 357"/>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27">
    <w:name w:val="No List127"/>
    <w:next w:val="NoList"/>
    <w:uiPriority w:val="99"/>
    <w:unhideWhenUsed/>
    <w:rsid w:val="00C64FC7"/>
  </w:style>
  <w:style w:type="table" w:customStyle="1" w:styleId="MediumGrid1-Accent1122">
    <w:name w:val="Medium Grid 1 - Accent 112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22">
    <w:name w:val="Light Grid - Accent 11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22">
    <w:name w:val="Light Grid - Accent 512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22">
    <w:name w:val="Light Grid - Accent 12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22">
    <w:name w:val="Light List - Accent 512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2">
    <w:name w:val="Light List - Accent 1112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22">
    <w:name w:val="Light Grid - Accent 13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22">
    <w:name w:val="Medium Grid 1 - Accent 312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22">
    <w:name w:val="Grid Table 4 - Accent 312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27">
    <w:name w:val="No List227"/>
    <w:next w:val="NoList"/>
    <w:uiPriority w:val="99"/>
    <w:unhideWhenUsed/>
    <w:rsid w:val="00C64FC7"/>
  </w:style>
  <w:style w:type="table" w:customStyle="1" w:styleId="MediumGrid1-Accent1222">
    <w:name w:val="Medium Grid 1 - Accent 122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22">
    <w:name w:val="Light Grid - Accent 1122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22">
    <w:name w:val="Light Grid - Accent 522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22">
    <w:name w:val="Light Grid - Accent 122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22">
    <w:name w:val="Light List - Accent 522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22">
    <w:name w:val="Light List - Accent 1122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22">
    <w:name w:val="Light Grid - Accent 132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22">
    <w:name w:val="Medium Grid 1 - Accent 322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22">
    <w:name w:val="Grid Table 4 Accent 312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27">
    <w:name w:val="No List327"/>
    <w:next w:val="NoList"/>
    <w:uiPriority w:val="99"/>
    <w:unhideWhenUsed/>
    <w:rsid w:val="00C64FC7"/>
  </w:style>
  <w:style w:type="table" w:customStyle="1" w:styleId="MediumGrid1-Accent1322">
    <w:name w:val="Medium Grid 1 - Accent 132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22">
    <w:name w:val="Light Grid - Accent 1132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22">
    <w:name w:val="Light Grid - Accent 532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22">
    <w:name w:val="Light Grid - Accent 123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22">
    <w:name w:val="Light List - Accent 532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22">
    <w:name w:val="Light List - Accent 1132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22">
    <w:name w:val="Light Grid - Accent 133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22">
    <w:name w:val="Medium Grid 1 - Accent 332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22">
    <w:name w:val="Grid Table 4 Accent 322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22">
    <w:name w:val="Table Grid12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next w:val="TableGrid"/>
    <w:uiPriority w:val="3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
    <w:name w:val="No List67"/>
    <w:next w:val="NoList"/>
    <w:uiPriority w:val="99"/>
    <w:unhideWhenUsed/>
    <w:rsid w:val="00C64FC7"/>
  </w:style>
  <w:style w:type="table" w:customStyle="1" w:styleId="MediumGrid1-Accent167">
    <w:name w:val="Medium Grid 1 - Accent 167"/>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7">
    <w:name w:val="Light Grid - Accent 1167"/>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7">
    <w:name w:val="Light Grid - Accent 567"/>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7">
    <w:name w:val="Light Grid - Accent 126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7">
    <w:name w:val="Light List - Accent 567"/>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7">
    <w:name w:val="Light List - Accent 1167"/>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7">
    <w:name w:val="Light Grid - Accent 136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7">
    <w:name w:val="Medium Grid 1 - Accent 367"/>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7">
    <w:name w:val="No List137"/>
    <w:next w:val="NoList"/>
    <w:uiPriority w:val="99"/>
    <w:unhideWhenUsed/>
    <w:rsid w:val="00C64FC7"/>
  </w:style>
  <w:style w:type="numbering" w:customStyle="1" w:styleId="NoList237">
    <w:name w:val="No List237"/>
    <w:next w:val="NoList"/>
    <w:uiPriority w:val="99"/>
    <w:unhideWhenUsed/>
    <w:rsid w:val="00C64FC7"/>
  </w:style>
  <w:style w:type="numbering" w:customStyle="1" w:styleId="NoList337">
    <w:name w:val="No List337"/>
    <w:next w:val="NoList"/>
    <w:uiPriority w:val="99"/>
    <w:unhideWhenUsed/>
    <w:rsid w:val="00C64FC7"/>
  </w:style>
  <w:style w:type="numbering" w:customStyle="1" w:styleId="NoList72">
    <w:name w:val="No List72"/>
    <w:next w:val="NoList"/>
    <w:uiPriority w:val="99"/>
    <w:unhideWhenUsed/>
    <w:rsid w:val="00C64FC7"/>
  </w:style>
  <w:style w:type="table" w:customStyle="1" w:styleId="TableGrid52">
    <w:name w:val="Table Grid5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32">
    <w:name w:val="Medium Grid 3 - Accent 13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72">
    <w:name w:val="Medium Grid 1 - Accent 17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72">
    <w:name w:val="Light Grid - Accent 117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72">
    <w:name w:val="Light Grid - Accent 57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72">
    <w:name w:val="Light Grid - Accent 127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72">
    <w:name w:val="Light List - Accent 57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72">
    <w:name w:val="Light List - Accent 117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72">
    <w:name w:val="Light Grid - Accent 137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72">
    <w:name w:val="Medium Grid 1 - Accent 37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42">
    <w:name w:val="No List142"/>
    <w:next w:val="NoList"/>
    <w:uiPriority w:val="99"/>
    <w:unhideWhenUsed/>
    <w:rsid w:val="00C64FC7"/>
  </w:style>
  <w:style w:type="table" w:customStyle="1" w:styleId="MediumGrid1-Accent1132">
    <w:name w:val="Medium Grid 1 - Accent 113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32">
    <w:name w:val="Light Grid - Accent 11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32">
    <w:name w:val="Light Grid - Accent 513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32">
    <w:name w:val="Light Grid - Accent 12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32">
    <w:name w:val="Light List - Accent 513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2">
    <w:name w:val="Light List - Accent 1113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32">
    <w:name w:val="Light Grid - Accent 13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32">
    <w:name w:val="Medium Grid 1 - Accent 313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32">
    <w:name w:val="Grid Table 4 - Accent 313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42">
    <w:name w:val="No List242"/>
    <w:next w:val="NoList"/>
    <w:uiPriority w:val="99"/>
    <w:unhideWhenUsed/>
    <w:rsid w:val="00C64FC7"/>
  </w:style>
  <w:style w:type="table" w:customStyle="1" w:styleId="MediumGrid1-Accent1232">
    <w:name w:val="Medium Grid 1 - Accent 123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32">
    <w:name w:val="Light Grid - Accent 1123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32">
    <w:name w:val="Light Grid - Accent 523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32">
    <w:name w:val="Light Grid - Accent 122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32">
    <w:name w:val="Light List - Accent 523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32">
    <w:name w:val="Light List - Accent 1123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32">
    <w:name w:val="Light Grid - Accent 132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32">
    <w:name w:val="Medium Grid 1 - Accent 323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32">
    <w:name w:val="Grid Table 4 Accent 313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42">
    <w:name w:val="No List342"/>
    <w:next w:val="NoList"/>
    <w:uiPriority w:val="99"/>
    <w:unhideWhenUsed/>
    <w:rsid w:val="00C64FC7"/>
  </w:style>
  <w:style w:type="table" w:customStyle="1" w:styleId="MediumGrid1-Accent1332">
    <w:name w:val="Medium Grid 1 - Accent 133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32">
    <w:name w:val="Light Grid - Accent 1133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32">
    <w:name w:val="Light Grid - Accent 533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32">
    <w:name w:val="Light Grid - Accent 123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32">
    <w:name w:val="Light List - Accent 533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32">
    <w:name w:val="Light List - Accent 1133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32">
    <w:name w:val="Light Grid - Accent 133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32">
    <w:name w:val="Medium Grid 1 - Accent 333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32">
    <w:name w:val="Grid Table 4 Accent 323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32">
    <w:name w:val="Table Grid13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
    <w:name w:val="No List412"/>
    <w:next w:val="NoList"/>
    <w:uiPriority w:val="99"/>
    <w:unhideWhenUsed/>
    <w:rsid w:val="00C64FC7"/>
  </w:style>
  <w:style w:type="table" w:customStyle="1" w:styleId="MediumGrid1-Accent1412">
    <w:name w:val="Medium Grid 1 - Accent 14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12">
    <w:name w:val="Light Grid - Accent 114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12">
    <w:name w:val="Light Grid - Accent 54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12">
    <w:name w:val="Light Grid - Accent 12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12">
    <w:name w:val="Light List - Accent 54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12">
    <w:name w:val="Light List - Accent 114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12">
    <w:name w:val="Light Grid - Accent 13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12">
    <w:name w:val="Medium Grid 1 - Accent 34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12">
    <w:name w:val="Table Grid21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12">
    <w:name w:val="Medium Grid 3 - Accent 111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2">
    <w:name w:val="No List1112"/>
    <w:next w:val="NoList"/>
    <w:uiPriority w:val="99"/>
    <w:unhideWhenUsed/>
    <w:rsid w:val="00C64FC7"/>
  </w:style>
  <w:style w:type="table" w:customStyle="1" w:styleId="MediumGrid1-Accent11112">
    <w:name w:val="Medium Grid 1 - Accent 111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2">
    <w:name w:val="Light Grid - Accent 11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2">
    <w:name w:val="Light Grid - Accent 511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2">
    <w:name w:val="Light Grid - Accent 12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2">
    <w:name w:val="Light List - Accent 511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2">
    <w:name w:val="Light List - Accent 1111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2">
    <w:name w:val="Light Grid - Accent 13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2">
    <w:name w:val="Medium Grid 1 - Accent 311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12">
    <w:name w:val="Grid Table 4 - Accent 311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12">
    <w:name w:val="No List2112"/>
    <w:next w:val="NoList"/>
    <w:uiPriority w:val="99"/>
    <w:unhideWhenUsed/>
    <w:rsid w:val="00C64FC7"/>
  </w:style>
  <w:style w:type="table" w:customStyle="1" w:styleId="MediumGrid1-Accent12112">
    <w:name w:val="Medium Grid 1 - Accent 121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12">
    <w:name w:val="Light Grid - Accent 1121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12">
    <w:name w:val="Light Grid - Accent 521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12">
    <w:name w:val="Light Grid - Accent 122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12">
    <w:name w:val="Light List - Accent 521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12">
    <w:name w:val="Light List - Accent 1121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12">
    <w:name w:val="Light Grid - Accent 132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12">
    <w:name w:val="Medium Grid 1 - Accent 321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12">
    <w:name w:val="Grid Table 4 Accent 311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12">
    <w:name w:val="No List3112"/>
    <w:next w:val="NoList"/>
    <w:uiPriority w:val="99"/>
    <w:unhideWhenUsed/>
    <w:rsid w:val="00C64FC7"/>
  </w:style>
  <w:style w:type="table" w:customStyle="1" w:styleId="MediumGrid1-Accent13112">
    <w:name w:val="Medium Grid 1 - Accent 131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12">
    <w:name w:val="Light Grid - Accent 1131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12">
    <w:name w:val="Light Grid - Accent 531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12">
    <w:name w:val="Light Grid - Accent 123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12">
    <w:name w:val="Light List - Accent 531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12">
    <w:name w:val="Light List - Accent 1131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12">
    <w:name w:val="Light Grid - Accent 133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12">
    <w:name w:val="Medium Grid 1 - Accent 331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12">
    <w:name w:val="Grid Table 4 Accent 321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12">
    <w:name w:val="Table Grid111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
    <w:name w:val="No List512"/>
    <w:next w:val="NoList"/>
    <w:uiPriority w:val="99"/>
    <w:unhideWhenUsed/>
    <w:rsid w:val="00C64FC7"/>
  </w:style>
  <w:style w:type="table" w:customStyle="1" w:styleId="MediumGrid1-Accent1512">
    <w:name w:val="Medium Grid 1 - Accent 15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12">
    <w:name w:val="Light Grid - Accent 115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12">
    <w:name w:val="Light Grid - Accent 55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12">
    <w:name w:val="Light Grid - Accent 125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12">
    <w:name w:val="Light List - Accent 55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12">
    <w:name w:val="Light List - Accent 115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12">
    <w:name w:val="Light Grid - Accent 135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12">
    <w:name w:val="Medium Grid 1 - Accent 35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12">
    <w:name w:val="No List1212"/>
    <w:next w:val="NoList"/>
    <w:uiPriority w:val="99"/>
    <w:unhideWhenUsed/>
    <w:rsid w:val="00C64FC7"/>
  </w:style>
  <w:style w:type="numbering" w:customStyle="1" w:styleId="NoList2212">
    <w:name w:val="No List2212"/>
    <w:next w:val="NoList"/>
    <w:uiPriority w:val="99"/>
    <w:unhideWhenUsed/>
    <w:rsid w:val="00C64FC7"/>
  </w:style>
  <w:style w:type="numbering" w:customStyle="1" w:styleId="NoList3212">
    <w:name w:val="No List3212"/>
    <w:next w:val="NoList"/>
    <w:uiPriority w:val="99"/>
    <w:unhideWhenUsed/>
    <w:rsid w:val="00C64FC7"/>
  </w:style>
  <w:style w:type="numbering" w:customStyle="1" w:styleId="NoList612">
    <w:name w:val="No List612"/>
    <w:next w:val="NoList"/>
    <w:uiPriority w:val="99"/>
    <w:unhideWhenUsed/>
    <w:rsid w:val="00C64FC7"/>
  </w:style>
  <w:style w:type="table" w:customStyle="1" w:styleId="MediumGrid1-Accent1612">
    <w:name w:val="Medium Grid 1 - Accent 16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12">
    <w:name w:val="Light Grid - Accent 116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12">
    <w:name w:val="Light Grid - Accent 56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12">
    <w:name w:val="Light Grid - Accent 126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12">
    <w:name w:val="Light List - Accent 56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12">
    <w:name w:val="Light List - Accent 116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12">
    <w:name w:val="Light Grid - Accent 136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12">
    <w:name w:val="Medium Grid 1 - Accent 36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12">
    <w:name w:val="No List1312"/>
    <w:next w:val="NoList"/>
    <w:uiPriority w:val="99"/>
    <w:unhideWhenUsed/>
    <w:rsid w:val="00C64FC7"/>
  </w:style>
  <w:style w:type="numbering" w:customStyle="1" w:styleId="NoList2312">
    <w:name w:val="No List2312"/>
    <w:next w:val="NoList"/>
    <w:uiPriority w:val="99"/>
    <w:unhideWhenUsed/>
    <w:rsid w:val="00C64FC7"/>
  </w:style>
  <w:style w:type="numbering" w:customStyle="1" w:styleId="NoList3312">
    <w:name w:val="No List3312"/>
    <w:next w:val="NoList"/>
    <w:uiPriority w:val="99"/>
    <w:unhideWhenUsed/>
    <w:rsid w:val="00C64FC7"/>
  </w:style>
  <w:style w:type="numbering" w:customStyle="1" w:styleId="NoList82">
    <w:name w:val="No List82"/>
    <w:next w:val="NoList"/>
    <w:uiPriority w:val="99"/>
    <w:unhideWhenUsed/>
    <w:rsid w:val="00C64FC7"/>
  </w:style>
  <w:style w:type="table" w:customStyle="1" w:styleId="TableGrid62">
    <w:name w:val="Table Grid6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42">
    <w:name w:val="Medium Grid 3 - Accent 14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82">
    <w:name w:val="Medium Grid 1 - Accent 18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82">
    <w:name w:val="Light Grid - Accent 118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82">
    <w:name w:val="Light Grid - Accent 58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82">
    <w:name w:val="Light Grid - Accent 128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82">
    <w:name w:val="Light List - Accent 58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82">
    <w:name w:val="Light List - Accent 118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82">
    <w:name w:val="Light Grid - Accent 138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82">
    <w:name w:val="Medium Grid 1 - Accent 38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52">
    <w:name w:val="No List152"/>
    <w:next w:val="NoList"/>
    <w:uiPriority w:val="99"/>
    <w:unhideWhenUsed/>
    <w:rsid w:val="00C64FC7"/>
  </w:style>
  <w:style w:type="table" w:customStyle="1" w:styleId="MediumGrid1-Accent1142">
    <w:name w:val="Medium Grid 1 - Accent 114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42">
    <w:name w:val="Light Grid - Accent 11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42">
    <w:name w:val="Light Grid - Accent 514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42">
    <w:name w:val="Light Grid - Accent 12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42">
    <w:name w:val="Light List - Accent 514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42">
    <w:name w:val="Light List - Accent 1114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42">
    <w:name w:val="Light Grid - Accent 13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42">
    <w:name w:val="Medium Grid 1 - Accent 314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42">
    <w:name w:val="Grid Table 4 - Accent 314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52">
    <w:name w:val="No List252"/>
    <w:next w:val="NoList"/>
    <w:uiPriority w:val="99"/>
    <w:unhideWhenUsed/>
    <w:rsid w:val="00C64FC7"/>
  </w:style>
  <w:style w:type="table" w:customStyle="1" w:styleId="MediumGrid1-Accent1242">
    <w:name w:val="Medium Grid 1 - Accent 124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42">
    <w:name w:val="Light Grid - Accent 1124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42">
    <w:name w:val="Light Grid - Accent 524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42">
    <w:name w:val="Light Grid - Accent 122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42">
    <w:name w:val="Light List - Accent 524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42">
    <w:name w:val="Light List - Accent 1124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42">
    <w:name w:val="Light Grid - Accent 132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42">
    <w:name w:val="Medium Grid 1 - Accent 324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42">
    <w:name w:val="Grid Table 4 Accent 314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52">
    <w:name w:val="No List352"/>
    <w:next w:val="NoList"/>
    <w:uiPriority w:val="99"/>
    <w:unhideWhenUsed/>
    <w:rsid w:val="00C64FC7"/>
  </w:style>
  <w:style w:type="table" w:customStyle="1" w:styleId="MediumGrid1-Accent1342">
    <w:name w:val="Medium Grid 1 - Accent 134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42">
    <w:name w:val="Light Grid - Accent 1134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42">
    <w:name w:val="Light Grid - Accent 534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42">
    <w:name w:val="Light Grid - Accent 123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42">
    <w:name w:val="Light List - Accent 534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42">
    <w:name w:val="Light List - Accent 1134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42">
    <w:name w:val="Light Grid - Accent 133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42">
    <w:name w:val="Medium Grid 1 - Accent 334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42">
    <w:name w:val="Grid Table 4 Accent 324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2">
    <w:name w:val="Table Grid14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
    <w:name w:val="No List422"/>
    <w:next w:val="NoList"/>
    <w:uiPriority w:val="99"/>
    <w:unhideWhenUsed/>
    <w:rsid w:val="00C64FC7"/>
  </w:style>
  <w:style w:type="table" w:customStyle="1" w:styleId="MediumGrid1-Accent1422">
    <w:name w:val="Medium Grid 1 - Accent 142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22">
    <w:name w:val="Light Grid - Accent 1142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22">
    <w:name w:val="Light Grid - Accent 5422"/>
    <w:basedOn w:val="TableNormal"/>
    <w:next w:val="LightGrid-Accent5"/>
    <w:uiPriority w:val="62"/>
    <w:qFormat/>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22">
    <w:name w:val="Light Grid - Accent 124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22">
    <w:name w:val="Light List - Accent 542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22">
    <w:name w:val="Light List - Accent 1142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22">
    <w:name w:val="Light Grid - Accent 134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22">
    <w:name w:val="Medium Grid 1 - Accent 342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22">
    <w:name w:val="Table Grid212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22">
    <w:name w:val="Medium Grid 3 - Accent 112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22">
    <w:name w:val="No List1122"/>
    <w:next w:val="NoList"/>
    <w:uiPriority w:val="99"/>
    <w:unhideWhenUsed/>
    <w:rsid w:val="00C64FC7"/>
  </w:style>
  <w:style w:type="table" w:customStyle="1" w:styleId="MediumGrid1-Accent11122">
    <w:name w:val="Medium Grid 1 - Accent 1112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22">
    <w:name w:val="Light Grid - Accent 111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22">
    <w:name w:val="Light Grid - Accent 5112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22">
    <w:name w:val="Light Grid - Accent 121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22">
    <w:name w:val="Light List - Accent 5112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22">
    <w:name w:val="Light List - Accent 11112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22">
    <w:name w:val="Light Grid - Accent 131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22">
    <w:name w:val="Medium Grid 1 - Accent 3112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22">
    <w:name w:val="Grid Table 4 - Accent 3112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22">
    <w:name w:val="No List2122"/>
    <w:next w:val="NoList"/>
    <w:uiPriority w:val="99"/>
    <w:unhideWhenUsed/>
    <w:rsid w:val="00C64FC7"/>
  </w:style>
  <w:style w:type="table" w:customStyle="1" w:styleId="MediumGrid1-Accent12122">
    <w:name w:val="Medium Grid 1 - Accent 1212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22">
    <w:name w:val="Light Grid - Accent 11212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22">
    <w:name w:val="Light Grid - Accent 5212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22">
    <w:name w:val="Light Grid - Accent 122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22">
    <w:name w:val="Light List - Accent 5212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22">
    <w:name w:val="Light List - Accent 11212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22">
    <w:name w:val="Light Grid - Accent 132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22">
    <w:name w:val="Medium Grid 1 - Accent 3212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22">
    <w:name w:val="Grid Table 4 Accent 3112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22">
    <w:name w:val="No List3122"/>
    <w:next w:val="NoList"/>
    <w:uiPriority w:val="99"/>
    <w:unhideWhenUsed/>
    <w:rsid w:val="00C64FC7"/>
  </w:style>
  <w:style w:type="table" w:customStyle="1" w:styleId="MediumGrid1-Accent13122">
    <w:name w:val="Medium Grid 1 - Accent 1312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22">
    <w:name w:val="Light Grid - Accent 11312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22">
    <w:name w:val="Light Grid - Accent 5312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22">
    <w:name w:val="Light Grid - Accent 123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22">
    <w:name w:val="Light List - Accent 5312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22">
    <w:name w:val="Light List - Accent 11312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22">
    <w:name w:val="Light Grid - Accent 133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22">
    <w:name w:val="Medium Grid 1 - Accent 3312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22">
    <w:name w:val="Grid Table 4 Accent 3212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22">
    <w:name w:val="Table Grid112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
    <w:name w:val="No List522"/>
    <w:next w:val="NoList"/>
    <w:uiPriority w:val="99"/>
    <w:unhideWhenUsed/>
    <w:rsid w:val="00C64FC7"/>
  </w:style>
  <w:style w:type="table" w:customStyle="1" w:styleId="MediumGrid1-Accent1522">
    <w:name w:val="Medium Grid 1 - Accent 152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22">
    <w:name w:val="Light Grid - Accent 1152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22">
    <w:name w:val="Light Grid - Accent 552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22">
    <w:name w:val="Light Grid - Accent 125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22">
    <w:name w:val="Light List - Accent 552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22">
    <w:name w:val="Light List - Accent 1152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22">
    <w:name w:val="Light Grid - Accent 135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22">
    <w:name w:val="Medium Grid 1 - Accent 352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22">
    <w:name w:val="No List1222"/>
    <w:next w:val="NoList"/>
    <w:uiPriority w:val="99"/>
    <w:unhideWhenUsed/>
    <w:rsid w:val="00C64FC7"/>
  </w:style>
  <w:style w:type="numbering" w:customStyle="1" w:styleId="NoList2222">
    <w:name w:val="No List2222"/>
    <w:next w:val="NoList"/>
    <w:uiPriority w:val="99"/>
    <w:unhideWhenUsed/>
    <w:rsid w:val="00C64FC7"/>
  </w:style>
  <w:style w:type="numbering" w:customStyle="1" w:styleId="NoList3222">
    <w:name w:val="No List3222"/>
    <w:next w:val="NoList"/>
    <w:uiPriority w:val="99"/>
    <w:unhideWhenUsed/>
    <w:rsid w:val="00C64FC7"/>
  </w:style>
  <w:style w:type="numbering" w:customStyle="1" w:styleId="NoList622">
    <w:name w:val="No List622"/>
    <w:next w:val="NoList"/>
    <w:uiPriority w:val="99"/>
    <w:unhideWhenUsed/>
    <w:rsid w:val="00C64FC7"/>
  </w:style>
  <w:style w:type="table" w:customStyle="1" w:styleId="MediumGrid1-Accent1622">
    <w:name w:val="Medium Grid 1 - Accent 162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22">
    <w:name w:val="Light Grid - Accent 1162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22">
    <w:name w:val="Light Grid - Accent 562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22">
    <w:name w:val="Light Grid - Accent 126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22">
    <w:name w:val="Light List - Accent 562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22">
    <w:name w:val="Light List - Accent 1162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22">
    <w:name w:val="Light Grid - Accent 136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22">
    <w:name w:val="Medium Grid 1 - Accent 362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22">
    <w:name w:val="No List1322"/>
    <w:next w:val="NoList"/>
    <w:uiPriority w:val="99"/>
    <w:unhideWhenUsed/>
    <w:rsid w:val="00C64FC7"/>
  </w:style>
  <w:style w:type="numbering" w:customStyle="1" w:styleId="NoList2322">
    <w:name w:val="No List2322"/>
    <w:next w:val="NoList"/>
    <w:uiPriority w:val="99"/>
    <w:unhideWhenUsed/>
    <w:rsid w:val="00C64FC7"/>
  </w:style>
  <w:style w:type="numbering" w:customStyle="1" w:styleId="NoList3322">
    <w:name w:val="No List3322"/>
    <w:next w:val="NoList"/>
    <w:uiPriority w:val="99"/>
    <w:unhideWhenUsed/>
    <w:rsid w:val="00C64FC7"/>
  </w:style>
  <w:style w:type="numbering" w:customStyle="1" w:styleId="NoList92">
    <w:name w:val="No List92"/>
    <w:next w:val="NoList"/>
    <w:uiPriority w:val="99"/>
    <w:unhideWhenUsed/>
    <w:rsid w:val="00C64FC7"/>
  </w:style>
  <w:style w:type="table" w:customStyle="1" w:styleId="TableGrid72">
    <w:name w:val="Table Grid7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52">
    <w:name w:val="Medium Grid 3 - Accent 15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92">
    <w:name w:val="Medium Grid 1 - Accent 19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92">
    <w:name w:val="Light Grid - Accent 119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92">
    <w:name w:val="Light Grid - Accent 59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92">
    <w:name w:val="Light Grid - Accent 129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92">
    <w:name w:val="Light List - Accent 59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2">
    <w:name w:val="Light List - Accent 119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92">
    <w:name w:val="Light Grid - Accent 139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92">
    <w:name w:val="Medium Grid 1 - Accent 39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62">
    <w:name w:val="No List162"/>
    <w:next w:val="NoList"/>
    <w:uiPriority w:val="99"/>
    <w:unhideWhenUsed/>
    <w:rsid w:val="00C64FC7"/>
  </w:style>
  <w:style w:type="table" w:customStyle="1" w:styleId="MediumGrid1-Accent1152">
    <w:name w:val="Medium Grid 1 - Accent 115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52">
    <w:name w:val="Light Grid - Accent 11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52">
    <w:name w:val="Light Grid - Accent 515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52">
    <w:name w:val="Light Grid - Accent 12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52">
    <w:name w:val="Light List - Accent 515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52">
    <w:name w:val="Light List - Accent 1115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52">
    <w:name w:val="Light Grid - Accent 13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52">
    <w:name w:val="Medium Grid 1 - Accent 315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52">
    <w:name w:val="Grid Table 4 - Accent 315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62">
    <w:name w:val="No List262"/>
    <w:next w:val="NoList"/>
    <w:uiPriority w:val="99"/>
    <w:unhideWhenUsed/>
    <w:rsid w:val="00C64FC7"/>
  </w:style>
  <w:style w:type="table" w:customStyle="1" w:styleId="MediumGrid1-Accent1252">
    <w:name w:val="Medium Grid 1 - Accent 125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52">
    <w:name w:val="Light Grid - Accent 1125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52">
    <w:name w:val="Light Grid - Accent 525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52">
    <w:name w:val="Light Grid - Accent 122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52">
    <w:name w:val="Light List - Accent 525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52">
    <w:name w:val="Light List - Accent 1125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52">
    <w:name w:val="Light Grid - Accent 132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52">
    <w:name w:val="Medium Grid 1 - Accent 325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52">
    <w:name w:val="Grid Table 4 Accent 315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62">
    <w:name w:val="No List362"/>
    <w:next w:val="NoList"/>
    <w:uiPriority w:val="99"/>
    <w:unhideWhenUsed/>
    <w:rsid w:val="00C64FC7"/>
  </w:style>
  <w:style w:type="table" w:customStyle="1" w:styleId="MediumGrid1-Accent1352">
    <w:name w:val="Medium Grid 1 - Accent 135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52">
    <w:name w:val="Light Grid - Accent 1135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52">
    <w:name w:val="Light Grid - Accent 535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52">
    <w:name w:val="Light Grid - Accent 123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52">
    <w:name w:val="Light List - Accent 535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52">
    <w:name w:val="Light List - Accent 1135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52">
    <w:name w:val="Light Grid - Accent 133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52">
    <w:name w:val="Medium Grid 1 - Accent 335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52">
    <w:name w:val="Grid Table 4 Accent 325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52">
    <w:name w:val="Table Grid15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2">
    <w:name w:val="No List432"/>
    <w:next w:val="NoList"/>
    <w:uiPriority w:val="99"/>
    <w:unhideWhenUsed/>
    <w:rsid w:val="00C64FC7"/>
  </w:style>
  <w:style w:type="table" w:customStyle="1" w:styleId="MediumGrid1-Accent1432">
    <w:name w:val="Medium Grid 1 - Accent 143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32">
    <w:name w:val="Light Grid - Accent 1143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32">
    <w:name w:val="Light Grid - Accent 543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32">
    <w:name w:val="Light Grid - Accent 124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32">
    <w:name w:val="Light List - Accent 543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32">
    <w:name w:val="Light List - Accent 1143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32">
    <w:name w:val="Light Grid - Accent 134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32">
    <w:name w:val="Medium Grid 1 - Accent 343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32">
    <w:name w:val="Table Grid213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32">
    <w:name w:val="Medium Grid 3 - Accent 113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32">
    <w:name w:val="No List1132"/>
    <w:next w:val="NoList"/>
    <w:uiPriority w:val="99"/>
    <w:unhideWhenUsed/>
    <w:rsid w:val="00C64FC7"/>
  </w:style>
  <w:style w:type="table" w:customStyle="1" w:styleId="MediumGrid1-Accent11132">
    <w:name w:val="Medium Grid 1 - Accent 1113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32">
    <w:name w:val="Light Grid - Accent 111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32">
    <w:name w:val="Light Grid - Accent 5113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32">
    <w:name w:val="Light Grid - Accent 121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32">
    <w:name w:val="Light List - Accent 5113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32">
    <w:name w:val="Light List - Accent 11113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32">
    <w:name w:val="Light Grid - Accent 131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32">
    <w:name w:val="Medium Grid 1 - Accent 3113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32">
    <w:name w:val="Grid Table 4 - Accent 3113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32">
    <w:name w:val="No List2132"/>
    <w:next w:val="NoList"/>
    <w:uiPriority w:val="99"/>
    <w:unhideWhenUsed/>
    <w:rsid w:val="00C64FC7"/>
  </w:style>
  <w:style w:type="table" w:customStyle="1" w:styleId="MediumGrid1-Accent12132">
    <w:name w:val="Medium Grid 1 - Accent 1213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32">
    <w:name w:val="Light Grid - Accent 11213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32">
    <w:name w:val="Light Grid - Accent 5213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32">
    <w:name w:val="Light Grid - Accent 122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32">
    <w:name w:val="Light List - Accent 5213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32">
    <w:name w:val="Light List - Accent 11213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32">
    <w:name w:val="Light Grid - Accent 132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32">
    <w:name w:val="Medium Grid 1 - Accent 3213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32">
    <w:name w:val="Grid Table 4 Accent 3113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32">
    <w:name w:val="No List3132"/>
    <w:next w:val="NoList"/>
    <w:uiPriority w:val="99"/>
    <w:unhideWhenUsed/>
    <w:rsid w:val="00C64FC7"/>
  </w:style>
  <w:style w:type="table" w:customStyle="1" w:styleId="MediumGrid1-Accent13132">
    <w:name w:val="Medium Grid 1 - Accent 1313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32">
    <w:name w:val="Light Grid - Accent 11313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32">
    <w:name w:val="Light Grid - Accent 5313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32">
    <w:name w:val="Light Grid - Accent 123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32">
    <w:name w:val="Light List - Accent 5313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32">
    <w:name w:val="Light List - Accent 11313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32">
    <w:name w:val="Light Grid - Accent 133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32">
    <w:name w:val="Medium Grid 1 - Accent 3313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32">
    <w:name w:val="Grid Table 4 Accent 3213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32">
    <w:name w:val="Table Grid113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2">
    <w:name w:val="No List532"/>
    <w:next w:val="NoList"/>
    <w:uiPriority w:val="99"/>
    <w:unhideWhenUsed/>
    <w:rsid w:val="00C64FC7"/>
  </w:style>
  <w:style w:type="table" w:customStyle="1" w:styleId="MediumGrid1-Accent1532">
    <w:name w:val="Medium Grid 1 - Accent 153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32">
    <w:name w:val="Light Grid - Accent 1153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32">
    <w:name w:val="Light Grid - Accent 553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32">
    <w:name w:val="Light Grid - Accent 125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32">
    <w:name w:val="Light List - Accent 553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32">
    <w:name w:val="Light List - Accent 1153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32">
    <w:name w:val="Light Grid - Accent 135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32">
    <w:name w:val="Medium Grid 1 - Accent 353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32">
    <w:name w:val="No List1232"/>
    <w:next w:val="NoList"/>
    <w:uiPriority w:val="99"/>
    <w:unhideWhenUsed/>
    <w:rsid w:val="00C64FC7"/>
  </w:style>
  <w:style w:type="numbering" w:customStyle="1" w:styleId="NoList2232">
    <w:name w:val="No List2232"/>
    <w:next w:val="NoList"/>
    <w:uiPriority w:val="99"/>
    <w:unhideWhenUsed/>
    <w:rsid w:val="00C64FC7"/>
  </w:style>
  <w:style w:type="numbering" w:customStyle="1" w:styleId="NoList3232">
    <w:name w:val="No List3232"/>
    <w:next w:val="NoList"/>
    <w:uiPriority w:val="99"/>
    <w:unhideWhenUsed/>
    <w:rsid w:val="00C64FC7"/>
  </w:style>
  <w:style w:type="numbering" w:customStyle="1" w:styleId="NoList632">
    <w:name w:val="No List632"/>
    <w:next w:val="NoList"/>
    <w:uiPriority w:val="99"/>
    <w:unhideWhenUsed/>
    <w:rsid w:val="00C64FC7"/>
  </w:style>
  <w:style w:type="table" w:customStyle="1" w:styleId="MediumGrid1-Accent1632">
    <w:name w:val="Medium Grid 1 - Accent 163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32">
    <w:name w:val="Light Grid - Accent 1163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32">
    <w:name w:val="Light Grid - Accent 563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32">
    <w:name w:val="Light Grid - Accent 126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32">
    <w:name w:val="Light List - Accent 563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32">
    <w:name w:val="Light List - Accent 1163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32">
    <w:name w:val="Light Grid - Accent 136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32">
    <w:name w:val="Medium Grid 1 - Accent 363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32">
    <w:name w:val="No List1332"/>
    <w:next w:val="NoList"/>
    <w:uiPriority w:val="99"/>
    <w:unhideWhenUsed/>
    <w:rsid w:val="00C64FC7"/>
  </w:style>
  <w:style w:type="numbering" w:customStyle="1" w:styleId="NoList2332">
    <w:name w:val="No List2332"/>
    <w:next w:val="NoList"/>
    <w:uiPriority w:val="99"/>
    <w:unhideWhenUsed/>
    <w:rsid w:val="00C64FC7"/>
  </w:style>
  <w:style w:type="numbering" w:customStyle="1" w:styleId="NoList3332">
    <w:name w:val="No List3332"/>
    <w:next w:val="NoList"/>
    <w:uiPriority w:val="99"/>
    <w:unhideWhenUsed/>
    <w:rsid w:val="00C64FC7"/>
  </w:style>
  <w:style w:type="numbering" w:customStyle="1" w:styleId="NoList102">
    <w:name w:val="No List102"/>
    <w:next w:val="NoList"/>
    <w:uiPriority w:val="99"/>
    <w:unhideWhenUsed/>
    <w:rsid w:val="00C64FC7"/>
  </w:style>
  <w:style w:type="table" w:customStyle="1" w:styleId="TableGrid82">
    <w:name w:val="Table Grid8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62">
    <w:name w:val="Medium Grid 3 - Accent 16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02">
    <w:name w:val="Medium Grid 1 - Accent 110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02">
    <w:name w:val="Light Grid - Accent 1110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02">
    <w:name w:val="Light Grid - Accent 510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02">
    <w:name w:val="Light Grid - Accent 1210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02">
    <w:name w:val="Light List - Accent 510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02">
    <w:name w:val="Light List - Accent 1110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02">
    <w:name w:val="Light Grid - Accent 1310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02">
    <w:name w:val="Medium Grid 1 - Accent 310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72">
    <w:name w:val="No List172"/>
    <w:next w:val="NoList"/>
    <w:uiPriority w:val="99"/>
    <w:unhideWhenUsed/>
    <w:rsid w:val="00C64FC7"/>
  </w:style>
  <w:style w:type="table" w:customStyle="1" w:styleId="MediumGrid1-Accent1162">
    <w:name w:val="Medium Grid 1 - Accent 116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62">
    <w:name w:val="Light Grid - Accent 11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62">
    <w:name w:val="Light Grid - Accent 516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62">
    <w:name w:val="Light Grid - Accent 12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62">
    <w:name w:val="Light List - Accent 516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62">
    <w:name w:val="Light List - Accent 1116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62">
    <w:name w:val="Light Grid - Accent 13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62">
    <w:name w:val="Medium Grid 1 - Accent 316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62">
    <w:name w:val="Grid Table 4 - Accent 316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72">
    <w:name w:val="No List272"/>
    <w:next w:val="NoList"/>
    <w:uiPriority w:val="99"/>
    <w:unhideWhenUsed/>
    <w:rsid w:val="00C64FC7"/>
  </w:style>
  <w:style w:type="table" w:customStyle="1" w:styleId="MediumGrid1-Accent1262">
    <w:name w:val="Medium Grid 1 - Accent 126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62">
    <w:name w:val="Light Grid - Accent 1126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62">
    <w:name w:val="Light Grid - Accent 526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62">
    <w:name w:val="Light Grid - Accent 122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62">
    <w:name w:val="Light List - Accent 526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62">
    <w:name w:val="Light List - Accent 1126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62">
    <w:name w:val="Light Grid - Accent 132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62">
    <w:name w:val="Medium Grid 1 - Accent 326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62">
    <w:name w:val="Grid Table 4 Accent 316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72">
    <w:name w:val="No List372"/>
    <w:next w:val="NoList"/>
    <w:uiPriority w:val="99"/>
    <w:unhideWhenUsed/>
    <w:rsid w:val="00C64FC7"/>
  </w:style>
  <w:style w:type="table" w:customStyle="1" w:styleId="MediumGrid1-Accent1362">
    <w:name w:val="Medium Grid 1 - Accent 136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62">
    <w:name w:val="Light Grid - Accent 1136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62">
    <w:name w:val="Light Grid - Accent 536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62">
    <w:name w:val="Light Grid - Accent 123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62">
    <w:name w:val="Light List - Accent 536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62">
    <w:name w:val="Light List - Accent 1136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62">
    <w:name w:val="Light Grid - Accent 133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62">
    <w:name w:val="Medium Grid 1 - Accent 336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62">
    <w:name w:val="Grid Table 4 Accent 326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62">
    <w:name w:val="Table Grid16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 Grid25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2">
    <w:name w:val="No List442"/>
    <w:next w:val="NoList"/>
    <w:uiPriority w:val="99"/>
    <w:unhideWhenUsed/>
    <w:rsid w:val="00C64FC7"/>
  </w:style>
  <w:style w:type="table" w:customStyle="1" w:styleId="MediumGrid1-Accent1442">
    <w:name w:val="Medium Grid 1 - Accent 144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42">
    <w:name w:val="Light Grid - Accent 1144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42">
    <w:name w:val="Light Grid - Accent 544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42">
    <w:name w:val="Light Grid - Accent 124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42">
    <w:name w:val="Light List - Accent 544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42">
    <w:name w:val="Light List - Accent 1144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42">
    <w:name w:val="Light Grid - Accent 134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42">
    <w:name w:val="Medium Grid 1 - Accent 344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42">
    <w:name w:val="Table Grid214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42">
    <w:name w:val="Medium Grid 3 - Accent 114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42">
    <w:name w:val="No List1142"/>
    <w:next w:val="NoList"/>
    <w:uiPriority w:val="99"/>
    <w:unhideWhenUsed/>
    <w:rsid w:val="00C64FC7"/>
  </w:style>
  <w:style w:type="table" w:customStyle="1" w:styleId="MediumGrid1-Accent11142">
    <w:name w:val="Medium Grid 1 - Accent 1114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42">
    <w:name w:val="Light Grid - Accent 111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42">
    <w:name w:val="Light Grid - Accent 5114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42">
    <w:name w:val="Light Grid - Accent 121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42">
    <w:name w:val="Light List - Accent 5114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42">
    <w:name w:val="Light List - Accent 11114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42">
    <w:name w:val="Light Grid - Accent 131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42">
    <w:name w:val="Medium Grid 1 - Accent 3114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42">
    <w:name w:val="Grid Table 4 - Accent 3114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42">
    <w:name w:val="No List2142"/>
    <w:next w:val="NoList"/>
    <w:uiPriority w:val="99"/>
    <w:unhideWhenUsed/>
    <w:rsid w:val="00C64FC7"/>
  </w:style>
  <w:style w:type="table" w:customStyle="1" w:styleId="MediumGrid1-Accent12142">
    <w:name w:val="Medium Grid 1 - Accent 1214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42">
    <w:name w:val="Light Grid - Accent 11214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42">
    <w:name w:val="Light Grid - Accent 5214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42">
    <w:name w:val="Light Grid - Accent 122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42">
    <w:name w:val="Light List - Accent 5214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42">
    <w:name w:val="Light List - Accent 11214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42">
    <w:name w:val="Light Grid - Accent 132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42">
    <w:name w:val="Medium Grid 1 - Accent 3214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42">
    <w:name w:val="Grid Table 4 Accent 3114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42">
    <w:name w:val="No List3142"/>
    <w:next w:val="NoList"/>
    <w:uiPriority w:val="99"/>
    <w:unhideWhenUsed/>
    <w:rsid w:val="00C64FC7"/>
  </w:style>
  <w:style w:type="table" w:customStyle="1" w:styleId="MediumGrid1-Accent13142">
    <w:name w:val="Medium Grid 1 - Accent 1314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42">
    <w:name w:val="Light Grid - Accent 11314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42">
    <w:name w:val="Light Grid - Accent 5314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42">
    <w:name w:val="Light Grid - Accent 123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42">
    <w:name w:val="Light List - Accent 5314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42">
    <w:name w:val="Light List - Accent 11314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42">
    <w:name w:val="Light Grid - Accent 133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42">
    <w:name w:val="Medium Grid 1 - Accent 3314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42">
    <w:name w:val="Grid Table 4 Accent 3214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42">
    <w:name w:val="Table Grid114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2">
    <w:name w:val="No List542"/>
    <w:next w:val="NoList"/>
    <w:uiPriority w:val="99"/>
    <w:unhideWhenUsed/>
    <w:rsid w:val="00C64FC7"/>
  </w:style>
  <w:style w:type="table" w:customStyle="1" w:styleId="MediumGrid1-Accent1542">
    <w:name w:val="Medium Grid 1 - Accent 154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42">
    <w:name w:val="Light Grid - Accent 1154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42">
    <w:name w:val="Light Grid - Accent 554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42">
    <w:name w:val="Light Grid - Accent 125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42">
    <w:name w:val="Light List - Accent 554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42">
    <w:name w:val="Light List - Accent 1154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42">
    <w:name w:val="Light Grid - Accent 135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42">
    <w:name w:val="Medium Grid 1 - Accent 354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42">
    <w:name w:val="No List1242"/>
    <w:next w:val="NoList"/>
    <w:uiPriority w:val="99"/>
    <w:unhideWhenUsed/>
    <w:rsid w:val="00C64FC7"/>
  </w:style>
  <w:style w:type="numbering" w:customStyle="1" w:styleId="NoList2242">
    <w:name w:val="No List2242"/>
    <w:next w:val="NoList"/>
    <w:uiPriority w:val="99"/>
    <w:unhideWhenUsed/>
    <w:rsid w:val="00C64FC7"/>
  </w:style>
  <w:style w:type="numbering" w:customStyle="1" w:styleId="NoList3242">
    <w:name w:val="No List3242"/>
    <w:next w:val="NoList"/>
    <w:uiPriority w:val="99"/>
    <w:unhideWhenUsed/>
    <w:rsid w:val="00C64FC7"/>
  </w:style>
  <w:style w:type="numbering" w:customStyle="1" w:styleId="NoList642">
    <w:name w:val="No List642"/>
    <w:next w:val="NoList"/>
    <w:uiPriority w:val="99"/>
    <w:unhideWhenUsed/>
    <w:rsid w:val="00C64FC7"/>
  </w:style>
  <w:style w:type="table" w:customStyle="1" w:styleId="MediumGrid1-Accent1642">
    <w:name w:val="Medium Grid 1 - Accent 164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42">
    <w:name w:val="Light Grid - Accent 1164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42">
    <w:name w:val="Light Grid - Accent 564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42">
    <w:name w:val="Light Grid - Accent 126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42">
    <w:name w:val="Light List - Accent 564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42">
    <w:name w:val="Light List - Accent 1164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42">
    <w:name w:val="Light Grid - Accent 136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42">
    <w:name w:val="Medium Grid 1 - Accent 364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42">
    <w:name w:val="No List1342"/>
    <w:next w:val="NoList"/>
    <w:uiPriority w:val="99"/>
    <w:unhideWhenUsed/>
    <w:rsid w:val="00C64FC7"/>
  </w:style>
  <w:style w:type="numbering" w:customStyle="1" w:styleId="NoList2342">
    <w:name w:val="No List2342"/>
    <w:next w:val="NoList"/>
    <w:uiPriority w:val="99"/>
    <w:unhideWhenUsed/>
    <w:rsid w:val="00C64FC7"/>
  </w:style>
  <w:style w:type="numbering" w:customStyle="1" w:styleId="NoList3342">
    <w:name w:val="No List3342"/>
    <w:next w:val="NoList"/>
    <w:uiPriority w:val="99"/>
    <w:unhideWhenUsed/>
    <w:rsid w:val="00C64FC7"/>
  </w:style>
  <w:style w:type="numbering" w:customStyle="1" w:styleId="NoList182">
    <w:name w:val="No List182"/>
    <w:next w:val="NoList"/>
    <w:uiPriority w:val="99"/>
    <w:unhideWhenUsed/>
    <w:rsid w:val="00C64FC7"/>
  </w:style>
  <w:style w:type="table" w:customStyle="1" w:styleId="TableGrid92">
    <w:name w:val="Table Grid9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72">
    <w:name w:val="Medium Grid 3 - Accent 17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72">
    <w:name w:val="Medium Grid 1 - Accent 117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72">
    <w:name w:val="Light Grid - Accent 1117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72">
    <w:name w:val="Light Grid - Accent 517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72">
    <w:name w:val="Light Grid - Accent 1217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72">
    <w:name w:val="Light List - Accent 517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72">
    <w:name w:val="Light List - Accent 1117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72">
    <w:name w:val="Light Grid - Accent 1317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72">
    <w:name w:val="Medium Grid 1 - Accent 317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92">
    <w:name w:val="No List192"/>
    <w:next w:val="NoList"/>
    <w:uiPriority w:val="99"/>
    <w:unhideWhenUsed/>
    <w:rsid w:val="00C64FC7"/>
  </w:style>
  <w:style w:type="table" w:customStyle="1" w:styleId="MediumGrid1-Accent1182">
    <w:name w:val="Medium Grid 1 - Accent 118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82">
    <w:name w:val="Light Grid - Accent 1118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82">
    <w:name w:val="Light Grid - Accent 518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82">
    <w:name w:val="Light Grid - Accent 1218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82">
    <w:name w:val="Light List - Accent 518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82">
    <w:name w:val="Light List - Accent 1118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82">
    <w:name w:val="Light Grid - Accent 1318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82">
    <w:name w:val="Medium Grid 1 - Accent 318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72">
    <w:name w:val="Grid Table 4 - Accent 317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82">
    <w:name w:val="No List282"/>
    <w:next w:val="NoList"/>
    <w:uiPriority w:val="99"/>
    <w:unhideWhenUsed/>
    <w:rsid w:val="00C64FC7"/>
  </w:style>
  <w:style w:type="table" w:customStyle="1" w:styleId="MediumGrid1-Accent1272">
    <w:name w:val="Medium Grid 1 - Accent 127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72">
    <w:name w:val="Light Grid - Accent 1127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72">
    <w:name w:val="Light Grid - Accent 527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72">
    <w:name w:val="Light Grid - Accent 1227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72">
    <w:name w:val="Light List - Accent 527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72">
    <w:name w:val="Light List - Accent 1127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72">
    <w:name w:val="Light Grid - Accent 1327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72">
    <w:name w:val="Medium Grid 1 - Accent 327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72">
    <w:name w:val="Grid Table 4 Accent 317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82">
    <w:name w:val="No List382"/>
    <w:next w:val="NoList"/>
    <w:uiPriority w:val="99"/>
    <w:unhideWhenUsed/>
    <w:rsid w:val="00C64FC7"/>
  </w:style>
  <w:style w:type="table" w:customStyle="1" w:styleId="MediumGrid1-Accent1372">
    <w:name w:val="Medium Grid 1 - Accent 137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72">
    <w:name w:val="Light Grid - Accent 1137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72">
    <w:name w:val="Light Grid - Accent 537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72">
    <w:name w:val="Light Grid - Accent 1237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72">
    <w:name w:val="Light List - Accent 537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72">
    <w:name w:val="Light List - Accent 1137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72">
    <w:name w:val="Light Grid - Accent 1337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72">
    <w:name w:val="Medium Grid 1 - Accent 337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72">
    <w:name w:val="Grid Table 4 Accent 327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72">
    <w:name w:val="Table Grid17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 Grid26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2">
    <w:name w:val="No List452"/>
    <w:next w:val="NoList"/>
    <w:uiPriority w:val="99"/>
    <w:unhideWhenUsed/>
    <w:rsid w:val="00C64FC7"/>
  </w:style>
  <w:style w:type="table" w:customStyle="1" w:styleId="MediumGrid1-Accent1452">
    <w:name w:val="Medium Grid 1 - Accent 145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52">
    <w:name w:val="Light Grid - Accent 1145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52">
    <w:name w:val="Light Grid - Accent 545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52">
    <w:name w:val="Light Grid - Accent 124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52">
    <w:name w:val="Light List - Accent 545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52">
    <w:name w:val="Light List - Accent 1145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52">
    <w:name w:val="Light Grid - Accent 134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52">
    <w:name w:val="Medium Grid 1 - Accent 345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52">
    <w:name w:val="Table Grid215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52">
    <w:name w:val="Medium Grid 3 - Accent 115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52">
    <w:name w:val="No List1152"/>
    <w:next w:val="NoList"/>
    <w:uiPriority w:val="99"/>
    <w:unhideWhenUsed/>
    <w:rsid w:val="00C64FC7"/>
  </w:style>
  <w:style w:type="table" w:customStyle="1" w:styleId="MediumGrid1-Accent11152">
    <w:name w:val="Medium Grid 1 - Accent 1115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52">
    <w:name w:val="Light Grid - Accent 111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52">
    <w:name w:val="Light Grid - Accent 5115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52">
    <w:name w:val="Light Grid - Accent 121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52">
    <w:name w:val="Light List - Accent 5115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52">
    <w:name w:val="Light List - Accent 11115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52">
    <w:name w:val="Light Grid - Accent 131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52">
    <w:name w:val="Medium Grid 1 - Accent 3115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52">
    <w:name w:val="Grid Table 4 - Accent 3115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52">
    <w:name w:val="No List2152"/>
    <w:next w:val="NoList"/>
    <w:uiPriority w:val="99"/>
    <w:unhideWhenUsed/>
    <w:rsid w:val="00C64FC7"/>
  </w:style>
  <w:style w:type="table" w:customStyle="1" w:styleId="MediumGrid1-Accent12152">
    <w:name w:val="Medium Grid 1 - Accent 1215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52">
    <w:name w:val="Light Grid - Accent 11215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52">
    <w:name w:val="Light Grid - Accent 5215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52">
    <w:name w:val="Light Grid - Accent 122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52">
    <w:name w:val="Light List - Accent 5215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52">
    <w:name w:val="Light List - Accent 11215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52">
    <w:name w:val="Light Grid - Accent 132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52">
    <w:name w:val="Medium Grid 1 - Accent 3215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52">
    <w:name w:val="Grid Table 4 Accent 3115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52">
    <w:name w:val="No List3152"/>
    <w:next w:val="NoList"/>
    <w:uiPriority w:val="99"/>
    <w:unhideWhenUsed/>
    <w:rsid w:val="00C64FC7"/>
  </w:style>
  <w:style w:type="table" w:customStyle="1" w:styleId="MediumGrid1-Accent13152">
    <w:name w:val="Medium Grid 1 - Accent 1315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52">
    <w:name w:val="Light Grid - Accent 11315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52">
    <w:name w:val="Light Grid - Accent 5315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52">
    <w:name w:val="Light Grid - Accent 123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52">
    <w:name w:val="Light List - Accent 5315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52">
    <w:name w:val="Light List - Accent 11315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52">
    <w:name w:val="Light Grid - Accent 133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52">
    <w:name w:val="Medium Grid 1 - Accent 3315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52">
    <w:name w:val="Grid Table 4 Accent 3215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52">
    <w:name w:val="Table Grid115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2">
    <w:name w:val="No List552"/>
    <w:next w:val="NoList"/>
    <w:uiPriority w:val="99"/>
    <w:unhideWhenUsed/>
    <w:rsid w:val="00C64FC7"/>
  </w:style>
  <w:style w:type="table" w:customStyle="1" w:styleId="MediumGrid1-Accent1552">
    <w:name w:val="Medium Grid 1 - Accent 155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52">
    <w:name w:val="Light Grid - Accent 1155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52">
    <w:name w:val="Light Grid - Accent 555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52">
    <w:name w:val="Light Grid - Accent 125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52">
    <w:name w:val="Light List - Accent 555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52">
    <w:name w:val="Light List - Accent 1155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52">
    <w:name w:val="Light Grid - Accent 135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52">
    <w:name w:val="Medium Grid 1 - Accent 355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52">
    <w:name w:val="No List1252"/>
    <w:next w:val="NoList"/>
    <w:uiPriority w:val="99"/>
    <w:unhideWhenUsed/>
    <w:rsid w:val="00C64FC7"/>
  </w:style>
  <w:style w:type="numbering" w:customStyle="1" w:styleId="NoList2252">
    <w:name w:val="No List2252"/>
    <w:next w:val="NoList"/>
    <w:uiPriority w:val="99"/>
    <w:unhideWhenUsed/>
    <w:rsid w:val="00C64FC7"/>
  </w:style>
  <w:style w:type="numbering" w:customStyle="1" w:styleId="NoList3252">
    <w:name w:val="No List3252"/>
    <w:next w:val="NoList"/>
    <w:uiPriority w:val="99"/>
    <w:unhideWhenUsed/>
    <w:rsid w:val="00C64FC7"/>
  </w:style>
  <w:style w:type="numbering" w:customStyle="1" w:styleId="NoList652">
    <w:name w:val="No List652"/>
    <w:next w:val="NoList"/>
    <w:uiPriority w:val="99"/>
    <w:unhideWhenUsed/>
    <w:rsid w:val="00C64FC7"/>
  </w:style>
  <w:style w:type="table" w:customStyle="1" w:styleId="MediumGrid1-Accent1652">
    <w:name w:val="Medium Grid 1 - Accent 165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52">
    <w:name w:val="Light Grid - Accent 1165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52">
    <w:name w:val="Light Grid - Accent 565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52">
    <w:name w:val="Light Grid - Accent 126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52">
    <w:name w:val="Light List - Accent 565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52">
    <w:name w:val="Light List - Accent 1165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52">
    <w:name w:val="Light Grid - Accent 136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52">
    <w:name w:val="Medium Grid 1 - Accent 365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52">
    <w:name w:val="No List1352"/>
    <w:next w:val="NoList"/>
    <w:uiPriority w:val="99"/>
    <w:unhideWhenUsed/>
    <w:rsid w:val="00C64FC7"/>
  </w:style>
  <w:style w:type="numbering" w:customStyle="1" w:styleId="NoList2352">
    <w:name w:val="No List2352"/>
    <w:next w:val="NoList"/>
    <w:uiPriority w:val="99"/>
    <w:unhideWhenUsed/>
    <w:rsid w:val="00C64FC7"/>
  </w:style>
  <w:style w:type="numbering" w:customStyle="1" w:styleId="NoList3352">
    <w:name w:val="No List3352"/>
    <w:next w:val="NoList"/>
    <w:uiPriority w:val="99"/>
    <w:unhideWhenUsed/>
    <w:rsid w:val="00C64FC7"/>
  </w:style>
  <w:style w:type="numbering" w:customStyle="1" w:styleId="NoList201">
    <w:name w:val="No List201"/>
    <w:next w:val="NoList"/>
    <w:uiPriority w:val="99"/>
    <w:unhideWhenUsed/>
    <w:rsid w:val="00C64FC7"/>
  </w:style>
  <w:style w:type="table" w:customStyle="1" w:styleId="TableGrid101">
    <w:name w:val="Table Grid10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81">
    <w:name w:val="Medium Grid 3 - Accent 18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91">
    <w:name w:val="Medium Grid 1 - Accent 1191"/>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91">
    <w:name w:val="Light Grid - Accent 11191"/>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91">
    <w:name w:val="Light Grid - Accent 5191"/>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91">
    <w:name w:val="Light Grid - Accent 12191"/>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91">
    <w:name w:val="Light List - Accent 5191"/>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91">
    <w:name w:val="Light List - Accent 11191"/>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91">
    <w:name w:val="Light Grid - Accent 1319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91">
    <w:name w:val="Medium Grid 1 - Accent 319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101">
    <w:name w:val="No List1101"/>
    <w:next w:val="NoList"/>
    <w:uiPriority w:val="99"/>
    <w:unhideWhenUsed/>
    <w:rsid w:val="00C64FC7"/>
  </w:style>
  <w:style w:type="table" w:customStyle="1" w:styleId="MediumGrid1-Accent11101">
    <w:name w:val="Medium Grid 1 - Accent 1110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01">
    <w:name w:val="Light Grid - Accent 11110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01">
    <w:name w:val="Light Grid - Accent 5110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01">
    <w:name w:val="Light Grid - Accent 12110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01">
    <w:name w:val="Light List - Accent 5110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01">
    <w:name w:val="Light List - Accent 11110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01">
    <w:name w:val="Light Grid - Accent 13110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01">
    <w:name w:val="Medium Grid 1 - Accent 3110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81">
    <w:name w:val="Grid Table 4 - Accent 318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91">
    <w:name w:val="No List291"/>
    <w:next w:val="NoList"/>
    <w:uiPriority w:val="99"/>
    <w:unhideWhenUsed/>
    <w:rsid w:val="00C64FC7"/>
  </w:style>
  <w:style w:type="table" w:customStyle="1" w:styleId="MediumGrid1-Accent1281">
    <w:name w:val="Medium Grid 1 - Accent 128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81">
    <w:name w:val="Light Grid - Accent 1128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81">
    <w:name w:val="Light Grid - Accent 528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81">
    <w:name w:val="Light Grid - Accent 1228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81">
    <w:name w:val="Light List - Accent 528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81">
    <w:name w:val="Light List - Accent 1128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81">
    <w:name w:val="Light Grid - Accent 1328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81">
    <w:name w:val="Medium Grid 1 - Accent 328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81">
    <w:name w:val="Grid Table 4 Accent 318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91">
    <w:name w:val="No List391"/>
    <w:next w:val="NoList"/>
    <w:uiPriority w:val="99"/>
    <w:unhideWhenUsed/>
    <w:rsid w:val="00C64FC7"/>
  </w:style>
  <w:style w:type="table" w:customStyle="1" w:styleId="MediumGrid1-Accent1381">
    <w:name w:val="Medium Grid 1 - Accent 138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81">
    <w:name w:val="Light Grid - Accent 1138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81">
    <w:name w:val="Light Grid - Accent 538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81">
    <w:name w:val="Light Grid - Accent 1238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81">
    <w:name w:val="Light List - Accent 538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81">
    <w:name w:val="Light List - Accent 1138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81">
    <w:name w:val="Light Grid - Accent 1338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81">
    <w:name w:val="Medium Grid 1 - Accent 338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81">
    <w:name w:val="Grid Table 4 Accent 328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81">
    <w:name w:val="Table Grid18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1">
    <w:name w:val="No List461"/>
    <w:next w:val="NoList"/>
    <w:uiPriority w:val="99"/>
    <w:unhideWhenUsed/>
    <w:rsid w:val="00C64FC7"/>
  </w:style>
  <w:style w:type="table" w:customStyle="1" w:styleId="MediumGrid1-Accent1461">
    <w:name w:val="Medium Grid 1 - Accent 146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61">
    <w:name w:val="Light Grid - Accent 1146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61">
    <w:name w:val="Light Grid - Accent 546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61">
    <w:name w:val="Light Grid - Accent 124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61">
    <w:name w:val="Light List - Accent 546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61">
    <w:name w:val="Light List - Accent 1146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61">
    <w:name w:val="Light Grid - Accent 134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61">
    <w:name w:val="Medium Grid 1 - Accent 346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311">
    <w:name w:val="Table Grid3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61">
    <w:name w:val="Medium Grid 3 - Accent 116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61">
    <w:name w:val="No List1161"/>
    <w:next w:val="NoList"/>
    <w:uiPriority w:val="99"/>
    <w:unhideWhenUsed/>
    <w:rsid w:val="00C64FC7"/>
  </w:style>
  <w:style w:type="table" w:customStyle="1" w:styleId="MediumGrid1-Accent11161">
    <w:name w:val="Medium Grid 1 - Accent 1116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61">
    <w:name w:val="Light Grid - Accent 1111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61">
    <w:name w:val="Light Grid - Accent 5116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61">
    <w:name w:val="Light Grid - Accent 1211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61">
    <w:name w:val="Light List - Accent 5116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61">
    <w:name w:val="Light List - Accent 11116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61">
    <w:name w:val="Light Grid - Accent 1311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61">
    <w:name w:val="Medium Grid 1 - Accent 3116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61">
    <w:name w:val="Grid Table 4 - Accent 3116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61">
    <w:name w:val="No List2161"/>
    <w:next w:val="NoList"/>
    <w:uiPriority w:val="99"/>
    <w:unhideWhenUsed/>
    <w:rsid w:val="00C64FC7"/>
  </w:style>
  <w:style w:type="table" w:customStyle="1" w:styleId="MediumGrid1-Accent12161">
    <w:name w:val="Medium Grid 1 - Accent 1216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61">
    <w:name w:val="Light Grid - Accent 11216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61">
    <w:name w:val="Light Grid - Accent 5216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61">
    <w:name w:val="Light Grid - Accent 1221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61">
    <w:name w:val="Light List - Accent 5216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61">
    <w:name w:val="Light List - Accent 11216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61">
    <w:name w:val="Light Grid - Accent 1321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61">
    <w:name w:val="Medium Grid 1 - Accent 3216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61">
    <w:name w:val="Grid Table 4 Accent 3116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61">
    <w:name w:val="No List3161"/>
    <w:next w:val="NoList"/>
    <w:uiPriority w:val="99"/>
    <w:unhideWhenUsed/>
    <w:rsid w:val="00C64FC7"/>
  </w:style>
  <w:style w:type="table" w:customStyle="1" w:styleId="MediumGrid1-Accent13161">
    <w:name w:val="Medium Grid 1 - Accent 1316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61">
    <w:name w:val="Light Grid - Accent 11316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61">
    <w:name w:val="Light Grid - Accent 5316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61">
    <w:name w:val="Light Grid - Accent 1231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61">
    <w:name w:val="Light List - Accent 5316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61">
    <w:name w:val="Light List - Accent 11316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61">
    <w:name w:val="Light Grid - Accent 1331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61">
    <w:name w:val="Medium Grid 1 - Accent 3316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61">
    <w:name w:val="Grid Table 4 Accent 3216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61">
    <w:name w:val="Table Grid116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61">
    <w:name w:val="No List561"/>
    <w:next w:val="NoList"/>
    <w:uiPriority w:val="99"/>
    <w:unhideWhenUsed/>
    <w:rsid w:val="00C64FC7"/>
  </w:style>
  <w:style w:type="table" w:customStyle="1" w:styleId="TableGrid411">
    <w:name w:val="Table Grid411"/>
    <w:basedOn w:val="TableNormal"/>
    <w:next w:val="TableGrid"/>
    <w:uiPriority w:val="5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211">
    <w:name w:val="Medium Grid 3 - Accent 12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561">
    <w:name w:val="Medium Grid 1 - Accent 1561"/>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561">
    <w:name w:val="Light Grid - Accent 11561"/>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561">
    <w:name w:val="Light Grid - Accent 5561"/>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561">
    <w:name w:val="Light Grid - Accent 12561"/>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561">
    <w:name w:val="Light List - Accent 5561"/>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61">
    <w:name w:val="Light List - Accent 11561"/>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561">
    <w:name w:val="Light Grid - Accent 135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561">
    <w:name w:val="Medium Grid 1 - Accent 356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261">
    <w:name w:val="No List1261"/>
    <w:next w:val="NoList"/>
    <w:uiPriority w:val="99"/>
    <w:unhideWhenUsed/>
    <w:rsid w:val="00C64FC7"/>
  </w:style>
  <w:style w:type="table" w:customStyle="1" w:styleId="MediumGrid1-Accent11211">
    <w:name w:val="Medium Grid 1 - Accent 112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211">
    <w:name w:val="Light Grid - Accent 11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211">
    <w:name w:val="Light Grid - Accent 512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211">
    <w:name w:val="Light Grid - Accent 12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211">
    <w:name w:val="Light List - Accent 512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11">
    <w:name w:val="Light List - Accent 1112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211">
    <w:name w:val="Light Grid - Accent 13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211">
    <w:name w:val="Medium Grid 1 - Accent 312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211">
    <w:name w:val="Grid Table 4 - Accent 312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261">
    <w:name w:val="No List2261"/>
    <w:next w:val="NoList"/>
    <w:uiPriority w:val="99"/>
    <w:unhideWhenUsed/>
    <w:rsid w:val="00C64FC7"/>
  </w:style>
  <w:style w:type="table" w:customStyle="1" w:styleId="MediumGrid1-Accent12211">
    <w:name w:val="Medium Grid 1 - Accent 122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211">
    <w:name w:val="Light Grid - Accent 1122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211">
    <w:name w:val="Light Grid - Accent 522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211">
    <w:name w:val="Light Grid - Accent 122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211">
    <w:name w:val="Light List - Accent 522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211">
    <w:name w:val="Light List - Accent 1122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211">
    <w:name w:val="Light Grid - Accent 132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211">
    <w:name w:val="Medium Grid 1 - Accent 322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211">
    <w:name w:val="Grid Table 4 Accent 312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261">
    <w:name w:val="No List3261"/>
    <w:next w:val="NoList"/>
    <w:uiPriority w:val="99"/>
    <w:unhideWhenUsed/>
    <w:rsid w:val="00C64FC7"/>
  </w:style>
  <w:style w:type="table" w:customStyle="1" w:styleId="MediumGrid1-Accent13211">
    <w:name w:val="Medium Grid 1 - Accent 132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211">
    <w:name w:val="Light Grid - Accent 1132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211">
    <w:name w:val="Light Grid - Accent 532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211">
    <w:name w:val="Light Grid - Accent 123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211">
    <w:name w:val="Light List - Accent 532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211">
    <w:name w:val="Light List - Accent 1132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211">
    <w:name w:val="Light Grid - Accent 133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211">
    <w:name w:val="Medium Grid 1 - Accent 332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211">
    <w:name w:val="Grid Table 4 Accent 322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211">
    <w:name w:val="Table Grid12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1">
    <w:name w:val="Table Grid2161"/>
    <w:basedOn w:val="TableNormal"/>
    <w:next w:val="TableGrid"/>
    <w:uiPriority w:val="3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1">
    <w:name w:val="No List661"/>
    <w:next w:val="NoList"/>
    <w:uiPriority w:val="99"/>
    <w:unhideWhenUsed/>
    <w:rsid w:val="00C64FC7"/>
  </w:style>
  <w:style w:type="table" w:customStyle="1" w:styleId="MediumGrid1-Accent1661">
    <w:name w:val="Medium Grid 1 - Accent 166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61">
    <w:name w:val="Light Grid - Accent 1166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61">
    <w:name w:val="Light Grid - Accent 566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61">
    <w:name w:val="Light Grid - Accent 126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61">
    <w:name w:val="Light List - Accent 566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61">
    <w:name w:val="Light List - Accent 1166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61">
    <w:name w:val="Light Grid - Accent 136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61">
    <w:name w:val="Medium Grid 1 - Accent 366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61">
    <w:name w:val="No List1361"/>
    <w:next w:val="NoList"/>
    <w:uiPriority w:val="99"/>
    <w:unhideWhenUsed/>
    <w:rsid w:val="00C64FC7"/>
  </w:style>
  <w:style w:type="numbering" w:customStyle="1" w:styleId="NoList2361">
    <w:name w:val="No List2361"/>
    <w:next w:val="NoList"/>
    <w:uiPriority w:val="99"/>
    <w:unhideWhenUsed/>
    <w:rsid w:val="00C64FC7"/>
  </w:style>
  <w:style w:type="numbering" w:customStyle="1" w:styleId="NoList3361">
    <w:name w:val="No List3361"/>
    <w:next w:val="NoList"/>
    <w:uiPriority w:val="99"/>
    <w:unhideWhenUsed/>
    <w:rsid w:val="00C64FC7"/>
  </w:style>
  <w:style w:type="numbering" w:customStyle="1" w:styleId="NoList711">
    <w:name w:val="No List711"/>
    <w:next w:val="NoList"/>
    <w:uiPriority w:val="99"/>
    <w:unhideWhenUsed/>
    <w:rsid w:val="00C64FC7"/>
  </w:style>
  <w:style w:type="table" w:customStyle="1" w:styleId="TableGrid511">
    <w:name w:val="Table Grid5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311">
    <w:name w:val="Medium Grid 3 - Accent 13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711">
    <w:name w:val="Medium Grid 1 - Accent 1711"/>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711">
    <w:name w:val="Light Grid - Accent 11711"/>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711">
    <w:name w:val="Light Grid - Accent 5711"/>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711">
    <w:name w:val="Light Grid - Accent 12711"/>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711">
    <w:name w:val="Light List - Accent 5711"/>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711">
    <w:name w:val="Light List - Accent 11711"/>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711">
    <w:name w:val="Light Grid - Accent 137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711">
    <w:name w:val="Medium Grid 1 - Accent 37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411">
    <w:name w:val="No List1411"/>
    <w:next w:val="NoList"/>
    <w:uiPriority w:val="99"/>
    <w:unhideWhenUsed/>
    <w:rsid w:val="00C64FC7"/>
  </w:style>
  <w:style w:type="table" w:customStyle="1" w:styleId="MediumGrid1-Accent11311">
    <w:name w:val="Medium Grid 1 - Accent 113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311">
    <w:name w:val="Light Grid - Accent 11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311">
    <w:name w:val="Light Grid - Accent 513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311">
    <w:name w:val="Light Grid - Accent 12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311">
    <w:name w:val="Light List - Accent 513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11">
    <w:name w:val="Light List - Accent 1113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311">
    <w:name w:val="Light Grid - Accent 13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311">
    <w:name w:val="Medium Grid 1 - Accent 313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311">
    <w:name w:val="Grid Table 4 - Accent 313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411">
    <w:name w:val="No List2411"/>
    <w:next w:val="NoList"/>
    <w:uiPriority w:val="99"/>
    <w:unhideWhenUsed/>
    <w:rsid w:val="00C64FC7"/>
  </w:style>
  <w:style w:type="table" w:customStyle="1" w:styleId="MediumGrid1-Accent12311">
    <w:name w:val="Medium Grid 1 - Accent 123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311">
    <w:name w:val="Light Grid - Accent 1123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311">
    <w:name w:val="Light Grid - Accent 523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311">
    <w:name w:val="Light Grid - Accent 122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311">
    <w:name w:val="Light List - Accent 523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311">
    <w:name w:val="Light List - Accent 1123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311">
    <w:name w:val="Light Grid - Accent 132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311">
    <w:name w:val="Medium Grid 1 - Accent 323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311">
    <w:name w:val="Grid Table 4 Accent 313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411">
    <w:name w:val="No List3411"/>
    <w:next w:val="NoList"/>
    <w:uiPriority w:val="99"/>
    <w:unhideWhenUsed/>
    <w:rsid w:val="00C64FC7"/>
  </w:style>
  <w:style w:type="table" w:customStyle="1" w:styleId="MediumGrid1-Accent13311">
    <w:name w:val="Medium Grid 1 - Accent 133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311">
    <w:name w:val="Light Grid - Accent 1133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311">
    <w:name w:val="Light Grid - Accent 533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311">
    <w:name w:val="Light Grid - Accent 123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311">
    <w:name w:val="Light List - Accent 533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311">
    <w:name w:val="Light List - Accent 1133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311">
    <w:name w:val="Light Grid - Accent 133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311">
    <w:name w:val="Medium Grid 1 - Accent 333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311">
    <w:name w:val="Grid Table 4 Accent 323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311">
    <w:name w:val="Table Grid13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1">
    <w:name w:val="No List4111"/>
    <w:next w:val="NoList"/>
    <w:uiPriority w:val="99"/>
    <w:unhideWhenUsed/>
    <w:rsid w:val="00C64FC7"/>
  </w:style>
  <w:style w:type="table" w:customStyle="1" w:styleId="MediumGrid1-Accent14111">
    <w:name w:val="Medium Grid 1 - Accent 141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111">
    <w:name w:val="Light Grid - Accent 1141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111">
    <w:name w:val="Light Grid - Accent 541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111">
    <w:name w:val="Light Grid - Accent 124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111">
    <w:name w:val="Light List - Accent 541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111">
    <w:name w:val="Light List - Accent 1141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111">
    <w:name w:val="Light Grid - Accent 134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111">
    <w:name w:val="Medium Grid 1 - Accent 341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111">
    <w:name w:val="Table Grid211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111">
    <w:name w:val="Medium Grid 3 - Accent 111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11">
    <w:name w:val="No List11111"/>
    <w:next w:val="NoList"/>
    <w:uiPriority w:val="99"/>
    <w:unhideWhenUsed/>
    <w:rsid w:val="00C64FC7"/>
  </w:style>
  <w:style w:type="table" w:customStyle="1" w:styleId="MediumGrid1-Accent111111">
    <w:name w:val="Medium Grid 1 - Accent 1111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11">
    <w:name w:val="Light Grid - Accent 1111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11">
    <w:name w:val="Light Grid - Accent 5111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11">
    <w:name w:val="Light Grid - Accent 1211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11">
    <w:name w:val="Light List - Accent 5111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11">
    <w:name w:val="Light List - Accent 11111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11">
    <w:name w:val="Light Grid - Accent 1311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11">
    <w:name w:val="Medium Grid 1 - Accent 3111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111">
    <w:name w:val="Grid Table 4 - Accent 3111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111">
    <w:name w:val="No List21111"/>
    <w:next w:val="NoList"/>
    <w:uiPriority w:val="99"/>
    <w:unhideWhenUsed/>
    <w:rsid w:val="00C64FC7"/>
  </w:style>
  <w:style w:type="table" w:customStyle="1" w:styleId="MediumGrid1-Accent121111">
    <w:name w:val="Medium Grid 1 - Accent 1211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111">
    <w:name w:val="Light Grid - Accent 11211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111">
    <w:name w:val="Light Grid - Accent 5211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111">
    <w:name w:val="Light Grid - Accent 1221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111">
    <w:name w:val="Light List - Accent 5211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111">
    <w:name w:val="Light List - Accent 11211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111">
    <w:name w:val="Light Grid - Accent 1321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111">
    <w:name w:val="Medium Grid 1 - Accent 3211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111">
    <w:name w:val="Grid Table 4 Accent 3111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111">
    <w:name w:val="No List31111"/>
    <w:next w:val="NoList"/>
    <w:uiPriority w:val="99"/>
    <w:unhideWhenUsed/>
    <w:rsid w:val="00C64FC7"/>
  </w:style>
  <w:style w:type="table" w:customStyle="1" w:styleId="MediumGrid1-Accent131111">
    <w:name w:val="Medium Grid 1 - Accent 1311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111">
    <w:name w:val="Light Grid - Accent 11311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111">
    <w:name w:val="Light Grid - Accent 5311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111">
    <w:name w:val="Light Grid - Accent 1231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111">
    <w:name w:val="Light List - Accent 5311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111">
    <w:name w:val="Light List - Accent 11311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111">
    <w:name w:val="Light Grid - Accent 1331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111">
    <w:name w:val="Medium Grid 1 - Accent 3311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111">
    <w:name w:val="Grid Table 4 Accent 3211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111">
    <w:name w:val="Table Grid111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1">
    <w:name w:val="No List5111"/>
    <w:next w:val="NoList"/>
    <w:uiPriority w:val="99"/>
    <w:unhideWhenUsed/>
    <w:rsid w:val="00C64FC7"/>
  </w:style>
  <w:style w:type="table" w:customStyle="1" w:styleId="MediumGrid1-Accent15111">
    <w:name w:val="Medium Grid 1 - Accent 151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111">
    <w:name w:val="Light Grid - Accent 1151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111">
    <w:name w:val="Light Grid - Accent 551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111">
    <w:name w:val="Light Grid - Accent 125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111">
    <w:name w:val="Light List - Accent 551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111">
    <w:name w:val="Light List - Accent 1151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111">
    <w:name w:val="Light Grid - Accent 135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111">
    <w:name w:val="Medium Grid 1 - Accent 351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111">
    <w:name w:val="No List12111"/>
    <w:next w:val="NoList"/>
    <w:uiPriority w:val="99"/>
    <w:unhideWhenUsed/>
    <w:rsid w:val="00C64FC7"/>
  </w:style>
  <w:style w:type="numbering" w:customStyle="1" w:styleId="NoList22111">
    <w:name w:val="No List22111"/>
    <w:next w:val="NoList"/>
    <w:uiPriority w:val="99"/>
    <w:unhideWhenUsed/>
    <w:rsid w:val="00C64FC7"/>
  </w:style>
  <w:style w:type="numbering" w:customStyle="1" w:styleId="NoList32111">
    <w:name w:val="No List32111"/>
    <w:next w:val="NoList"/>
    <w:uiPriority w:val="99"/>
    <w:unhideWhenUsed/>
    <w:rsid w:val="00C64FC7"/>
  </w:style>
  <w:style w:type="numbering" w:customStyle="1" w:styleId="NoList6111">
    <w:name w:val="No List6111"/>
    <w:next w:val="NoList"/>
    <w:uiPriority w:val="99"/>
    <w:unhideWhenUsed/>
    <w:rsid w:val="00C64FC7"/>
  </w:style>
  <w:style w:type="table" w:customStyle="1" w:styleId="MediumGrid1-Accent16111">
    <w:name w:val="Medium Grid 1 - Accent 161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111">
    <w:name w:val="Light Grid - Accent 1161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111">
    <w:name w:val="Light Grid - Accent 561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111">
    <w:name w:val="Light Grid - Accent 126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111">
    <w:name w:val="Light List - Accent 561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111">
    <w:name w:val="Light List - Accent 1161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111">
    <w:name w:val="Light Grid - Accent 136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111">
    <w:name w:val="Medium Grid 1 - Accent 361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111">
    <w:name w:val="No List13111"/>
    <w:next w:val="NoList"/>
    <w:uiPriority w:val="99"/>
    <w:unhideWhenUsed/>
    <w:rsid w:val="00C64FC7"/>
  </w:style>
  <w:style w:type="numbering" w:customStyle="1" w:styleId="NoList23111">
    <w:name w:val="No List23111"/>
    <w:next w:val="NoList"/>
    <w:uiPriority w:val="99"/>
    <w:unhideWhenUsed/>
    <w:rsid w:val="00C64FC7"/>
  </w:style>
  <w:style w:type="numbering" w:customStyle="1" w:styleId="NoList33111">
    <w:name w:val="No List33111"/>
    <w:next w:val="NoList"/>
    <w:uiPriority w:val="99"/>
    <w:unhideWhenUsed/>
    <w:rsid w:val="00C64FC7"/>
  </w:style>
  <w:style w:type="numbering" w:customStyle="1" w:styleId="NoList811">
    <w:name w:val="No List811"/>
    <w:next w:val="NoList"/>
    <w:uiPriority w:val="99"/>
    <w:unhideWhenUsed/>
    <w:rsid w:val="00C64FC7"/>
  </w:style>
  <w:style w:type="table" w:customStyle="1" w:styleId="TableGrid611">
    <w:name w:val="Table Grid6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411">
    <w:name w:val="Medium Grid 3 - Accent 14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811">
    <w:name w:val="Medium Grid 1 - Accent 1811"/>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811">
    <w:name w:val="Light Grid - Accent 11811"/>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811">
    <w:name w:val="Light Grid - Accent 5811"/>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811">
    <w:name w:val="Light Grid - Accent 12811"/>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811">
    <w:name w:val="Light List - Accent 5811"/>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811">
    <w:name w:val="Light List - Accent 11811"/>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811">
    <w:name w:val="Light Grid - Accent 138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811">
    <w:name w:val="Medium Grid 1 - Accent 38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511">
    <w:name w:val="No List1511"/>
    <w:next w:val="NoList"/>
    <w:uiPriority w:val="99"/>
    <w:unhideWhenUsed/>
    <w:rsid w:val="00C64FC7"/>
  </w:style>
  <w:style w:type="table" w:customStyle="1" w:styleId="MediumGrid1-Accent11411">
    <w:name w:val="Medium Grid 1 - Accent 114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411">
    <w:name w:val="Light Grid - Accent 11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411">
    <w:name w:val="Light Grid - Accent 514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411">
    <w:name w:val="Light Grid - Accent 12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411">
    <w:name w:val="Light List - Accent 514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411">
    <w:name w:val="Light List - Accent 1114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411">
    <w:name w:val="Light Grid - Accent 13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411">
    <w:name w:val="Medium Grid 1 - Accent 314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411">
    <w:name w:val="Grid Table 4 - Accent 314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511">
    <w:name w:val="No List2511"/>
    <w:next w:val="NoList"/>
    <w:uiPriority w:val="99"/>
    <w:unhideWhenUsed/>
    <w:rsid w:val="00C64FC7"/>
  </w:style>
  <w:style w:type="table" w:customStyle="1" w:styleId="MediumGrid1-Accent12411">
    <w:name w:val="Medium Grid 1 - Accent 124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411">
    <w:name w:val="Light Grid - Accent 1124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411">
    <w:name w:val="Light Grid - Accent 524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411">
    <w:name w:val="Light Grid - Accent 122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411">
    <w:name w:val="Light List - Accent 524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411">
    <w:name w:val="Light List - Accent 1124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411">
    <w:name w:val="Light Grid - Accent 132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411">
    <w:name w:val="Medium Grid 1 - Accent 324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411">
    <w:name w:val="Grid Table 4 Accent 314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511">
    <w:name w:val="No List3511"/>
    <w:next w:val="NoList"/>
    <w:uiPriority w:val="99"/>
    <w:unhideWhenUsed/>
    <w:rsid w:val="00C64FC7"/>
  </w:style>
  <w:style w:type="table" w:customStyle="1" w:styleId="MediumGrid1-Accent13411">
    <w:name w:val="Medium Grid 1 - Accent 134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411">
    <w:name w:val="Light Grid - Accent 1134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411">
    <w:name w:val="Light Grid - Accent 534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411">
    <w:name w:val="Light Grid - Accent 123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411">
    <w:name w:val="Light List - Accent 534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411">
    <w:name w:val="Light List - Accent 1134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411">
    <w:name w:val="Light Grid - Accent 133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411">
    <w:name w:val="Medium Grid 1 - Accent 334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411">
    <w:name w:val="Grid Table 4 Accent 324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11">
    <w:name w:val="Table Grid14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
    <w:name w:val="No List4211"/>
    <w:next w:val="NoList"/>
    <w:uiPriority w:val="99"/>
    <w:unhideWhenUsed/>
    <w:rsid w:val="00C64FC7"/>
  </w:style>
  <w:style w:type="table" w:customStyle="1" w:styleId="MediumGrid1-Accent14211">
    <w:name w:val="Medium Grid 1 - Accent 142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211">
    <w:name w:val="Light Grid - Accent 1142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211">
    <w:name w:val="Light Grid - Accent 542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211">
    <w:name w:val="Light Grid - Accent 124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211">
    <w:name w:val="Light List - Accent 542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211">
    <w:name w:val="Light List - Accent 1142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211">
    <w:name w:val="Light Grid - Accent 134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211">
    <w:name w:val="Medium Grid 1 - Accent 342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211">
    <w:name w:val="Table Grid212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211">
    <w:name w:val="Medium Grid 3 - Accent 112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211">
    <w:name w:val="No List11211"/>
    <w:next w:val="NoList"/>
    <w:uiPriority w:val="99"/>
    <w:unhideWhenUsed/>
    <w:rsid w:val="00C64FC7"/>
  </w:style>
  <w:style w:type="table" w:customStyle="1" w:styleId="MediumGrid1-Accent111211">
    <w:name w:val="Medium Grid 1 - Accent 1112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211">
    <w:name w:val="Light Grid - Accent 111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211">
    <w:name w:val="Light Grid - Accent 5112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211">
    <w:name w:val="Light Grid - Accent 121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211">
    <w:name w:val="Light List - Accent 5112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211">
    <w:name w:val="Light List - Accent 11112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211">
    <w:name w:val="Light Grid - Accent 131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211">
    <w:name w:val="Medium Grid 1 - Accent 3112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211">
    <w:name w:val="Grid Table 4 - Accent 3112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211">
    <w:name w:val="No List21211"/>
    <w:next w:val="NoList"/>
    <w:uiPriority w:val="99"/>
    <w:unhideWhenUsed/>
    <w:rsid w:val="00C64FC7"/>
  </w:style>
  <w:style w:type="table" w:customStyle="1" w:styleId="MediumGrid1-Accent121211">
    <w:name w:val="Medium Grid 1 - Accent 1212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211">
    <w:name w:val="Light Grid - Accent 11212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211">
    <w:name w:val="Light Grid - Accent 5212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211">
    <w:name w:val="Light Grid - Accent 122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211">
    <w:name w:val="Light List - Accent 5212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211">
    <w:name w:val="Light List - Accent 11212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211">
    <w:name w:val="Light Grid - Accent 132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211">
    <w:name w:val="Medium Grid 1 - Accent 3212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211">
    <w:name w:val="Grid Table 4 Accent 3112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211">
    <w:name w:val="No List31211"/>
    <w:next w:val="NoList"/>
    <w:uiPriority w:val="99"/>
    <w:unhideWhenUsed/>
    <w:rsid w:val="00C64FC7"/>
  </w:style>
  <w:style w:type="table" w:customStyle="1" w:styleId="MediumGrid1-Accent131211">
    <w:name w:val="Medium Grid 1 - Accent 1312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211">
    <w:name w:val="Light Grid - Accent 11312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211">
    <w:name w:val="Light Grid - Accent 5312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211">
    <w:name w:val="Light Grid - Accent 123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211">
    <w:name w:val="Light List - Accent 5312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211">
    <w:name w:val="Light List - Accent 11312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211">
    <w:name w:val="Light Grid - Accent 133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211">
    <w:name w:val="Medium Grid 1 - Accent 3312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211">
    <w:name w:val="Grid Table 4 Accent 3212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211">
    <w:name w:val="Table Grid112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1">
    <w:name w:val="No List5211"/>
    <w:next w:val="NoList"/>
    <w:uiPriority w:val="99"/>
    <w:unhideWhenUsed/>
    <w:rsid w:val="00C64FC7"/>
  </w:style>
  <w:style w:type="table" w:customStyle="1" w:styleId="MediumGrid1-Accent15211">
    <w:name w:val="Medium Grid 1 - Accent 152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211">
    <w:name w:val="Light Grid - Accent 1152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211">
    <w:name w:val="Light Grid - Accent 552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211">
    <w:name w:val="Light Grid - Accent 125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211">
    <w:name w:val="Light List - Accent 552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211">
    <w:name w:val="Light List - Accent 1152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211">
    <w:name w:val="Light Grid - Accent 135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211">
    <w:name w:val="Medium Grid 1 - Accent 352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211">
    <w:name w:val="No List12211"/>
    <w:next w:val="NoList"/>
    <w:uiPriority w:val="99"/>
    <w:unhideWhenUsed/>
    <w:rsid w:val="00C64FC7"/>
  </w:style>
  <w:style w:type="numbering" w:customStyle="1" w:styleId="NoList22211">
    <w:name w:val="No List22211"/>
    <w:next w:val="NoList"/>
    <w:uiPriority w:val="99"/>
    <w:unhideWhenUsed/>
    <w:rsid w:val="00C64FC7"/>
  </w:style>
  <w:style w:type="numbering" w:customStyle="1" w:styleId="NoList32211">
    <w:name w:val="No List32211"/>
    <w:next w:val="NoList"/>
    <w:uiPriority w:val="99"/>
    <w:unhideWhenUsed/>
    <w:rsid w:val="00C64FC7"/>
  </w:style>
  <w:style w:type="numbering" w:customStyle="1" w:styleId="NoList6211">
    <w:name w:val="No List6211"/>
    <w:next w:val="NoList"/>
    <w:uiPriority w:val="99"/>
    <w:unhideWhenUsed/>
    <w:rsid w:val="00C64FC7"/>
  </w:style>
  <w:style w:type="table" w:customStyle="1" w:styleId="MediumGrid1-Accent16211">
    <w:name w:val="Medium Grid 1 - Accent 162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211">
    <w:name w:val="Light Grid - Accent 1162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211">
    <w:name w:val="Light Grid - Accent 562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211">
    <w:name w:val="Light Grid - Accent 126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211">
    <w:name w:val="Light List - Accent 562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211">
    <w:name w:val="Light List - Accent 1162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211">
    <w:name w:val="Light Grid - Accent 136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211">
    <w:name w:val="Medium Grid 1 - Accent 362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211">
    <w:name w:val="No List13211"/>
    <w:next w:val="NoList"/>
    <w:uiPriority w:val="99"/>
    <w:unhideWhenUsed/>
    <w:rsid w:val="00C64FC7"/>
  </w:style>
  <w:style w:type="numbering" w:customStyle="1" w:styleId="NoList23211">
    <w:name w:val="No List23211"/>
    <w:next w:val="NoList"/>
    <w:uiPriority w:val="99"/>
    <w:unhideWhenUsed/>
    <w:rsid w:val="00C64FC7"/>
  </w:style>
  <w:style w:type="numbering" w:customStyle="1" w:styleId="NoList33211">
    <w:name w:val="No List33211"/>
    <w:next w:val="NoList"/>
    <w:uiPriority w:val="99"/>
    <w:unhideWhenUsed/>
    <w:rsid w:val="00C64FC7"/>
  </w:style>
  <w:style w:type="numbering" w:customStyle="1" w:styleId="NoList911">
    <w:name w:val="No List911"/>
    <w:next w:val="NoList"/>
    <w:uiPriority w:val="99"/>
    <w:unhideWhenUsed/>
    <w:rsid w:val="00C64FC7"/>
  </w:style>
  <w:style w:type="table" w:customStyle="1" w:styleId="TableGrid711">
    <w:name w:val="Table Grid7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511">
    <w:name w:val="Medium Grid 3 - Accent 1511"/>
    <w:basedOn w:val="TableNormal"/>
    <w:next w:val="MediumGrid3-Accent1"/>
    <w:uiPriority w:val="69"/>
    <w:locked/>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911">
    <w:name w:val="Medium Grid 1 - Accent 1911"/>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911">
    <w:name w:val="Light Grid - Accent 11911"/>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911">
    <w:name w:val="Light Grid - Accent 5911"/>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911">
    <w:name w:val="Light Grid - Accent 12911"/>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911">
    <w:name w:val="Light List - Accent 5911"/>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11">
    <w:name w:val="Light List - Accent 11911"/>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911">
    <w:name w:val="Light Grid - Accent 139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911">
    <w:name w:val="Medium Grid 1 - Accent 39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611">
    <w:name w:val="No List1611"/>
    <w:next w:val="NoList"/>
    <w:uiPriority w:val="99"/>
    <w:unhideWhenUsed/>
    <w:rsid w:val="00C64FC7"/>
  </w:style>
  <w:style w:type="table" w:customStyle="1" w:styleId="MediumGrid1-Accent11511">
    <w:name w:val="Medium Grid 1 - Accent 115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511">
    <w:name w:val="Light Grid - Accent 11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511">
    <w:name w:val="Light Grid - Accent 515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511">
    <w:name w:val="Light Grid - Accent 12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511">
    <w:name w:val="Light List - Accent 515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511">
    <w:name w:val="Light List - Accent 1115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511">
    <w:name w:val="Light Grid - Accent 13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511">
    <w:name w:val="Medium Grid 1 - Accent 315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511">
    <w:name w:val="Grid Table 4 - Accent 315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611">
    <w:name w:val="No List2611"/>
    <w:next w:val="NoList"/>
    <w:uiPriority w:val="99"/>
    <w:unhideWhenUsed/>
    <w:rsid w:val="00C64FC7"/>
  </w:style>
  <w:style w:type="table" w:customStyle="1" w:styleId="MediumGrid1-Accent12511">
    <w:name w:val="Medium Grid 1 - Accent 125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511">
    <w:name w:val="Light Grid - Accent 1125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511">
    <w:name w:val="Light Grid - Accent 525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511">
    <w:name w:val="Light Grid - Accent 122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511">
    <w:name w:val="Light List - Accent 525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511">
    <w:name w:val="Light List - Accent 1125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511">
    <w:name w:val="Light Grid - Accent 132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511">
    <w:name w:val="Medium Grid 1 - Accent 325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511">
    <w:name w:val="Grid Table 4 Accent 315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611">
    <w:name w:val="No List3611"/>
    <w:next w:val="NoList"/>
    <w:uiPriority w:val="99"/>
    <w:unhideWhenUsed/>
    <w:rsid w:val="00C64FC7"/>
  </w:style>
  <w:style w:type="table" w:customStyle="1" w:styleId="MediumGrid1-Accent13511">
    <w:name w:val="Medium Grid 1 - Accent 135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511">
    <w:name w:val="Light Grid - Accent 1135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511">
    <w:name w:val="Light Grid - Accent 535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511">
    <w:name w:val="Light Grid - Accent 123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511">
    <w:name w:val="Light List - Accent 535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511">
    <w:name w:val="Light List - Accent 1135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511">
    <w:name w:val="Light Grid - Accent 133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511">
    <w:name w:val="Medium Grid 1 - Accent 335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511">
    <w:name w:val="Grid Table 4 Accent 325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511">
    <w:name w:val="Table Grid15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1">
    <w:name w:val="No List4311"/>
    <w:next w:val="NoList"/>
    <w:uiPriority w:val="99"/>
    <w:unhideWhenUsed/>
    <w:rsid w:val="00C64FC7"/>
  </w:style>
  <w:style w:type="table" w:customStyle="1" w:styleId="MediumGrid1-Accent14311">
    <w:name w:val="Medium Grid 1 - Accent 143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311">
    <w:name w:val="Light Grid - Accent 1143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311">
    <w:name w:val="Light Grid - Accent 543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311">
    <w:name w:val="Light Grid - Accent 124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311">
    <w:name w:val="Light List - Accent 543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311">
    <w:name w:val="Light List - Accent 1143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311">
    <w:name w:val="Light Grid - Accent 134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311">
    <w:name w:val="Medium Grid 1 - Accent 343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311">
    <w:name w:val="Table Grid213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311">
    <w:name w:val="Medium Grid 3 - Accent 113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311">
    <w:name w:val="No List11311"/>
    <w:next w:val="NoList"/>
    <w:uiPriority w:val="99"/>
    <w:unhideWhenUsed/>
    <w:rsid w:val="00C64FC7"/>
  </w:style>
  <w:style w:type="table" w:customStyle="1" w:styleId="MediumGrid1-Accent111311">
    <w:name w:val="Medium Grid 1 - Accent 1113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311">
    <w:name w:val="Light Grid - Accent 111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311">
    <w:name w:val="Light Grid - Accent 5113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311">
    <w:name w:val="Light Grid - Accent 121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311">
    <w:name w:val="Light List - Accent 5113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311">
    <w:name w:val="Light List - Accent 11113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311">
    <w:name w:val="Light Grid - Accent 131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311">
    <w:name w:val="Medium Grid 1 - Accent 3113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311">
    <w:name w:val="Grid Table 4 - Accent 3113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311">
    <w:name w:val="No List21311"/>
    <w:next w:val="NoList"/>
    <w:uiPriority w:val="99"/>
    <w:unhideWhenUsed/>
    <w:rsid w:val="00C64FC7"/>
  </w:style>
  <w:style w:type="table" w:customStyle="1" w:styleId="MediumGrid1-Accent121311">
    <w:name w:val="Medium Grid 1 - Accent 1213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311">
    <w:name w:val="Light Grid - Accent 11213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311">
    <w:name w:val="Light Grid - Accent 5213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311">
    <w:name w:val="Light Grid - Accent 122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311">
    <w:name w:val="Light List - Accent 5213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311">
    <w:name w:val="Light List - Accent 11213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311">
    <w:name w:val="Light Grid - Accent 132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311">
    <w:name w:val="Medium Grid 1 - Accent 3213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311">
    <w:name w:val="Grid Table 4 Accent 3113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311">
    <w:name w:val="No List31311"/>
    <w:next w:val="NoList"/>
    <w:uiPriority w:val="99"/>
    <w:unhideWhenUsed/>
    <w:rsid w:val="00C64FC7"/>
  </w:style>
  <w:style w:type="table" w:customStyle="1" w:styleId="MediumGrid1-Accent131311">
    <w:name w:val="Medium Grid 1 - Accent 1313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311">
    <w:name w:val="Light Grid - Accent 11313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311">
    <w:name w:val="Light Grid - Accent 5313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311">
    <w:name w:val="Light Grid - Accent 123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311">
    <w:name w:val="Light List - Accent 5313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311">
    <w:name w:val="Light List - Accent 11313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311">
    <w:name w:val="Light Grid - Accent 133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311">
    <w:name w:val="Medium Grid 1 - Accent 3313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311">
    <w:name w:val="Grid Table 4 Accent 3213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311">
    <w:name w:val="Table Grid113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1">
    <w:name w:val="No List5311"/>
    <w:next w:val="NoList"/>
    <w:uiPriority w:val="99"/>
    <w:unhideWhenUsed/>
    <w:rsid w:val="00C64FC7"/>
  </w:style>
  <w:style w:type="table" w:customStyle="1" w:styleId="MediumGrid1-Accent15311">
    <w:name w:val="Medium Grid 1 - Accent 153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311">
    <w:name w:val="Light Grid - Accent 1153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311">
    <w:name w:val="Light Grid - Accent 553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311">
    <w:name w:val="Light Grid - Accent 125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311">
    <w:name w:val="Light List - Accent 553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311">
    <w:name w:val="Light List - Accent 1153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311">
    <w:name w:val="Light Grid - Accent 135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311">
    <w:name w:val="Medium Grid 1 - Accent 353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311">
    <w:name w:val="No List12311"/>
    <w:next w:val="NoList"/>
    <w:uiPriority w:val="99"/>
    <w:unhideWhenUsed/>
    <w:rsid w:val="00C64FC7"/>
  </w:style>
  <w:style w:type="numbering" w:customStyle="1" w:styleId="NoList22311">
    <w:name w:val="No List22311"/>
    <w:next w:val="NoList"/>
    <w:uiPriority w:val="99"/>
    <w:unhideWhenUsed/>
    <w:rsid w:val="00C64FC7"/>
  </w:style>
  <w:style w:type="numbering" w:customStyle="1" w:styleId="NoList32311">
    <w:name w:val="No List32311"/>
    <w:next w:val="NoList"/>
    <w:uiPriority w:val="99"/>
    <w:unhideWhenUsed/>
    <w:rsid w:val="00C64FC7"/>
  </w:style>
  <w:style w:type="numbering" w:customStyle="1" w:styleId="NoList6311">
    <w:name w:val="No List6311"/>
    <w:next w:val="NoList"/>
    <w:uiPriority w:val="99"/>
    <w:unhideWhenUsed/>
    <w:rsid w:val="00C64FC7"/>
  </w:style>
  <w:style w:type="table" w:customStyle="1" w:styleId="MediumGrid1-Accent16311">
    <w:name w:val="Medium Grid 1 - Accent 163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311">
    <w:name w:val="Light Grid - Accent 1163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311">
    <w:name w:val="Light Grid - Accent 563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311">
    <w:name w:val="Light Grid - Accent 126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311">
    <w:name w:val="Light List - Accent 563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311">
    <w:name w:val="Light List - Accent 1163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311">
    <w:name w:val="Light Grid - Accent 136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311">
    <w:name w:val="Medium Grid 1 - Accent 363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311">
    <w:name w:val="No List13311"/>
    <w:next w:val="NoList"/>
    <w:uiPriority w:val="99"/>
    <w:unhideWhenUsed/>
    <w:rsid w:val="00C64FC7"/>
  </w:style>
  <w:style w:type="numbering" w:customStyle="1" w:styleId="NoList23311">
    <w:name w:val="No List23311"/>
    <w:next w:val="NoList"/>
    <w:uiPriority w:val="99"/>
    <w:unhideWhenUsed/>
    <w:rsid w:val="00C64FC7"/>
  </w:style>
  <w:style w:type="numbering" w:customStyle="1" w:styleId="NoList33311">
    <w:name w:val="No List33311"/>
    <w:next w:val="NoList"/>
    <w:uiPriority w:val="99"/>
    <w:unhideWhenUsed/>
    <w:rsid w:val="00C64FC7"/>
  </w:style>
  <w:style w:type="numbering" w:customStyle="1" w:styleId="NoList1011">
    <w:name w:val="No List1011"/>
    <w:next w:val="NoList"/>
    <w:uiPriority w:val="99"/>
    <w:unhideWhenUsed/>
    <w:rsid w:val="00C64FC7"/>
  </w:style>
  <w:style w:type="table" w:customStyle="1" w:styleId="TableGrid811">
    <w:name w:val="Table Grid8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611">
    <w:name w:val="Medium Grid 3 - Accent 16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011">
    <w:name w:val="Medium Grid 1 - Accent 11011"/>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011">
    <w:name w:val="Light Grid - Accent 111011"/>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011">
    <w:name w:val="Light Grid - Accent 51011"/>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011">
    <w:name w:val="Light Grid - Accent 121011"/>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011">
    <w:name w:val="Light List - Accent 51011"/>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011">
    <w:name w:val="Light List - Accent 111011"/>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011">
    <w:name w:val="Light Grid - Accent 1310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011">
    <w:name w:val="Medium Grid 1 - Accent 310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711">
    <w:name w:val="No List1711"/>
    <w:next w:val="NoList"/>
    <w:uiPriority w:val="99"/>
    <w:unhideWhenUsed/>
    <w:rsid w:val="00C64FC7"/>
  </w:style>
  <w:style w:type="table" w:customStyle="1" w:styleId="MediumGrid1-Accent11611">
    <w:name w:val="Medium Grid 1 - Accent 116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611">
    <w:name w:val="Light Grid - Accent 1116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611">
    <w:name w:val="Light Grid - Accent 516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611">
    <w:name w:val="Light Grid - Accent 1216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611">
    <w:name w:val="Light List - Accent 516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611">
    <w:name w:val="Light List - Accent 1116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611">
    <w:name w:val="Light Grid - Accent 1316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611">
    <w:name w:val="Medium Grid 1 - Accent 316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611">
    <w:name w:val="Grid Table 4 - Accent 316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711">
    <w:name w:val="No List2711"/>
    <w:next w:val="NoList"/>
    <w:uiPriority w:val="99"/>
    <w:unhideWhenUsed/>
    <w:rsid w:val="00C64FC7"/>
  </w:style>
  <w:style w:type="table" w:customStyle="1" w:styleId="MediumGrid1-Accent12611">
    <w:name w:val="Medium Grid 1 - Accent 126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611">
    <w:name w:val="Light Grid - Accent 1126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611">
    <w:name w:val="Light Grid - Accent 526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611">
    <w:name w:val="Light Grid - Accent 1226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611">
    <w:name w:val="Light List - Accent 526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611">
    <w:name w:val="Light List - Accent 1126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611">
    <w:name w:val="Light Grid - Accent 1326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611">
    <w:name w:val="Medium Grid 1 - Accent 326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611">
    <w:name w:val="Grid Table 4 Accent 316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711">
    <w:name w:val="No List3711"/>
    <w:next w:val="NoList"/>
    <w:uiPriority w:val="99"/>
    <w:unhideWhenUsed/>
    <w:rsid w:val="00C64FC7"/>
  </w:style>
  <w:style w:type="table" w:customStyle="1" w:styleId="MediumGrid1-Accent13611">
    <w:name w:val="Medium Grid 1 - Accent 136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611">
    <w:name w:val="Light Grid - Accent 1136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611">
    <w:name w:val="Light Grid - Accent 536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611">
    <w:name w:val="Light Grid - Accent 1236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611">
    <w:name w:val="Light List - Accent 536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611">
    <w:name w:val="Light List - Accent 1136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611">
    <w:name w:val="Light Grid - Accent 1336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611">
    <w:name w:val="Medium Grid 1 - Accent 336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611">
    <w:name w:val="Grid Table 4 Accent 326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611">
    <w:name w:val="Table Grid16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1">
    <w:name w:val="Table Grid2511"/>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1">
    <w:name w:val="No List4411"/>
    <w:next w:val="NoList"/>
    <w:uiPriority w:val="99"/>
    <w:unhideWhenUsed/>
    <w:rsid w:val="00C64FC7"/>
  </w:style>
  <w:style w:type="table" w:customStyle="1" w:styleId="MediumGrid1-Accent14411">
    <w:name w:val="Medium Grid 1 - Accent 144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411">
    <w:name w:val="Light Grid - Accent 1144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411">
    <w:name w:val="Light Grid - Accent 544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411">
    <w:name w:val="Light Grid - Accent 124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411">
    <w:name w:val="Light List - Accent 544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411">
    <w:name w:val="Light List - Accent 1144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411">
    <w:name w:val="Light Grid - Accent 134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411">
    <w:name w:val="Medium Grid 1 - Accent 344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411">
    <w:name w:val="Table Grid214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411">
    <w:name w:val="Medium Grid 3 - Accent 114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411">
    <w:name w:val="No List11411"/>
    <w:next w:val="NoList"/>
    <w:uiPriority w:val="99"/>
    <w:unhideWhenUsed/>
    <w:rsid w:val="00C64FC7"/>
  </w:style>
  <w:style w:type="table" w:customStyle="1" w:styleId="MediumGrid1-Accent111411">
    <w:name w:val="Medium Grid 1 - Accent 1114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411">
    <w:name w:val="Light Grid - Accent 111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411">
    <w:name w:val="Light Grid - Accent 5114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411">
    <w:name w:val="Light Grid - Accent 121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411">
    <w:name w:val="Light List - Accent 5114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411">
    <w:name w:val="Light List - Accent 11114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411">
    <w:name w:val="Light Grid - Accent 131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411">
    <w:name w:val="Medium Grid 1 - Accent 3114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411">
    <w:name w:val="Grid Table 4 - Accent 3114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411">
    <w:name w:val="No List21411"/>
    <w:next w:val="NoList"/>
    <w:uiPriority w:val="99"/>
    <w:unhideWhenUsed/>
    <w:rsid w:val="00C64FC7"/>
  </w:style>
  <w:style w:type="table" w:customStyle="1" w:styleId="MediumGrid1-Accent121411">
    <w:name w:val="Medium Grid 1 - Accent 1214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411">
    <w:name w:val="Light Grid - Accent 11214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411">
    <w:name w:val="Light Grid - Accent 5214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411">
    <w:name w:val="Light Grid - Accent 122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411">
    <w:name w:val="Light List - Accent 5214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411">
    <w:name w:val="Light List - Accent 11214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411">
    <w:name w:val="Light Grid - Accent 132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411">
    <w:name w:val="Medium Grid 1 - Accent 3214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411">
    <w:name w:val="Grid Table 4 Accent 3114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411">
    <w:name w:val="No List31411"/>
    <w:next w:val="NoList"/>
    <w:uiPriority w:val="99"/>
    <w:unhideWhenUsed/>
    <w:rsid w:val="00C64FC7"/>
  </w:style>
  <w:style w:type="table" w:customStyle="1" w:styleId="MediumGrid1-Accent131411">
    <w:name w:val="Medium Grid 1 - Accent 1314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411">
    <w:name w:val="Light Grid - Accent 11314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411">
    <w:name w:val="Light Grid - Accent 5314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411">
    <w:name w:val="Light Grid - Accent 123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411">
    <w:name w:val="Light List - Accent 5314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411">
    <w:name w:val="Light List - Accent 11314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411">
    <w:name w:val="Light Grid - Accent 133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411">
    <w:name w:val="Medium Grid 1 - Accent 3314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411">
    <w:name w:val="Grid Table 4 Accent 3214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411">
    <w:name w:val="Table Grid114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11">
    <w:name w:val="No List5411"/>
    <w:next w:val="NoList"/>
    <w:uiPriority w:val="99"/>
    <w:unhideWhenUsed/>
    <w:rsid w:val="00C64FC7"/>
  </w:style>
  <w:style w:type="table" w:customStyle="1" w:styleId="MediumGrid1-Accent15411">
    <w:name w:val="Medium Grid 1 - Accent 154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411">
    <w:name w:val="Light Grid - Accent 1154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411">
    <w:name w:val="Light Grid - Accent 554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411">
    <w:name w:val="Light Grid - Accent 125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411">
    <w:name w:val="Light List - Accent 554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411">
    <w:name w:val="Light List - Accent 1154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411">
    <w:name w:val="Light Grid - Accent 135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411">
    <w:name w:val="Medium Grid 1 - Accent 354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411">
    <w:name w:val="No List12411"/>
    <w:next w:val="NoList"/>
    <w:uiPriority w:val="99"/>
    <w:unhideWhenUsed/>
    <w:rsid w:val="00C64FC7"/>
  </w:style>
  <w:style w:type="numbering" w:customStyle="1" w:styleId="NoList22411">
    <w:name w:val="No List22411"/>
    <w:next w:val="NoList"/>
    <w:uiPriority w:val="99"/>
    <w:unhideWhenUsed/>
    <w:rsid w:val="00C64FC7"/>
  </w:style>
  <w:style w:type="numbering" w:customStyle="1" w:styleId="NoList32411">
    <w:name w:val="No List32411"/>
    <w:next w:val="NoList"/>
    <w:uiPriority w:val="99"/>
    <w:unhideWhenUsed/>
    <w:rsid w:val="00C64FC7"/>
  </w:style>
  <w:style w:type="numbering" w:customStyle="1" w:styleId="NoList6411">
    <w:name w:val="No List6411"/>
    <w:next w:val="NoList"/>
    <w:uiPriority w:val="99"/>
    <w:unhideWhenUsed/>
    <w:rsid w:val="00C64FC7"/>
  </w:style>
  <w:style w:type="table" w:customStyle="1" w:styleId="MediumGrid1-Accent16411">
    <w:name w:val="Medium Grid 1 - Accent 164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411">
    <w:name w:val="Light Grid - Accent 1164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411">
    <w:name w:val="Light Grid - Accent 564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411">
    <w:name w:val="Light Grid - Accent 126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411">
    <w:name w:val="Light List - Accent 564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411">
    <w:name w:val="Light List - Accent 1164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411">
    <w:name w:val="Light Grid - Accent 136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411">
    <w:name w:val="Medium Grid 1 - Accent 364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411">
    <w:name w:val="No List13411"/>
    <w:next w:val="NoList"/>
    <w:uiPriority w:val="99"/>
    <w:unhideWhenUsed/>
    <w:rsid w:val="00C64FC7"/>
  </w:style>
  <w:style w:type="numbering" w:customStyle="1" w:styleId="NoList23411">
    <w:name w:val="No List23411"/>
    <w:next w:val="NoList"/>
    <w:uiPriority w:val="99"/>
    <w:unhideWhenUsed/>
    <w:rsid w:val="00C64FC7"/>
  </w:style>
  <w:style w:type="numbering" w:customStyle="1" w:styleId="NoList33411">
    <w:name w:val="No List33411"/>
    <w:next w:val="NoList"/>
    <w:uiPriority w:val="99"/>
    <w:unhideWhenUsed/>
    <w:rsid w:val="00C64FC7"/>
  </w:style>
  <w:style w:type="numbering" w:customStyle="1" w:styleId="NoList1811">
    <w:name w:val="No List1811"/>
    <w:next w:val="NoList"/>
    <w:uiPriority w:val="99"/>
    <w:unhideWhenUsed/>
    <w:rsid w:val="00C64FC7"/>
  </w:style>
  <w:style w:type="table" w:customStyle="1" w:styleId="TableGrid911">
    <w:name w:val="Table Grid9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711">
    <w:name w:val="Medium Grid 3 - Accent 17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711">
    <w:name w:val="Medium Grid 1 - Accent 11711"/>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711">
    <w:name w:val="Light Grid - Accent 111711"/>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711">
    <w:name w:val="Light Grid - Accent 51711"/>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711">
    <w:name w:val="Light Grid - Accent 121711"/>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711">
    <w:name w:val="Light List - Accent 51711"/>
    <w:basedOn w:val="TableNormal"/>
    <w:next w:val="LightList-Accent5"/>
    <w:uiPriority w:val="61"/>
    <w:locked/>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711">
    <w:name w:val="Light List - Accent 111711"/>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711">
    <w:name w:val="Light Grid - Accent 1317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711">
    <w:name w:val="Medium Grid 1 - Accent 317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911">
    <w:name w:val="No List1911"/>
    <w:next w:val="NoList"/>
    <w:uiPriority w:val="99"/>
    <w:unhideWhenUsed/>
    <w:rsid w:val="00C64FC7"/>
  </w:style>
  <w:style w:type="table" w:customStyle="1" w:styleId="MediumGrid1-Accent11811">
    <w:name w:val="Medium Grid 1 - Accent 118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811">
    <w:name w:val="Light Grid - Accent 1118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811">
    <w:name w:val="Light Grid - Accent 518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811">
    <w:name w:val="Light Grid - Accent 1218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811">
    <w:name w:val="Light List - Accent 518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811">
    <w:name w:val="Light List - Accent 1118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811">
    <w:name w:val="Light Grid - Accent 1318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811">
    <w:name w:val="Medium Grid 1 - Accent 318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711">
    <w:name w:val="Grid Table 4 - Accent 317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811">
    <w:name w:val="No List2811"/>
    <w:next w:val="NoList"/>
    <w:uiPriority w:val="99"/>
    <w:unhideWhenUsed/>
    <w:rsid w:val="00C64FC7"/>
  </w:style>
  <w:style w:type="table" w:customStyle="1" w:styleId="MediumGrid1-Accent12711">
    <w:name w:val="Medium Grid 1 - Accent 127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711">
    <w:name w:val="Light Grid - Accent 1127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711">
    <w:name w:val="Light Grid - Accent 527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711">
    <w:name w:val="Light Grid - Accent 1227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711">
    <w:name w:val="Light List - Accent 527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711">
    <w:name w:val="Light List - Accent 1127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711">
    <w:name w:val="Light Grid - Accent 1327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711">
    <w:name w:val="Medium Grid 1 - Accent 327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711">
    <w:name w:val="Grid Table 4 Accent 317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811">
    <w:name w:val="No List3811"/>
    <w:next w:val="NoList"/>
    <w:uiPriority w:val="99"/>
    <w:unhideWhenUsed/>
    <w:rsid w:val="00C64FC7"/>
  </w:style>
  <w:style w:type="table" w:customStyle="1" w:styleId="MediumGrid1-Accent13711">
    <w:name w:val="Medium Grid 1 - Accent 137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711">
    <w:name w:val="Light Grid - Accent 1137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711">
    <w:name w:val="Light Grid - Accent 537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711">
    <w:name w:val="Light Grid - Accent 1237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711">
    <w:name w:val="Light List - Accent 537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711">
    <w:name w:val="Light List - Accent 1137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711">
    <w:name w:val="Light Grid - Accent 1337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711">
    <w:name w:val="Medium Grid 1 - Accent 337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711">
    <w:name w:val="Grid Table 4 Accent 327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711">
    <w:name w:val="Table Grid17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
    <w:name w:val="Table Grid2611"/>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11">
    <w:name w:val="No List4511"/>
    <w:next w:val="NoList"/>
    <w:uiPriority w:val="99"/>
    <w:unhideWhenUsed/>
    <w:rsid w:val="00C64FC7"/>
  </w:style>
  <w:style w:type="table" w:customStyle="1" w:styleId="MediumGrid1-Accent14511">
    <w:name w:val="Medium Grid 1 - Accent 145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511">
    <w:name w:val="Light Grid - Accent 1145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511">
    <w:name w:val="Light Grid - Accent 545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511">
    <w:name w:val="Light Grid - Accent 124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511">
    <w:name w:val="Light List - Accent 545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511">
    <w:name w:val="Light List - Accent 1145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511">
    <w:name w:val="Light Grid - Accent 134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511">
    <w:name w:val="Medium Grid 1 - Accent 345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511">
    <w:name w:val="Table Grid215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511">
    <w:name w:val="Medium Grid 3 - Accent 115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511">
    <w:name w:val="No List11511"/>
    <w:next w:val="NoList"/>
    <w:uiPriority w:val="99"/>
    <w:unhideWhenUsed/>
    <w:rsid w:val="00C64FC7"/>
  </w:style>
  <w:style w:type="table" w:customStyle="1" w:styleId="MediumGrid1-Accent111511">
    <w:name w:val="Medium Grid 1 - Accent 1115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511">
    <w:name w:val="Light Grid - Accent 111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511">
    <w:name w:val="Light Grid - Accent 5115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511">
    <w:name w:val="Light Grid - Accent 121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511">
    <w:name w:val="Light List - Accent 5115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511">
    <w:name w:val="Light List - Accent 11115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511">
    <w:name w:val="Light Grid - Accent 131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511">
    <w:name w:val="Medium Grid 1 - Accent 3115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511">
    <w:name w:val="Grid Table 4 - Accent 3115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511">
    <w:name w:val="No List21511"/>
    <w:next w:val="NoList"/>
    <w:uiPriority w:val="99"/>
    <w:unhideWhenUsed/>
    <w:rsid w:val="00C64FC7"/>
  </w:style>
  <w:style w:type="table" w:customStyle="1" w:styleId="MediumGrid1-Accent121511">
    <w:name w:val="Medium Grid 1 - Accent 1215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511">
    <w:name w:val="Light Grid - Accent 11215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511">
    <w:name w:val="Light Grid - Accent 5215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511">
    <w:name w:val="Light Grid - Accent 122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511">
    <w:name w:val="Light List - Accent 5215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511">
    <w:name w:val="Light List - Accent 11215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511">
    <w:name w:val="Light Grid - Accent 132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511">
    <w:name w:val="Medium Grid 1 - Accent 3215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511">
    <w:name w:val="Grid Table 4 Accent 3115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511">
    <w:name w:val="No List31511"/>
    <w:next w:val="NoList"/>
    <w:uiPriority w:val="99"/>
    <w:unhideWhenUsed/>
    <w:rsid w:val="00C64FC7"/>
  </w:style>
  <w:style w:type="table" w:customStyle="1" w:styleId="MediumGrid1-Accent131511">
    <w:name w:val="Medium Grid 1 - Accent 1315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511">
    <w:name w:val="Light Grid - Accent 11315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511">
    <w:name w:val="Light Grid - Accent 5315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511">
    <w:name w:val="Light Grid - Accent 123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511">
    <w:name w:val="Light List - Accent 5315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511">
    <w:name w:val="Light List - Accent 11315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511">
    <w:name w:val="Light Grid - Accent 133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511">
    <w:name w:val="Medium Grid 1 - Accent 3315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511">
    <w:name w:val="Grid Table 4 Accent 3215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511">
    <w:name w:val="Table Grid115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11">
    <w:name w:val="No List5511"/>
    <w:next w:val="NoList"/>
    <w:uiPriority w:val="99"/>
    <w:unhideWhenUsed/>
    <w:rsid w:val="00C64FC7"/>
  </w:style>
  <w:style w:type="table" w:customStyle="1" w:styleId="MediumGrid1-Accent15511">
    <w:name w:val="Medium Grid 1 - Accent 155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511">
    <w:name w:val="Light Grid - Accent 1155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511">
    <w:name w:val="Light Grid - Accent 555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511">
    <w:name w:val="Light Grid - Accent 125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511">
    <w:name w:val="Light List - Accent 555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511">
    <w:name w:val="Light List - Accent 1155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511">
    <w:name w:val="Light Grid - Accent 135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511">
    <w:name w:val="Medium Grid 1 - Accent 355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511">
    <w:name w:val="No List12511"/>
    <w:next w:val="NoList"/>
    <w:uiPriority w:val="99"/>
    <w:unhideWhenUsed/>
    <w:rsid w:val="00C64FC7"/>
  </w:style>
  <w:style w:type="numbering" w:customStyle="1" w:styleId="NoList22511">
    <w:name w:val="No List22511"/>
    <w:next w:val="NoList"/>
    <w:uiPriority w:val="99"/>
    <w:unhideWhenUsed/>
    <w:rsid w:val="00C64FC7"/>
  </w:style>
  <w:style w:type="numbering" w:customStyle="1" w:styleId="NoList32511">
    <w:name w:val="No List32511"/>
    <w:next w:val="NoList"/>
    <w:uiPriority w:val="99"/>
    <w:unhideWhenUsed/>
    <w:rsid w:val="00C64FC7"/>
  </w:style>
  <w:style w:type="numbering" w:customStyle="1" w:styleId="NoList6511">
    <w:name w:val="No List6511"/>
    <w:next w:val="NoList"/>
    <w:uiPriority w:val="99"/>
    <w:unhideWhenUsed/>
    <w:rsid w:val="00C64FC7"/>
  </w:style>
  <w:style w:type="table" w:customStyle="1" w:styleId="MediumGrid1-Accent16511">
    <w:name w:val="Medium Grid 1 - Accent 165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511">
    <w:name w:val="Light Grid - Accent 1165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511">
    <w:name w:val="Light Grid - Accent 565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511">
    <w:name w:val="Light Grid - Accent 126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511">
    <w:name w:val="Light List - Accent 565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511">
    <w:name w:val="Light List - Accent 1165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511">
    <w:name w:val="Light Grid - Accent 136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511">
    <w:name w:val="Medium Grid 1 - Accent 365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511">
    <w:name w:val="No List13511"/>
    <w:next w:val="NoList"/>
    <w:uiPriority w:val="99"/>
    <w:unhideWhenUsed/>
    <w:rsid w:val="00C64FC7"/>
  </w:style>
  <w:style w:type="numbering" w:customStyle="1" w:styleId="NoList23511">
    <w:name w:val="No List23511"/>
    <w:next w:val="NoList"/>
    <w:uiPriority w:val="99"/>
    <w:unhideWhenUsed/>
    <w:rsid w:val="00C64FC7"/>
  </w:style>
  <w:style w:type="numbering" w:customStyle="1" w:styleId="NoList33511">
    <w:name w:val="No List33511"/>
    <w:next w:val="NoList"/>
    <w:uiPriority w:val="99"/>
    <w:unhideWhenUsed/>
    <w:rsid w:val="00C64FC7"/>
  </w:style>
  <w:style w:type="numbering" w:customStyle="1" w:styleId="NoList40">
    <w:name w:val="No List40"/>
    <w:next w:val="NoList"/>
    <w:uiPriority w:val="99"/>
    <w:unhideWhenUsed/>
    <w:rsid w:val="00C64FC7"/>
  </w:style>
  <w:style w:type="table" w:customStyle="1" w:styleId="TableGrid20">
    <w:name w:val="Table Grid20"/>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0">
    <w:name w:val="Medium Grid 3 - Accent 110"/>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30">
    <w:name w:val="Medium Grid 1 - Accent 130"/>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30">
    <w:name w:val="Light Grid - Accent 1130"/>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30">
    <w:name w:val="Light Grid - Accent 530"/>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30">
    <w:name w:val="Light Grid - Accent 1230"/>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30">
    <w:name w:val="Light List - Accent 530"/>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30">
    <w:name w:val="Light List - Accent 1130"/>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30">
    <w:name w:val="Light Grid - Accent 1330"/>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30">
    <w:name w:val="Medium Grid 1 - Accent 330"/>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19">
    <w:name w:val="No List119"/>
    <w:next w:val="NoList"/>
    <w:uiPriority w:val="99"/>
    <w:unhideWhenUsed/>
    <w:rsid w:val="00C64FC7"/>
  </w:style>
  <w:style w:type="table" w:customStyle="1" w:styleId="MediumGrid1-Accent1119">
    <w:name w:val="Medium Grid 1 - Accent 1119"/>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9">
    <w:name w:val="Light Grid - Accent 11119"/>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9">
    <w:name w:val="Light Grid - Accent 5119"/>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9">
    <w:name w:val="Light Grid - Accent 12119"/>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9">
    <w:name w:val="Light List - Accent 5119"/>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9">
    <w:name w:val="Light List - Accent 11119"/>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9">
    <w:name w:val="Light Grid - Accent 13119"/>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9">
    <w:name w:val="Medium Grid 1 - Accent 3119"/>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0">
    <w:name w:val="Grid Table 4 - Accent 3110"/>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8">
    <w:name w:val="No List218"/>
    <w:next w:val="NoList"/>
    <w:uiPriority w:val="99"/>
    <w:unhideWhenUsed/>
    <w:rsid w:val="00C64FC7"/>
  </w:style>
  <w:style w:type="table" w:customStyle="1" w:styleId="MediumGrid1-Accent1210">
    <w:name w:val="Medium Grid 1 - Accent 1210"/>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0">
    <w:name w:val="Light Grid - Accent 11210"/>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0">
    <w:name w:val="Light Grid - Accent 5210"/>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0">
    <w:name w:val="Light Grid - Accent 12210"/>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0">
    <w:name w:val="Light List - Accent 5210"/>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0">
    <w:name w:val="Light List - Accent 11210"/>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0">
    <w:name w:val="Light Grid - Accent 13210"/>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0">
    <w:name w:val="Medium Grid 1 - Accent 3210"/>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0">
    <w:name w:val="Grid Table 4 Accent 3110"/>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8">
    <w:name w:val="No List318"/>
    <w:next w:val="NoList"/>
    <w:uiPriority w:val="99"/>
    <w:unhideWhenUsed/>
    <w:rsid w:val="00C64FC7"/>
  </w:style>
  <w:style w:type="table" w:customStyle="1" w:styleId="MediumGrid1-Accent1310">
    <w:name w:val="Medium Grid 1 - Accent 1310"/>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0">
    <w:name w:val="Light Grid - Accent 11310"/>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0">
    <w:name w:val="Light Grid - Accent 5310"/>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0">
    <w:name w:val="Light Grid - Accent 12310"/>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0">
    <w:name w:val="Light List - Accent 5310"/>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0">
    <w:name w:val="Light List - Accent 11310"/>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0">
    <w:name w:val="Light Grid - Accent 13310"/>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0">
    <w:name w:val="Medium Grid 1 - Accent 3310"/>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0">
    <w:name w:val="Grid Table 4 Accent 3210"/>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8">
    <w:name w:val="Table Grid118"/>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
    <w:name w:val="No List48"/>
    <w:next w:val="NoList"/>
    <w:uiPriority w:val="99"/>
    <w:unhideWhenUsed/>
    <w:rsid w:val="00C64FC7"/>
  </w:style>
  <w:style w:type="table" w:customStyle="1" w:styleId="MediumGrid1-Accent148">
    <w:name w:val="Medium Grid 1 - Accent 148"/>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8">
    <w:name w:val="Light Grid - Accent 1148"/>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8">
    <w:name w:val="Light Grid - Accent 548"/>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8">
    <w:name w:val="Light Grid - Accent 124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8">
    <w:name w:val="Light List - Accent 548"/>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8">
    <w:name w:val="Light List - Accent 1148"/>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8">
    <w:name w:val="Light Grid - Accent 134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8">
    <w:name w:val="Medium Grid 1 - Accent 348"/>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33">
    <w:name w:val="Table Grid3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8">
    <w:name w:val="Medium Grid 3 - Accent 118"/>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0">
    <w:name w:val="No List1110"/>
    <w:next w:val="NoList"/>
    <w:uiPriority w:val="99"/>
    <w:unhideWhenUsed/>
    <w:rsid w:val="00C64FC7"/>
  </w:style>
  <w:style w:type="table" w:customStyle="1" w:styleId="MediumGrid1-Accent11110">
    <w:name w:val="Medium Grid 1 - Accent 11110"/>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0">
    <w:name w:val="Light Grid - Accent 111110"/>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0">
    <w:name w:val="Light Grid - Accent 51110"/>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0">
    <w:name w:val="Light Grid - Accent 121110"/>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0">
    <w:name w:val="Light List - Accent 51110"/>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0">
    <w:name w:val="Light List - Accent 111110"/>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0">
    <w:name w:val="Light Grid - Accent 131110"/>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0">
    <w:name w:val="Medium Grid 1 - Accent 31110"/>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8">
    <w:name w:val="Grid Table 4 - Accent 3118"/>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9">
    <w:name w:val="No List219"/>
    <w:next w:val="NoList"/>
    <w:uiPriority w:val="99"/>
    <w:unhideWhenUsed/>
    <w:rsid w:val="00C64FC7"/>
  </w:style>
  <w:style w:type="table" w:customStyle="1" w:styleId="MediumGrid1-Accent1218">
    <w:name w:val="Medium Grid 1 - Accent 1218"/>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8">
    <w:name w:val="Light Grid - Accent 11218"/>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8">
    <w:name w:val="Light Grid - Accent 5218"/>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8">
    <w:name w:val="Light Grid - Accent 1221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8">
    <w:name w:val="Light List - Accent 5218"/>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8">
    <w:name w:val="Light List - Accent 11218"/>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8">
    <w:name w:val="Light Grid - Accent 1321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8">
    <w:name w:val="Medium Grid 1 - Accent 3218"/>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8">
    <w:name w:val="Grid Table 4 Accent 3118"/>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9">
    <w:name w:val="No List319"/>
    <w:next w:val="NoList"/>
    <w:uiPriority w:val="99"/>
    <w:unhideWhenUsed/>
    <w:rsid w:val="00C64FC7"/>
  </w:style>
  <w:style w:type="table" w:customStyle="1" w:styleId="MediumGrid1-Accent1318">
    <w:name w:val="Medium Grid 1 - Accent 1318"/>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8">
    <w:name w:val="Light Grid - Accent 11318"/>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8">
    <w:name w:val="Light Grid - Accent 5318"/>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8">
    <w:name w:val="Light Grid - Accent 1231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8">
    <w:name w:val="Light List - Accent 5318"/>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8">
    <w:name w:val="Light List - Accent 11318"/>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8">
    <w:name w:val="Light Grid - Accent 1331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8">
    <w:name w:val="Medium Grid 1 - Accent 3318"/>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8">
    <w:name w:val="Grid Table 4 Accent 3218"/>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9">
    <w:name w:val="Table Grid119"/>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
    <w:name w:val="No List58"/>
    <w:next w:val="NoList"/>
    <w:uiPriority w:val="99"/>
    <w:unhideWhenUsed/>
    <w:rsid w:val="00C64FC7"/>
  </w:style>
  <w:style w:type="table" w:customStyle="1" w:styleId="TableGrid43">
    <w:name w:val="Table Grid43"/>
    <w:basedOn w:val="TableNormal"/>
    <w:next w:val="TableGrid"/>
    <w:uiPriority w:val="5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23">
    <w:name w:val="Medium Grid 3 - Accent 12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58">
    <w:name w:val="Medium Grid 1 - Accent 158"/>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58">
    <w:name w:val="Light Grid - Accent 1158"/>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58">
    <w:name w:val="Light Grid - Accent 558"/>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58">
    <w:name w:val="Light Grid - Accent 1258"/>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58">
    <w:name w:val="Light List - Accent 558"/>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8">
    <w:name w:val="Light List - Accent 1158"/>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58">
    <w:name w:val="Light Grid - Accent 135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58">
    <w:name w:val="Medium Grid 1 - Accent 358"/>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28">
    <w:name w:val="No List128"/>
    <w:next w:val="NoList"/>
    <w:uiPriority w:val="99"/>
    <w:unhideWhenUsed/>
    <w:rsid w:val="00C64FC7"/>
  </w:style>
  <w:style w:type="table" w:customStyle="1" w:styleId="MediumGrid1-Accent1123">
    <w:name w:val="Medium Grid 1 - Accent 112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23">
    <w:name w:val="Light Grid - Accent 11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23">
    <w:name w:val="Light Grid - Accent 512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23">
    <w:name w:val="Light Grid - Accent 12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23">
    <w:name w:val="Light List - Accent 512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3">
    <w:name w:val="Light List - Accent 1112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23">
    <w:name w:val="Light Grid - Accent 13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23">
    <w:name w:val="Medium Grid 1 - Accent 312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23">
    <w:name w:val="Grid Table 4 - Accent 312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28">
    <w:name w:val="No List228"/>
    <w:next w:val="NoList"/>
    <w:uiPriority w:val="99"/>
    <w:unhideWhenUsed/>
    <w:rsid w:val="00C64FC7"/>
  </w:style>
  <w:style w:type="table" w:customStyle="1" w:styleId="MediumGrid1-Accent1223">
    <w:name w:val="Medium Grid 1 - Accent 122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23">
    <w:name w:val="Light Grid - Accent 1122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23">
    <w:name w:val="Light Grid - Accent 522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23">
    <w:name w:val="Light Grid - Accent 122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23">
    <w:name w:val="Light List - Accent 522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23">
    <w:name w:val="Light List - Accent 1122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23">
    <w:name w:val="Light Grid - Accent 132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23">
    <w:name w:val="Medium Grid 1 - Accent 322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23">
    <w:name w:val="Grid Table 4 Accent 312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28">
    <w:name w:val="No List328"/>
    <w:next w:val="NoList"/>
    <w:uiPriority w:val="99"/>
    <w:unhideWhenUsed/>
    <w:rsid w:val="00C64FC7"/>
  </w:style>
  <w:style w:type="table" w:customStyle="1" w:styleId="MediumGrid1-Accent1323">
    <w:name w:val="Medium Grid 1 - Accent 132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23">
    <w:name w:val="Light Grid - Accent 1132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23">
    <w:name w:val="Light Grid - Accent 532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23">
    <w:name w:val="Light Grid - Accent 123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23">
    <w:name w:val="Light List - Accent 532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23">
    <w:name w:val="Light List - Accent 1132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23">
    <w:name w:val="Light Grid - Accent 133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23">
    <w:name w:val="Medium Grid 1 - Accent 332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23">
    <w:name w:val="Grid Table 4 Accent 322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23">
    <w:name w:val="Table Grid12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 Grid218"/>
    <w:basedOn w:val="TableNormal"/>
    <w:next w:val="TableGrid"/>
    <w:uiPriority w:val="3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8">
    <w:name w:val="No List68"/>
    <w:next w:val="NoList"/>
    <w:uiPriority w:val="99"/>
    <w:unhideWhenUsed/>
    <w:rsid w:val="00C64FC7"/>
  </w:style>
  <w:style w:type="table" w:customStyle="1" w:styleId="MediumGrid1-Accent168">
    <w:name w:val="Medium Grid 1 - Accent 168"/>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8">
    <w:name w:val="Light Grid - Accent 1168"/>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8">
    <w:name w:val="Light Grid - Accent 568"/>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8">
    <w:name w:val="Light Grid - Accent 126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8">
    <w:name w:val="Light List - Accent 568"/>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8">
    <w:name w:val="Light List - Accent 1168"/>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8">
    <w:name w:val="Light Grid - Accent 136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8">
    <w:name w:val="Medium Grid 1 - Accent 368"/>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8">
    <w:name w:val="No List138"/>
    <w:next w:val="NoList"/>
    <w:uiPriority w:val="99"/>
    <w:unhideWhenUsed/>
    <w:rsid w:val="00C64FC7"/>
  </w:style>
  <w:style w:type="numbering" w:customStyle="1" w:styleId="NoList238">
    <w:name w:val="No List238"/>
    <w:next w:val="NoList"/>
    <w:uiPriority w:val="99"/>
    <w:unhideWhenUsed/>
    <w:rsid w:val="00C64FC7"/>
  </w:style>
  <w:style w:type="numbering" w:customStyle="1" w:styleId="NoList338">
    <w:name w:val="No List338"/>
    <w:next w:val="NoList"/>
    <w:uiPriority w:val="99"/>
    <w:unhideWhenUsed/>
    <w:rsid w:val="00C64FC7"/>
  </w:style>
  <w:style w:type="numbering" w:customStyle="1" w:styleId="NoList73">
    <w:name w:val="No List73"/>
    <w:next w:val="NoList"/>
    <w:uiPriority w:val="99"/>
    <w:unhideWhenUsed/>
    <w:rsid w:val="00C64FC7"/>
  </w:style>
  <w:style w:type="table" w:customStyle="1" w:styleId="TableGrid53">
    <w:name w:val="Table Grid5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33">
    <w:name w:val="Medium Grid 3 - Accent 13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73">
    <w:name w:val="Medium Grid 1 - Accent 173"/>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73">
    <w:name w:val="Light Grid - Accent 1173"/>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73">
    <w:name w:val="Light Grid - Accent 573"/>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73">
    <w:name w:val="Light Grid - Accent 1273"/>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73">
    <w:name w:val="Light List - Accent 573"/>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73">
    <w:name w:val="Light List - Accent 1173"/>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73">
    <w:name w:val="Light Grid - Accent 137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73">
    <w:name w:val="Medium Grid 1 - Accent 37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43">
    <w:name w:val="No List143"/>
    <w:next w:val="NoList"/>
    <w:uiPriority w:val="99"/>
    <w:unhideWhenUsed/>
    <w:rsid w:val="00C64FC7"/>
  </w:style>
  <w:style w:type="table" w:customStyle="1" w:styleId="MediumGrid1-Accent1133">
    <w:name w:val="Medium Grid 1 - Accent 113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33">
    <w:name w:val="Light Grid - Accent 11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33">
    <w:name w:val="Light Grid - Accent 513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33">
    <w:name w:val="Light Grid - Accent 12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33">
    <w:name w:val="Light List - Accent 513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3">
    <w:name w:val="Light List - Accent 1113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33">
    <w:name w:val="Light Grid - Accent 13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33">
    <w:name w:val="Medium Grid 1 - Accent 313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33">
    <w:name w:val="Grid Table 4 - Accent 313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43">
    <w:name w:val="No List243"/>
    <w:next w:val="NoList"/>
    <w:uiPriority w:val="99"/>
    <w:unhideWhenUsed/>
    <w:rsid w:val="00C64FC7"/>
  </w:style>
  <w:style w:type="table" w:customStyle="1" w:styleId="MediumGrid1-Accent1233">
    <w:name w:val="Medium Grid 1 - Accent 123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33">
    <w:name w:val="Light Grid - Accent 1123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33">
    <w:name w:val="Light Grid - Accent 523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33">
    <w:name w:val="Light Grid - Accent 122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33">
    <w:name w:val="Light List - Accent 523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33">
    <w:name w:val="Light List - Accent 1123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33">
    <w:name w:val="Light Grid - Accent 132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33">
    <w:name w:val="Medium Grid 1 - Accent 323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33">
    <w:name w:val="Grid Table 4 Accent 313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43">
    <w:name w:val="No List343"/>
    <w:next w:val="NoList"/>
    <w:uiPriority w:val="99"/>
    <w:unhideWhenUsed/>
    <w:rsid w:val="00C64FC7"/>
  </w:style>
  <w:style w:type="table" w:customStyle="1" w:styleId="MediumGrid1-Accent1333">
    <w:name w:val="Medium Grid 1 - Accent 133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33">
    <w:name w:val="Light Grid - Accent 1133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33">
    <w:name w:val="Light Grid - Accent 533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33">
    <w:name w:val="Light Grid - Accent 123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33">
    <w:name w:val="Light List - Accent 533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33">
    <w:name w:val="Light List - Accent 1133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33">
    <w:name w:val="Light Grid - Accent 133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33">
    <w:name w:val="Medium Grid 1 - Accent 333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33">
    <w:name w:val="Grid Table 4 Accent 323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33">
    <w:name w:val="Table Grid13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
    <w:name w:val="No List413"/>
    <w:next w:val="NoList"/>
    <w:uiPriority w:val="99"/>
    <w:unhideWhenUsed/>
    <w:rsid w:val="00C64FC7"/>
  </w:style>
  <w:style w:type="table" w:customStyle="1" w:styleId="MediumGrid1-Accent1413">
    <w:name w:val="Medium Grid 1 - Accent 141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13">
    <w:name w:val="Light Grid - Accent 1141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13">
    <w:name w:val="Light Grid - Accent 541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13">
    <w:name w:val="Light Grid - Accent 124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13">
    <w:name w:val="Light List - Accent 541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13">
    <w:name w:val="Light List - Accent 1141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13">
    <w:name w:val="Light Grid - Accent 134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13">
    <w:name w:val="Medium Grid 1 - Accent 341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13">
    <w:name w:val="Table Grid211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13">
    <w:name w:val="Medium Grid 3 - Accent 111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3">
    <w:name w:val="No List1113"/>
    <w:next w:val="NoList"/>
    <w:uiPriority w:val="99"/>
    <w:unhideWhenUsed/>
    <w:rsid w:val="00C64FC7"/>
  </w:style>
  <w:style w:type="table" w:customStyle="1" w:styleId="MediumGrid1-Accent11113">
    <w:name w:val="Medium Grid 1 - Accent 1111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3">
    <w:name w:val="Light Grid - Accent 1111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3">
    <w:name w:val="Light Grid - Accent 5111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3">
    <w:name w:val="Light Grid - Accent 1211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3">
    <w:name w:val="Light List - Accent 5111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3">
    <w:name w:val="Light List - Accent 11111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3">
    <w:name w:val="Light Grid - Accent 1311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3">
    <w:name w:val="Medium Grid 1 - Accent 3111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13">
    <w:name w:val="Grid Table 4 - Accent 3111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13">
    <w:name w:val="No List2113"/>
    <w:next w:val="NoList"/>
    <w:uiPriority w:val="99"/>
    <w:unhideWhenUsed/>
    <w:rsid w:val="00C64FC7"/>
  </w:style>
  <w:style w:type="table" w:customStyle="1" w:styleId="MediumGrid1-Accent12113">
    <w:name w:val="Medium Grid 1 - Accent 1211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13">
    <w:name w:val="Light Grid - Accent 11211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13">
    <w:name w:val="Light Grid - Accent 5211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13">
    <w:name w:val="Light Grid - Accent 1221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13">
    <w:name w:val="Light List - Accent 5211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13">
    <w:name w:val="Light List - Accent 11211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13">
    <w:name w:val="Light Grid - Accent 1321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13">
    <w:name w:val="Medium Grid 1 - Accent 3211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13">
    <w:name w:val="Grid Table 4 Accent 3111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13">
    <w:name w:val="No List3113"/>
    <w:next w:val="NoList"/>
    <w:uiPriority w:val="99"/>
    <w:unhideWhenUsed/>
    <w:rsid w:val="00C64FC7"/>
  </w:style>
  <w:style w:type="table" w:customStyle="1" w:styleId="MediumGrid1-Accent13113">
    <w:name w:val="Medium Grid 1 - Accent 1311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13">
    <w:name w:val="Light Grid - Accent 11311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13">
    <w:name w:val="Light Grid - Accent 5311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13">
    <w:name w:val="Light Grid - Accent 1231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13">
    <w:name w:val="Light List - Accent 5311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13">
    <w:name w:val="Light List - Accent 11311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13">
    <w:name w:val="Light Grid - Accent 1331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13">
    <w:name w:val="Medium Grid 1 - Accent 3311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13">
    <w:name w:val="Grid Table 4 Accent 3211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13">
    <w:name w:val="Table Grid111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
    <w:name w:val="No List513"/>
    <w:next w:val="NoList"/>
    <w:uiPriority w:val="99"/>
    <w:unhideWhenUsed/>
    <w:rsid w:val="00C64FC7"/>
  </w:style>
  <w:style w:type="table" w:customStyle="1" w:styleId="MediumGrid1-Accent1513">
    <w:name w:val="Medium Grid 1 - Accent 151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13">
    <w:name w:val="Light Grid - Accent 1151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13">
    <w:name w:val="Light Grid - Accent 551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13">
    <w:name w:val="Light Grid - Accent 125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13">
    <w:name w:val="Light List - Accent 551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13">
    <w:name w:val="Light List - Accent 1151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13">
    <w:name w:val="Light Grid - Accent 135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13">
    <w:name w:val="Medium Grid 1 - Accent 351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13">
    <w:name w:val="No List1213"/>
    <w:next w:val="NoList"/>
    <w:uiPriority w:val="99"/>
    <w:unhideWhenUsed/>
    <w:rsid w:val="00C64FC7"/>
  </w:style>
  <w:style w:type="numbering" w:customStyle="1" w:styleId="NoList2213">
    <w:name w:val="No List2213"/>
    <w:next w:val="NoList"/>
    <w:uiPriority w:val="99"/>
    <w:unhideWhenUsed/>
    <w:rsid w:val="00C64FC7"/>
  </w:style>
  <w:style w:type="numbering" w:customStyle="1" w:styleId="NoList3213">
    <w:name w:val="No List3213"/>
    <w:next w:val="NoList"/>
    <w:uiPriority w:val="99"/>
    <w:unhideWhenUsed/>
    <w:rsid w:val="00C64FC7"/>
  </w:style>
  <w:style w:type="numbering" w:customStyle="1" w:styleId="NoList613">
    <w:name w:val="No List613"/>
    <w:next w:val="NoList"/>
    <w:uiPriority w:val="99"/>
    <w:unhideWhenUsed/>
    <w:rsid w:val="00C64FC7"/>
  </w:style>
  <w:style w:type="table" w:customStyle="1" w:styleId="MediumGrid1-Accent1613">
    <w:name w:val="Medium Grid 1 - Accent 161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13">
    <w:name w:val="Light Grid - Accent 1161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13">
    <w:name w:val="Light Grid - Accent 561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13">
    <w:name w:val="Light Grid - Accent 126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13">
    <w:name w:val="Light List - Accent 561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13">
    <w:name w:val="Light List - Accent 1161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13">
    <w:name w:val="Light Grid - Accent 136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13">
    <w:name w:val="Medium Grid 1 - Accent 361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13">
    <w:name w:val="No List1313"/>
    <w:next w:val="NoList"/>
    <w:uiPriority w:val="99"/>
    <w:unhideWhenUsed/>
    <w:rsid w:val="00C64FC7"/>
  </w:style>
  <w:style w:type="numbering" w:customStyle="1" w:styleId="NoList2313">
    <w:name w:val="No List2313"/>
    <w:next w:val="NoList"/>
    <w:uiPriority w:val="99"/>
    <w:unhideWhenUsed/>
    <w:rsid w:val="00C64FC7"/>
  </w:style>
  <w:style w:type="numbering" w:customStyle="1" w:styleId="NoList3313">
    <w:name w:val="No List3313"/>
    <w:next w:val="NoList"/>
    <w:uiPriority w:val="99"/>
    <w:unhideWhenUsed/>
    <w:rsid w:val="00C64FC7"/>
  </w:style>
  <w:style w:type="numbering" w:customStyle="1" w:styleId="NoList83">
    <w:name w:val="No List83"/>
    <w:next w:val="NoList"/>
    <w:uiPriority w:val="99"/>
    <w:unhideWhenUsed/>
    <w:rsid w:val="00C64FC7"/>
  </w:style>
  <w:style w:type="table" w:customStyle="1" w:styleId="TableGrid63">
    <w:name w:val="Table Grid6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43">
    <w:name w:val="Medium Grid 3 - Accent 14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83">
    <w:name w:val="Medium Grid 1 - Accent 183"/>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83">
    <w:name w:val="Light Grid - Accent 1183"/>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83">
    <w:name w:val="Light Grid - Accent 583"/>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83">
    <w:name w:val="Light Grid - Accent 1283"/>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83">
    <w:name w:val="Light List - Accent 583"/>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83">
    <w:name w:val="Light List - Accent 1183"/>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83">
    <w:name w:val="Light Grid - Accent 138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83">
    <w:name w:val="Medium Grid 1 - Accent 38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53">
    <w:name w:val="No List153"/>
    <w:next w:val="NoList"/>
    <w:uiPriority w:val="99"/>
    <w:unhideWhenUsed/>
    <w:rsid w:val="00C64FC7"/>
  </w:style>
  <w:style w:type="table" w:customStyle="1" w:styleId="MediumGrid1-Accent1143">
    <w:name w:val="Medium Grid 1 - Accent 114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43">
    <w:name w:val="Light Grid - Accent 11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43">
    <w:name w:val="Light Grid - Accent 514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43">
    <w:name w:val="Light Grid - Accent 12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43">
    <w:name w:val="Light List - Accent 514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43">
    <w:name w:val="Light List - Accent 1114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43">
    <w:name w:val="Light Grid - Accent 13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43">
    <w:name w:val="Medium Grid 1 - Accent 314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43">
    <w:name w:val="Grid Table 4 - Accent 314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53">
    <w:name w:val="No List253"/>
    <w:next w:val="NoList"/>
    <w:uiPriority w:val="99"/>
    <w:unhideWhenUsed/>
    <w:rsid w:val="00C64FC7"/>
  </w:style>
  <w:style w:type="table" w:customStyle="1" w:styleId="MediumGrid1-Accent1243">
    <w:name w:val="Medium Grid 1 - Accent 124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43">
    <w:name w:val="Light Grid - Accent 1124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43">
    <w:name w:val="Light Grid - Accent 524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43">
    <w:name w:val="Light Grid - Accent 122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43">
    <w:name w:val="Light List - Accent 524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43">
    <w:name w:val="Light List - Accent 1124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43">
    <w:name w:val="Light Grid - Accent 132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43">
    <w:name w:val="Medium Grid 1 - Accent 324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43">
    <w:name w:val="Grid Table 4 Accent 314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53">
    <w:name w:val="No List353"/>
    <w:next w:val="NoList"/>
    <w:uiPriority w:val="99"/>
    <w:unhideWhenUsed/>
    <w:rsid w:val="00C64FC7"/>
  </w:style>
  <w:style w:type="table" w:customStyle="1" w:styleId="MediumGrid1-Accent1343">
    <w:name w:val="Medium Grid 1 - Accent 134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43">
    <w:name w:val="Light Grid - Accent 1134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43">
    <w:name w:val="Light Grid - Accent 534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43">
    <w:name w:val="Light Grid - Accent 123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43">
    <w:name w:val="Light List - Accent 534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43">
    <w:name w:val="Light List - Accent 1134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43">
    <w:name w:val="Light Grid - Accent 133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43">
    <w:name w:val="Medium Grid 1 - Accent 334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43">
    <w:name w:val="Grid Table 4 Accent 324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3">
    <w:name w:val="Table Grid14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
    <w:name w:val="No List423"/>
    <w:next w:val="NoList"/>
    <w:uiPriority w:val="99"/>
    <w:unhideWhenUsed/>
    <w:rsid w:val="00C64FC7"/>
  </w:style>
  <w:style w:type="table" w:customStyle="1" w:styleId="MediumGrid1-Accent1423">
    <w:name w:val="Medium Grid 1 - Accent 142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23">
    <w:name w:val="Light Grid - Accent 1142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23">
    <w:name w:val="Light Grid - Accent 542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23">
    <w:name w:val="Light Grid - Accent 124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23">
    <w:name w:val="Light List - Accent 542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23">
    <w:name w:val="Light List - Accent 1142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23">
    <w:name w:val="Light Grid - Accent 134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23">
    <w:name w:val="Medium Grid 1 - Accent 342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23">
    <w:name w:val="Table Grid212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23">
    <w:name w:val="Medium Grid 3 - Accent 112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23">
    <w:name w:val="No List1123"/>
    <w:next w:val="NoList"/>
    <w:uiPriority w:val="99"/>
    <w:unhideWhenUsed/>
    <w:rsid w:val="00C64FC7"/>
  </w:style>
  <w:style w:type="table" w:customStyle="1" w:styleId="MediumGrid1-Accent11123">
    <w:name w:val="Medium Grid 1 - Accent 1112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23">
    <w:name w:val="Light Grid - Accent 111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23">
    <w:name w:val="Light Grid - Accent 5112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23">
    <w:name w:val="Light Grid - Accent 121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23">
    <w:name w:val="Light List - Accent 5112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23">
    <w:name w:val="Light List - Accent 11112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23">
    <w:name w:val="Light Grid - Accent 131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23">
    <w:name w:val="Medium Grid 1 - Accent 3112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23">
    <w:name w:val="Grid Table 4 - Accent 3112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23">
    <w:name w:val="No List2123"/>
    <w:next w:val="NoList"/>
    <w:uiPriority w:val="99"/>
    <w:unhideWhenUsed/>
    <w:rsid w:val="00C64FC7"/>
  </w:style>
  <w:style w:type="table" w:customStyle="1" w:styleId="MediumGrid1-Accent12123">
    <w:name w:val="Medium Grid 1 - Accent 1212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23">
    <w:name w:val="Light Grid - Accent 11212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23">
    <w:name w:val="Light Grid - Accent 5212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23">
    <w:name w:val="Light Grid - Accent 122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23">
    <w:name w:val="Light List - Accent 5212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23">
    <w:name w:val="Light List - Accent 11212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23">
    <w:name w:val="Light Grid - Accent 132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23">
    <w:name w:val="Medium Grid 1 - Accent 3212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23">
    <w:name w:val="Grid Table 4 Accent 3112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23">
    <w:name w:val="No List3123"/>
    <w:next w:val="NoList"/>
    <w:uiPriority w:val="99"/>
    <w:unhideWhenUsed/>
    <w:rsid w:val="00C64FC7"/>
  </w:style>
  <w:style w:type="table" w:customStyle="1" w:styleId="MediumGrid1-Accent13123">
    <w:name w:val="Medium Grid 1 - Accent 1312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23">
    <w:name w:val="Light Grid - Accent 11312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23">
    <w:name w:val="Light Grid - Accent 5312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23">
    <w:name w:val="Light Grid - Accent 123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23">
    <w:name w:val="Light List - Accent 5312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23">
    <w:name w:val="Light List - Accent 11312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23">
    <w:name w:val="Light Grid - Accent 133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23">
    <w:name w:val="Medium Grid 1 - Accent 3312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23">
    <w:name w:val="Grid Table 4 Accent 3212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23">
    <w:name w:val="Table Grid112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
    <w:name w:val="No List523"/>
    <w:next w:val="NoList"/>
    <w:uiPriority w:val="99"/>
    <w:unhideWhenUsed/>
    <w:rsid w:val="00C64FC7"/>
  </w:style>
  <w:style w:type="table" w:customStyle="1" w:styleId="MediumGrid1-Accent1523">
    <w:name w:val="Medium Grid 1 - Accent 152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23">
    <w:name w:val="Light Grid - Accent 1152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23">
    <w:name w:val="Light Grid - Accent 552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23">
    <w:name w:val="Light Grid - Accent 125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23">
    <w:name w:val="Light List - Accent 552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23">
    <w:name w:val="Light List - Accent 1152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23">
    <w:name w:val="Light Grid - Accent 135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23">
    <w:name w:val="Medium Grid 1 - Accent 352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23">
    <w:name w:val="No List1223"/>
    <w:next w:val="NoList"/>
    <w:uiPriority w:val="99"/>
    <w:unhideWhenUsed/>
    <w:rsid w:val="00C64FC7"/>
  </w:style>
  <w:style w:type="numbering" w:customStyle="1" w:styleId="NoList2223">
    <w:name w:val="No List2223"/>
    <w:next w:val="NoList"/>
    <w:uiPriority w:val="99"/>
    <w:unhideWhenUsed/>
    <w:rsid w:val="00C64FC7"/>
  </w:style>
  <w:style w:type="numbering" w:customStyle="1" w:styleId="NoList3223">
    <w:name w:val="No List3223"/>
    <w:next w:val="NoList"/>
    <w:uiPriority w:val="99"/>
    <w:unhideWhenUsed/>
    <w:rsid w:val="00C64FC7"/>
  </w:style>
  <w:style w:type="numbering" w:customStyle="1" w:styleId="NoList623">
    <w:name w:val="No List623"/>
    <w:next w:val="NoList"/>
    <w:uiPriority w:val="99"/>
    <w:unhideWhenUsed/>
    <w:rsid w:val="00C64FC7"/>
  </w:style>
  <w:style w:type="table" w:customStyle="1" w:styleId="MediumGrid1-Accent1623">
    <w:name w:val="Medium Grid 1 - Accent 162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23">
    <w:name w:val="Light Grid - Accent 1162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23">
    <w:name w:val="Light Grid - Accent 562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23">
    <w:name w:val="Light Grid - Accent 126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23">
    <w:name w:val="Light List - Accent 562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23">
    <w:name w:val="Light List - Accent 1162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23">
    <w:name w:val="Light Grid - Accent 136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23">
    <w:name w:val="Medium Grid 1 - Accent 362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23">
    <w:name w:val="No List1323"/>
    <w:next w:val="NoList"/>
    <w:uiPriority w:val="99"/>
    <w:unhideWhenUsed/>
    <w:rsid w:val="00C64FC7"/>
  </w:style>
  <w:style w:type="numbering" w:customStyle="1" w:styleId="NoList2323">
    <w:name w:val="No List2323"/>
    <w:next w:val="NoList"/>
    <w:uiPriority w:val="99"/>
    <w:unhideWhenUsed/>
    <w:rsid w:val="00C64FC7"/>
  </w:style>
  <w:style w:type="numbering" w:customStyle="1" w:styleId="NoList3323">
    <w:name w:val="No List3323"/>
    <w:next w:val="NoList"/>
    <w:uiPriority w:val="99"/>
    <w:unhideWhenUsed/>
    <w:rsid w:val="00C64FC7"/>
  </w:style>
  <w:style w:type="numbering" w:customStyle="1" w:styleId="NoList93">
    <w:name w:val="No List93"/>
    <w:next w:val="NoList"/>
    <w:uiPriority w:val="99"/>
    <w:unhideWhenUsed/>
    <w:rsid w:val="00C64FC7"/>
  </w:style>
  <w:style w:type="table" w:customStyle="1" w:styleId="TableGrid73">
    <w:name w:val="Table Grid7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53">
    <w:name w:val="Medium Grid 3 - Accent 15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93">
    <w:name w:val="Medium Grid 1 - Accent 193"/>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93">
    <w:name w:val="Light Grid - Accent 1193"/>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93">
    <w:name w:val="Light Grid - Accent 593"/>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93">
    <w:name w:val="Light Grid - Accent 1293"/>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93">
    <w:name w:val="Light List - Accent 593"/>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3">
    <w:name w:val="Light List - Accent 1193"/>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93">
    <w:name w:val="Light Grid - Accent 139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93">
    <w:name w:val="Medium Grid 1 - Accent 39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63">
    <w:name w:val="No List163"/>
    <w:next w:val="NoList"/>
    <w:uiPriority w:val="99"/>
    <w:unhideWhenUsed/>
    <w:rsid w:val="00C64FC7"/>
  </w:style>
  <w:style w:type="table" w:customStyle="1" w:styleId="MediumGrid1-Accent1153">
    <w:name w:val="Medium Grid 1 - Accent 115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53">
    <w:name w:val="Light Grid - Accent 11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53">
    <w:name w:val="Light Grid - Accent 515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53">
    <w:name w:val="Light Grid - Accent 12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53">
    <w:name w:val="Light List - Accent 515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53">
    <w:name w:val="Light List - Accent 1115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53">
    <w:name w:val="Light Grid - Accent 13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53">
    <w:name w:val="Medium Grid 1 - Accent 315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53">
    <w:name w:val="Grid Table 4 - Accent 315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63">
    <w:name w:val="No List263"/>
    <w:next w:val="NoList"/>
    <w:uiPriority w:val="99"/>
    <w:unhideWhenUsed/>
    <w:rsid w:val="00C64FC7"/>
  </w:style>
  <w:style w:type="table" w:customStyle="1" w:styleId="MediumGrid1-Accent1253">
    <w:name w:val="Medium Grid 1 - Accent 125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53">
    <w:name w:val="Light Grid - Accent 1125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53">
    <w:name w:val="Light Grid - Accent 525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53">
    <w:name w:val="Light Grid - Accent 122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53">
    <w:name w:val="Light List - Accent 525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53">
    <w:name w:val="Light List - Accent 1125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53">
    <w:name w:val="Light Grid - Accent 132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53">
    <w:name w:val="Medium Grid 1 - Accent 325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53">
    <w:name w:val="Grid Table 4 Accent 315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63">
    <w:name w:val="No List363"/>
    <w:next w:val="NoList"/>
    <w:uiPriority w:val="99"/>
    <w:unhideWhenUsed/>
    <w:rsid w:val="00C64FC7"/>
  </w:style>
  <w:style w:type="table" w:customStyle="1" w:styleId="MediumGrid1-Accent1353">
    <w:name w:val="Medium Grid 1 - Accent 135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53">
    <w:name w:val="Light Grid - Accent 1135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53">
    <w:name w:val="Light Grid - Accent 535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53">
    <w:name w:val="Light Grid - Accent 123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53">
    <w:name w:val="Light List - Accent 535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53">
    <w:name w:val="Light List - Accent 1135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53">
    <w:name w:val="Light Grid - Accent 133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53">
    <w:name w:val="Medium Grid 1 - Accent 335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53">
    <w:name w:val="Grid Table 4 Accent 325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53">
    <w:name w:val="Table Grid15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243"/>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3">
    <w:name w:val="No List433"/>
    <w:next w:val="NoList"/>
    <w:uiPriority w:val="99"/>
    <w:unhideWhenUsed/>
    <w:rsid w:val="00C64FC7"/>
  </w:style>
  <w:style w:type="table" w:customStyle="1" w:styleId="MediumGrid1-Accent1433">
    <w:name w:val="Medium Grid 1 - Accent 143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33">
    <w:name w:val="Light Grid - Accent 1143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33">
    <w:name w:val="Light Grid - Accent 543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33">
    <w:name w:val="Light Grid - Accent 124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33">
    <w:name w:val="Light List - Accent 543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33">
    <w:name w:val="Light List - Accent 1143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33">
    <w:name w:val="Light Grid - Accent 134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33">
    <w:name w:val="Medium Grid 1 - Accent 343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33">
    <w:name w:val="Table Grid213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33">
    <w:name w:val="Medium Grid 3 - Accent 113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33">
    <w:name w:val="No List1133"/>
    <w:next w:val="NoList"/>
    <w:uiPriority w:val="99"/>
    <w:unhideWhenUsed/>
    <w:rsid w:val="00C64FC7"/>
  </w:style>
  <w:style w:type="table" w:customStyle="1" w:styleId="MediumGrid1-Accent11133">
    <w:name w:val="Medium Grid 1 - Accent 1113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33">
    <w:name w:val="Light Grid - Accent 111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33">
    <w:name w:val="Light Grid - Accent 5113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33">
    <w:name w:val="Light Grid - Accent 121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33">
    <w:name w:val="Light List - Accent 5113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33">
    <w:name w:val="Light List - Accent 11113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33">
    <w:name w:val="Light Grid - Accent 131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33">
    <w:name w:val="Medium Grid 1 - Accent 3113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33">
    <w:name w:val="Grid Table 4 - Accent 3113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33">
    <w:name w:val="No List2133"/>
    <w:next w:val="NoList"/>
    <w:uiPriority w:val="99"/>
    <w:unhideWhenUsed/>
    <w:rsid w:val="00C64FC7"/>
  </w:style>
  <w:style w:type="table" w:customStyle="1" w:styleId="MediumGrid1-Accent12133">
    <w:name w:val="Medium Grid 1 - Accent 1213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33">
    <w:name w:val="Light Grid - Accent 11213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33">
    <w:name w:val="Light Grid - Accent 5213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33">
    <w:name w:val="Light Grid - Accent 122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33">
    <w:name w:val="Light List - Accent 5213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33">
    <w:name w:val="Light List - Accent 11213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33">
    <w:name w:val="Light Grid - Accent 132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33">
    <w:name w:val="Medium Grid 1 - Accent 3213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33">
    <w:name w:val="Grid Table 4 Accent 3113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33">
    <w:name w:val="No List3133"/>
    <w:next w:val="NoList"/>
    <w:uiPriority w:val="99"/>
    <w:unhideWhenUsed/>
    <w:rsid w:val="00C64FC7"/>
  </w:style>
  <w:style w:type="table" w:customStyle="1" w:styleId="MediumGrid1-Accent13133">
    <w:name w:val="Medium Grid 1 - Accent 1313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33">
    <w:name w:val="Light Grid - Accent 11313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33">
    <w:name w:val="Light Grid - Accent 5313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33">
    <w:name w:val="Light Grid - Accent 123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33">
    <w:name w:val="Light List - Accent 5313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33">
    <w:name w:val="Light List - Accent 11313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33">
    <w:name w:val="Light Grid - Accent 133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33">
    <w:name w:val="Medium Grid 1 - Accent 3313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33">
    <w:name w:val="Grid Table 4 Accent 3213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33">
    <w:name w:val="Table Grid113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3">
    <w:name w:val="No List533"/>
    <w:next w:val="NoList"/>
    <w:uiPriority w:val="99"/>
    <w:unhideWhenUsed/>
    <w:rsid w:val="00C64FC7"/>
  </w:style>
  <w:style w:type="table" w:customStyle="1" w:styleId="MediumGrid1-Accent1533">
    <w:name w:val="Medium Grid 1 - Accent 153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33">
    <w:name w:val="Light Grid - Accent 1153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33">
    <w:name w:val="Light Grid - Accent 553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33">
    <w:name w:val="Light Grid - Accent 125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33">
    <w:name w:val="Light List - Accent 553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33">
    <w:name w:val="Light List - Accent 1153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33">
    <w:name w:val="Light Grid - Accent 135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33">
    <w:name w:val="Medium Grid 1 - Accent 353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33">
    <w:name w:val="No List1233"/>
    <w:next w:val="NoList"/>
    <w:uiPriority w:val="99"/>
    <w:unhideWhenUsed/>
    <w:rsid w:val="00C64FC7"/>
  </w:style>
  <w:style w:type="numbering" w:customStyle="1" w:styleId="NoList2233">
    <w:name w:val="No List2233"/>
    <w:next w:val="NoList"/>
    <w:uiPriority w:val="99"/>
    <w:unhideWhenUsed/>
    <w:rsid w:val="00C64FC7"/>
  </w:style>
  <w:style w:type="numbering" w:customStyle="1" w:styleId="NoList3233">
    <w:name w:val="No List3233"/>
    <w:next w:val="NoList"/>
    <w:uiPriority w:val="99"/>
    <w:unhideWhenUsed/>
    <w:rsid w:val="00C64FC7"/>
  </w:style>
  <w:style w:type="numbering" w:customStyle="1" w:styleId="NoList633">
    <w:name w:val="No List633"/>
    <w:next w:val="NoList"/>
    <w:uiPriority w:val="99"/>
    <w:unhideWhenUsed/>
    <w:rsid w:val="00C64FC7"/>
  </w:style>
  <w:style w:type="table" w:customStyle="1" w:styleId="MediumGrid1-Accent1633">
    <w:name w:val="Medium Grid 1 - Accent 163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33">
    <w:name w:val="Light Grid - Accent 1163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33">
    <w:name w:val="Light Grid - Accent 563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33">
    <w:name w:val="Light Grid - Accent 126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33">
    <w:name w:val="Light List - Accent 563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33">
    <w:name w:val="Light List - Accent 1163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33">
    <w:name w:val="Light Grid - Accent 136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33">
    <w:name w:val="Medium Grid 1 - Accent 363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33">
    <w:name w:val="No List1333"/>
    <w:next w:val="NoList"/>
    <w:uiPriority w:val="99"/>
    <w:unhideWhenUsed/>
    <w:rsid w:val="00C64FC7"/>
  </w:style>
  <w:style w:type="numbering" w:customStyle="1" w:styleId="NoList2333">
    <w:name w:val="No List2333"/>
    <w:next w:val="NoList"/>
    <w:uiPriority w:val="99"/>
    <w:unhideWhenUsed/>
    <w:rsid w:val="00C64FC7"/>
  </w:style>
  <w:style w:type="numbering" w:customStyle="1" w:styleId="NoList3333">
    <w:name w:val="No List3333"/>
    <w:next w:val="NoList"/>
    <w:uiPriority w:val="99"/>
    <w:unhideWhenUsed/>
    <w:rsid w:val="00C64FC7"/>
  </w:style>
  <w:style w:type="numbering" w:customStyle="1" w:styleId="NoList103">
    <w:name w:val="No List103"/>
    <w:next w:val="NoList"/>
    <w:uiPriority w:val="99"/>
    <w:unhideWhenUsed/>
    <w:rsid w:val="00C64FC7"/>
  </w:style>
  <w:style w:type="table" w:customStyle="1" w:styleId="TableGrid83">
    <w:name w:val="Table Grid8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63">
    <w:name w:val="Medium Grid 3 - Accent 16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03">
    <w:name w:val="Medium Grid 1 - Accent 1103"/>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03">
    <w:name w:val="Light Grid - Accent 11103"/>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03">
    <w:name w:val="Light Grid - Accent 5103"/>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03">
    <w:name w:val="Light Grid - Accent 12103"/>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03">
    <w:name w:val="Light List - Accent 5103"/>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03">
    <w:name w:val="Light List - Accent 11103"/>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03">
    <w:name w:val="Light Grid - Accent 1310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03">
    <w:name w:val="Medium Grid 1 - Accent 310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73">
    <w:name w:val="No List173"/>
    <w:next w:val="NoList"/>
    <w:uiPriority w:val="99"/>
    <w:unhideWhenUsed/>
    <w:rsid w:val="00C64FC7"/>
  </w:style>
  <w:style w:type="table" w:customStyle="1" w:styleId="MediumGrid1-Accent1163">
    <w:name w:val="Medium Grid 1 - Accent 116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63">
    <w:name w:val="Light Grid - Accent 1116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63">
    <w:name w:val="Light Grid - Accent 516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63">
    <w:name w:val="Light Grid - Accent 1216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63">
    <w:name w:val="Light List - Accent 516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63">
    <w:name w:val="Light List - Accent 1116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63">
    <w:name w:val="Light Grid - Accent 1316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63">
    <w:name w:val="Medium Grid 1 - Accent 316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63">
    <w:name w:val="Grid Table 4 - Accent 316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73">
    <w:name w:val="No List273"/>
    <w:next w:val="NoList"/>
    <w:uiPriority w:val="99"/>
    <w:unhideWhenUsed/>
    <w:rsid w:val="00C64FC7"/>
  </w:style>
  <w:style w:type="table" w:customStyle="1" w:styleId="MediumGrid1-Accent1263">
    <w:name w:val="Medium Grid 1 - Accent 126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63">
    <w:name w:val="Light Grid - Accent 1126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63">
    <w:name w:val="Light Grid - Accent 526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63">
    <w:name w:val="Light Grid - Accent 1226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63">
    <w:name w:val="Light List - Accent 526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63">
    <w:name w:val="Light List - Accent 1126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63">
    <w:name w:val="Light Grid - Accent 1326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63">
    <w:name w:val="Medium Grid 1 - Accent 326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63">
    <w:name w:val="Grid Table 4 Accent 316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73">
    <w:name w:val="No List373"/>
    <w:next w:val="NoList"/>
    <w:uiPriority w:val="99"/>
    <w:unhideWhenUsed/>
    <w:rsid w:val="00C64FC7"/>
  </w:style>
  <w:style w:type="table" w:customStyle="1" w:styleId="MediumGrid1-Accent1363">
    <w:name w:val="Medium Grid 1 - Accent 136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63">
    <w:name w:val="Light Grid - Accent 1136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63">
    <w:name w:val="Light Grid - Accent 536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63">
    <w:name w:val="Light Grid - Accent 1236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63">
    <w:name w:val="Light List - Accent 536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63">
    <w:name w:val="Light List - Accent 1136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63">
    <w:name w:val="Light Grid - Accent 1336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63">
    <w:name w:val="Medium Grid 1 - Accent 336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63">
    <w:name w:val="Grid Table 4 Accent 326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63">
    <w:name w:val="Table Grid16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3">
    <w:name w:val="Table Grid253"/>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3">
    <w:name w:val="No List443"/>
    <w:next w:val="NoList"/>
    <w:uiPriority w:val="99"/>
    <w:unhideWhenUsed/>
    <w:rsid w:val="00C64FC7"/>
  </w:style>
  <w:style w:type="table" w:customStyle="1" w:styleId="MediumGrid1-Accent1443">
    <w:name w:val="Medium Grid 1 - Accent 144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43">
    <w:name w:val="Light Grid - Accent 1144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43">
    <w:name w:val="Light Grid - Accent 544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43">
    <w:name w:val="Light Grid - Accent 124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43">
    <w:name w:val="Light List - Accent 544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43">
    <w:name w:val="Light List - Accent 1144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43">
    <w:name w:val="Light Grid - Accent 134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43">
    <w:name w:val="Medium Grid 1 - Accent 344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43">
    <w:name w:val="Table Grid214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43">
    <w:name w:val="Medium Grid 3 - Accent 114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43">
    <w:name w:val="No List1143"/>
    <w:next w:val="NoList"/>
    <w:uiPriority w:val="99"/>
    <w:unhideWhenUsed/>
    <w:rsid w:val="00C64FC7"/>
  </w:style>
  <w:style w:type="table" w:customStyle="1" w:styleId="MediumGrid1-Accent11143">
    <w:name w:val="Medium Grid 1 - Accent 1114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43">
    <w:name w:val="Light Grid - Accent 111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43">
    <w:name w:val="Light Grid - Accent 5114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43">
    <w:name w:val="Light Grid - Accent 121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43">
    <w:name w:val="Light List - Accent 5114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43">
    <w:name w:val="Light List - Accent 11114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43">
    <w:name w:val="Light Grid - Accent 131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43">
    <w:name w:val="Medium Grid 1 - Accent 3114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43">
    <w:name w:val="Grid Table 4 - Accent 3114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43">
    <w:name w:val="No List2143"/>
    <w:next w:val="NoList"/>
    <w:uiPriority w:val="99"/>
    <w:unhideWhenUsed/>
    <w:rsid w:val="00C64FC7"/>
  </w:style>
  <w:style w:type="table" w:customStyle="1" w:styleId="MediumGrid1-Accent12143">
    <w:name w:val="Medium Grid 1 - Accent 1214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43">
    <w:name w:val="Light Grid - Accent 11214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43">
    <w:name w:val="Light Grid - Accent 5214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43">
    <w:name w:val="Light Grid - Accent 122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43">
    <w:name w:val="Light List - Accent 5214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43">
    <w:name w:val="Light List - Accent 11214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43">
    <w:name w:val="Light Grid - Accent 132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43">
    <w:name w:val="Medium Grid 1 - Accent 3214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43">
    <w:name w:val="Grid Table 4 Accent 3114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43">
    <w:name w:val="No List3143"/>
    <w:next w:val="NoList"/>
    <w:uiPriority w:val="99"/>
    <w:unhideWhenUsed/>
    <w:rsid w:val="00C64FC7"/>
  </w:style>
  <w:style w:type="table" w:customStyle="1" w:styleId="MediumGrid1-Accent13143">
    <w:name w:val="Medium Grid 1 - Accent 1314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43">
    <w:name w:val="Light Grid - Accent 11314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43">
    <w:name w:val="Light Grid - Accent 5314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43">
    <w:name w:val="Light Grid - Accent 123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43">
    <w:name w:val="Light List - Accent 5314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43">
    <w:name w:val="Light List - Accent 11314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43">
    <w:name w:val="Light Grid - Accent 133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43">
    <w:name w:val="Medium Grid 1 - Accent 3314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43">
    <w:name w:val="Grid Table 4 Accent 3214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43">
    <w:name w:val="Table Grid114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3">
    <w:name w:val="No List543"/>
    <w:next w:val="NoList"/>
    <w:uiPriority w:val="99"/>
    <w:unhideWhenUsed/>
    <w:rsid w:val="00C64FC7"/>
  </w:style>
  <w:style w:type="table" w:customStyle="1" w:styleId="MediumGrid1-Accent1543">
    <w:name w:val="Medium Grid 1 - Accent 154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43">
    <w:name w:val="Light Grid - Accent 1154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43">
    <w:name w:val="Light Grid - Accent 554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43">
    <w:name w:val="Light Grid - Accent 125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43">
    <w:name w:val="Light List - Accent 554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43">
    <w:name w:val="Light List - Accent 1154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43">
    <w:name w:val="Light Grid - Accent 135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43">
    <w:name w:val="Medium Grid 1 - Accent 354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43">
    <w:name w:val="No List1243"/>
    <w:next w:val="NoList"/>
    <w:uiPriority w:val="99"/>
    <w:unhideWhenUsed/>
    <w:rsid w:val="00C64FC7"/>
  </w:style>
  <w:style w:type="numbering" w:customStyle="1" w:styleId="NoList2243">
    <w:name w:val="No List2243"/>
    <w:next w:val="NoList"/>
    <w:uiPriority w:val="99"/>
    <w:unhideWhenUsed/>
    <w:rsid w:val="00C64FC7"/>
  </w:style>
  <w:style w:type="numbering" w:customStyle="1" w:styleId="NoList3243">
    <w:name w:val="No List3243"/>
    <w:next w:val="NoList"/>
    <w:uiPriority w:val="99"/>
    <w:unhideWhenUsed/>
    <w:rsid w:val="00C64FC7"/>
  </w:style>
  <w:style w:type="numbering" w:customStyle="1" w:styleId="NoList643">
    <w:name w:val="No List643"/>
    <w:next w:val="NoList"/>
    <w:uiPriority w:val="99"/>
    <w:unhideWhenUsed/>
    <w:rsid w:val="00C64FC7"/>
  </w:style>
  <w:style w:type="table" w:customStyle="1" w:styleId="MediumGrid1-Accent1643">
    <w:name w:val="Medium Grid 1 - Accent 164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43">
    <w:name w:val="Light Grid - Accent 1164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43">
    <w:name w:val="Light Grid - Accent 564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43">
    <w:name w:val="Light Grid - Accent 126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43">
    <w:name w:val="Light List - Accent 564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43">
    <w:name w:val="Light List - Accent 1164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43">
    <w:name w:val="Light Grid - Accent 136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43">
    <w:name w:val="Medium Grid 1 - Accent 364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43">
    <w:name w:val="No List1343"/>
    <w:next w:val="NoList"/>
    <w:uiPriority w:val="99"/>
    <w:unhideWhenUsed/>
    <w:rsid w:val="00C64FC7"/>
  </w:style>
  <w:style w:type="numbering" w:customStyle="1" w:styleId="NoList2343">
    <w:name w:val="No List2343"/>
    <w:next w:val="NoList"/>
    <w:uiPriority w:val="99"/>
    <w:unhideWhenUsed/>
    <w:rsid w:val="00C64FC7"/>
  </w:style>
  <w:style w:type="numbering" w:customStyle="1" w:styleId="NoList3343">
    <w:name w:val="No List3343"/>
    <w:next w:val="NoList"/>
    <w:uiPriority w:val="99"/>
    <w:unhideWhenUsed/>
    <w:rsid w:val="00C64FC7"/>
  </w:style>
  <w:style w:type="numbering" w:customStyle="1" w:styleId="NoList183">
    <w:name w:val="No List183"/>
    <w:next w:val="NoList"/>
    <w:uiPriority w:val="99"/>
    <w:unhideWhenUsed/>
    <w:rsid w:val="00C64FC7"/>
  </w:style>
  <w:style w:type="table" w:customStyle="1" w:styleId="TableGrid93">
    <w:name w:val="Table Grid9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73">
    <w:name w:val="Medium Grid 3 - Accent 17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73">
    <w:name w:val="Medium Grid 1 - Accent 1173"/>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73">
    <w:name w:val="Light Grid - Accent 11173"/>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73">
    <w:name w:val="Light Grid - Accent 5173"/>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73">
    <w:name w:val="Light Grid - Accent 12173"/>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73">
    <w:name w:val="Light List - Accent 5173"/>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73">
    <w:name w:val="Light List - Accent 11173"/>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73">
    <w:name w:val="Light Grid - Accent 1317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73">
    <w:name w:val="Medium Grid 1 - Accent 317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93">
    <w:name w:val="No List193"/>
    <w:next w:val="NoList"/>
    <w:uiPriority w:val="99"/>
    <w:unhideWhenUsed/>
    <w:rsid w:val="00C64FC7"/>
  </w:style>
  <w:style w:type="table" w:customStyle="1" w:styleId="MediumGrid1-Accent1183">
    <w:name w:val="Medium Grid 1 - Accent 118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83">
    <w:name w:val="Light Grid - Accent 1118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83">
    <w:name w:val="Light Grid - Accent 518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83">
    <w:name w:val="Light Grid - Accent 1218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83">
    <w:name w:val="Light List - Accent 518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83">
    <w:name w:val="Light List - Accent 1118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83">
    <w:name w:val="Light Grid - Accent 1318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83">
    <w:name w:val="Medium Grid 1 - Accent 318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73">
    <w:name w:val="Grid Table 4 - Accent 317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83">
    <w:name w:val="No List283"/>
    <w:next w:val="NoList"/>
    <w:uiPriority w:val="99"/>
    <w:unhideWhenUsed/>
    <w:rsid w:val="00C64FC7"/>
  </w:style>
  <w:style w:type="table" w:customStyle="1" w:styleId="MediumGrid1-Accent1273">
    <w:name w:val="Medium Grid 1 - Accent 127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73">
    <w:name w:val="Light Grid - Accent 1127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73">
    <w:name w:val="Light Grid - Accent 527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73">
    <w:name w:val="Light Grid - Accent 1227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73">
    <w:name w:val="Light List - Accent 527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73">
    <w:name w:val="Light List - Accent 1127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73">
    <w:name w:val="Light Grid - Accent 1327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73">
    <w:name w:val="Medium Grid 1 - Accent 327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73">
    <w:name w:val="Grid Table 4 Accent 317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83">
    <w:name w:val="No List383"/>
    <w:next w:val="NoList"/>
    <w:uiPriority w:val="99"/>
    <w:unhideWhenUsed/>
    <w:rsid w:val="00C64FC7"/>
  </w:style>
  <w:style w:type="table" w:customStyle="1" w:styleId="MediumGrid1-Accent1373">
    <w:name w:val="Medium Grid 1 - Accent 137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73">
    <w:name w:val="Light Grid - Accent 1137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73">
    <w:name w:val="Light Grid - Accent 537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73">
    <w:name w:val="Light Grid - Accent 1237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73">
    <w:name w:val="Light List - Accent 537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73">
    <w:name w:val="Light List - Accent 1137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73">
    <w:name w:val="Light Grid - Accent 1337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73">
    <w:name w:val="Medium Grid 1 - Accent 337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73">
    <w:name w:val="Grid Table 4 Accent 327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73">
    <w:name w:val="Table Grid17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3">
    <w:name w:val="Table Grid263"/>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3">
    <w:name w:val="No List453"/>
    <w:next w:val="NoList"/>
    <w:uiPriority w:val="99"/>
    <w:unhideWhenUsed/>
    <w:rsid w:val="00C64FC7"/>
  </w:style>
  <w:style w:type="table" w:customStyle="1" w:styleId="MediumGrid1-Accent1453">
    <w:name w:val="Medium Grid 1 - Accent 145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53">
    <w:name w:val="Light Grid - Accent 1145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53">
    <w:name w:val="Light Grid - Accent 545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53">
    <w:name w:val="Light Grid - Accent 124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53">
    <w:name w:val="Light List - Accent 545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53">
    <w:name w:val="Light List - Accent 1145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53">
    <w:name w:val="Light Grid - Accent 134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53">
    <w:name w:val="Medium Grid 1 - Accent 345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53">
    <w:name w:val="Table Grid215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53">
    <w:name w:val="Medium Grid 3 - Accent 115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53">
    <w:name w:val="No List1153"/>
    <w:next w:val="NoList"/>
    <w:uiPriority w:val="99"/>
    <w:unhideWhenUsed/>
    <w:rsid w:val="00C64FC7"/>
  </w:style>
  <w:style w:type="table" w:customStyle="1" w:styleId="MediumGrid1-Accent11153">
    <w:name w:val="Medium Grid 1 - Accent 1115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53">
    <w:name w:val="Light Grid - Accent 111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53">
    <w:name w:val="Light Grid - Accent 5115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53">
    <w:name w:val="Light Grid - Accent 121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53">
    <w:name w:val="Light List - Accent 5115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53">
    <w:name w:val="Light List - Accent 11115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53">
    <w:name w:val="Light Grid - Accent 131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53">
    <w:name w:val="Medium Grid 1 - Accent 3115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53">
    <w:name w:val="Grid Table 4 - Accent 3115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53">
    <w:name w:val="No List2153"/>
    <w:next w:val="NoList"/>
    <w:uiPriority w:val="99"/>
    <w:unhideWhenUsed/>
    <w:rsid w:val="00C64FC7"/>
  </w:style>
  <w:style w:type="table" w:customStyle="1" w:styleId="MediumGrid1-Accent12153">
    <w:name w:val="Medium Grid 1 - Accent 1215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53">
    <w:name w:val="Light Grid - Accent 11215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53">
    <w:name w:val="Light Grid - Accent 5215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53">
    <w:name w:val="Light Grid - Accent 122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53">
    <w:name w:val="Light List - Accent 5215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53">
    <w:name w:val="Light List - Accent 11215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53">
    <w:name w:val="Light Grid - Accent 132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53">
    <w:name w:val="Medium Grid 1 - Accent 3215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53">
    <w:name w:val="Grid Table 4 Accent 3115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53">
    <w:name w:val="No List3153"/>
    <w:next w:val="NoList"/>
    <w:uiPriority w:val="99"/>
    <w:unhideWhenUsed/>
    <w:rsid w:val="00C64FC7"/>
  </w:style>
  <w:style w:type="table" w:customStyle="1" w:styleId="MediumGrid1-Accent13153">
    <w:name w:val="Medium Grid 1 - Accent 1315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53">
    <w:name w:val="Light Grid - Accent 11315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53">
    <w:name w:val="Light Grid - Accent 5315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53">
    <w:name w:val="Light Grid - Accent 123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53">
    <w:name w:val="Light List - Accent 5315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53">
    <w:name w:val="Light List - Accent 11315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53">
    <w:name w:val="Light Grid - Accent 133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53">
    <w:name w:val="Medium Grid 1 - Accent 3315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53">
    <w:name w:val="Grid Table 4 Accent 3215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53">
    <w:name w:val="Table Grid115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3">
    <w:name w:val="No List553"/>
    <w:next w:val="NoList"/>
    <w:uiPriority w:val="99"/>
    <w:unhideWhenUsed/>
    <w:rsid w:val="00C64FC7"/>
  </w:style>
  <w:style w:type="table" w:customStyle="1" w:styleId="MediumGrid1-Accent1553">
    <w:name w:val="Medium Grid 1 - Accent 155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53">
    <w:name w:val="Light Grid - Accent 1155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53">
    <w:name w:val="Light Grid - Accent 555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53">
    <w:name w:val="Light Grid - Accent 125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53">
    <w:name w:val="Light List - Accent 555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53">
    <w:name w:val="Light List - Accent 1155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53">
    <w:name w:val="Light Grid - Accent 135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53">
    <w:name w:val="Medium Grid 1 - Accent 355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53">
    <w:name w:val="No List1253"/>
    <w:next w:val="NoList"/>
    <w:uiPriority w:val="99"/>
    <w:unhideWhenUsed/>
    <w:rsid w:val="00C64FC7"/>
  </w:style>
  <w:style w:type="numbering" w:customStyle="1" w:styleId="NoList2253">
    <w:name w:val="No List2253"/>
    <w:next w:val="NoList"/>
    <w:uiPriority w:val="99"/>
    <w:unhideWhenUsed/>
    <w:rsid w:val="00C64FC7"/>
  </w:style>
  <w:style w:type="numbering" w:customStyle="1" w:styleId="NoList3253">
    <w:name w:val="No List3253"/>
    <w:next w:val="NoList"/>
    <w:uiPriority w:val="99"/>
    <w:unhideWhenUsed/>
    <w:rsid w:val="00C64FC7"/>
  </w:style>
  <w:style w:type="numbering" w:customStyle="1" w:styleId="NoList653">
    <w:name w:val="No List653"/>
    <w:next w:val="NoList"/>
    <w:uiPriority w:val="99"/>
    <w:unhideWhenUsed/>
    <w:rsid w:val="00C64FC7"/>
  </w:style>
  <w:style w:type="table" w:customStyle="1" w:styleId="MediumGrid1-Accent1653">
    <w:name w:val="Medium Grid 1 - Accent 165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53">
    <w:name w:val="Light Grid - Accent 1165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53">
    <w:name w:val="Light Grid - Accent 565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53">
    <w:name w:val="Light Grid - Accent 126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53">
    <w:name w:val="Light List - Accent 565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53">
    <w:name w:val="Light List - Accent 1165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53">
    <w:name w:val="Light Grid - Accent 136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53">
    <w:name w:val="Medium Grid 1 - Accent 365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53">
    <w:name w:val="No List1353"/>
    <w:next w:val="NoList"/>
    <w:uiPriority w:val="99"/>
    <w:unhideWhenUsed/>
    <w:rsid w:val="00C64FC7"/>
  </w:style>
  <w:style w:type="numbering" w:customStyle="1" w:styleId="NoList2353">
    <w:name w:val="No List2353"/>
    <w:next w:val="NoList"/>
    <w:uiPriority w:val="99"/>
    <w:unhideWhenUsed/>
    <w:rsid w:val="00C64FC7"/>
  </w:style>
  <w:style w:type="numbering" w:customStyle="1" w:styleId="NoList3353">
    <w:name w:val="No List3353"/>
    <w:next w:val="NoList"/>
    <w:uiPriority w:val="99"/>
    <w:unhideWhenUsed/>
    <w:rsid w:val="00C64FC7"/>
  </w:style>
  <w:style w:type="numbering" w:customStyle="1" w:styleId="NoList202">
    <w:name w:val="No List202"/>
    <w:next w:val="NoList"/>
    <w:uiPriority w:val="99"/>
    <w:unhideWhenUsed/>
    <w:rsid w:val="00C64FC7"/>
  </w:style>
  <w:style w:type="table" w:customStyle="1" w:styleId="TableGrid102">
    <w:name w:val="Table Grid10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82">
    <w:name w:val="Medium Grid 3 - Accent 18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92">
    <w:name w:val="Medium Grid 1 - Accent 119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92">
    <w:name w:val="Light Grid - Accent 1119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92">
    <w:name w:val="Light Grid - Accent 519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92">
    <w:name w:val="Light Grid - Accent 1219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92">
    <w:name w:val="Light List - Accent 519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92">
    <w:name w:val="Light List - Accent 1119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92">
    <w:name w:val="Light Grid - Accent 1319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92">
    <w:name w:val="Medium Grid 1 - Accent 319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102">
    <w:name w:val="No List1102"/>
    <w:next w:val="NoList"/>
    <w:uiPriority w:val="99"/>
    <w:unhideWhenUsed/>
    <w:rsid w:val="00C64FC7"/>
  </w:style>
  <w:style w:type="table" w:customStyle="1" w:styleId="MediumGrid1-Accent11102">
    <w:name w:val="Medium Grid 1 - Accent 1110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02">
    <w:name w:val="Light Grid - Accent 11110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02">
    <w:name w:val="Light Grid - Accent 5110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02">
    <w:name w:val="Light Grid - Accent 12110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02">
    <w:name w:val="Light List - Accent 5110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02">
    <w:name w:val="Light List - Accent 11110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02">
    <w:name w:val="Light Grid - Accent 13110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02">
    <w:name w:val="Medium Grid 1 - Accent 3110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82">
    <w:name w:val="Grid Table 4 - Accent 318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92">
    <w:name w:val="No List292"/>
    <w:next w:val="NoList"/>
    <w:uiPriority w:val="99"/>
    <w:unhideWhenUsed/>
    <w:rsid w:val="00C64FC7"/>
  </w:style>
  <w:style w:type="table" w:customStyle="1" w:styleId="MediumGrid1-Accent1282">
    <w:name w:val="Medium Grid 1 - Accent 128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82">
    <w:name w:val="Light Grid - Accent 1128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82">
    <w:name w:val="Light Grid - Accent 528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82">
    <w:name w:val="Light Grid - Accent 1228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82">
    <w:name w:val="Light List - Accent 528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82">
    <w:name w:val="Light List - Accent 1128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82">
    <w:name w:val="Light Grid - Accent 1328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82">
    <w:name w:val="Medium Grid 1 - Accent 328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82">
    <w:name w:val="Grid Table 4 Accent 318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92">
    <w:name w:val="No List392"/>
    <w:next w:val="NoList"/>
    <w:uiPriority w:val="99"/>
    <w:unhideWhenUsed/>
    <w:rsid w:val="00C64FC7"/>
  </w:style>
  <w:style w:type="table" w:customStyle="1" w:styleId="MediumGrid1-Accent1382">
    <w:name w:val="Medium Grid 1 - Accent 138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82">
    <w:name w:val="Light Grid - Accent 1138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82">
    <w:name w:val="Light Grid - Accent 538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82">
    <w:name w:val="Light Grid - Accent 1238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82">
    <w:name w:val="Light List - Accent 538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82">
    <w:name w:val="Light List - Accent 1138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82">
    <w:name w:val="Light Grid - Accent 1338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82">
    <w:name w:val="Medium Grid 1 - Accent 338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82">
    <w:name w:val="Grid Table 4 Accent 328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82">
    <w:name w:val="Table Grid18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
    <w:name w:val="Table Grid27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2">
    <w:name w:val="No List462"/>
    <w:next w:val="NoList"/>
    <w:uiPriority w:val="99"/>
    <w:unhideWhenUsed/>
    <w:rsid w:val="00C64FC7"/>
  </w:style>
  <w:style w:type="table" w:customStyle="1" w:styleId="MediumGrid1-Accent1462">
    <w:name w:val="Medium Grid 1 - Accent 146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62">
    <w:name w:val="Light Grid - Accent 1146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62">
    <w:name w:val="Light Grid - Accent 546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62">
    <w:name w:val="Light Grid - Accent 124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62">
    <w:name w:val="Light List - Accent 546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62">
    <w:name w:val="Light List - Accent 1146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62">
    <w:name w:val="Light Grid - Accent 134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62">
    <w:name w:val="Medium Grid 1 - Accent 346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312">
    <w:name w:val="Table Grid3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62">
    <w:name w:val="Medium Grid 3 - Accent 116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62">
    <w:name w:val="No List1162"/>
    <w:next w:val="NoList"/>
    <w:uiPriority w:val="99"/>
    <w:unhideWhenUsed/>
    <w:rsid w:val="00C64FC7"/>
  </w:style>
  <w:style w:type="table" w:customStyle="1" w:styleId="MediumGrid1-Accent11162">
    <w:name w:val="Medium Grid 1 - Accent 1116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62">
    <w:name w:val="Light Grid - Accent 111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62">
    <w:name w:val="Light Grid - Accent 5116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62">
    <w:name w:val="Light Grid - Accent 121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62">
    <w:name w:val="Light List - Accent 5116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62">
    <w:name w:val="Light List - Accent 11116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62">
    <w:name w:val="Light Grid - Accent 131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62">
    <w:name w:val="Medium Grid 1 - Accent 3116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62">
    <w:name w:val="Grid Table 4 - Accent 3116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62">
    <w:name w:val="No List2162"/>
    <w:next w:val="NoList"/>
    <w:uiPriority w:val="99"/>
    <w:unhideWhenUsed/>
    <w:rsid w:val="00C64FC7"/>
  </w:style>
  <w:style w:type="table" w:customStyle="1" w:styleId="MediumGrid1-Accent12162">
    <w:name w:val="Medium Grid 1 - Accent 1216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62">
    <w:name w:val="Light Grid - Accent 11216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62">
    <w:name w:val="Light Grid - Accent 5216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62">
    <w:name w:val="Light Grid - Accent 122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62">
    <w:name w:val="Light List - Accent 5216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62">
    <w:name w:val="Light List - Accent 11216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62">
    <w:name w:val="Light Grid - Accent 132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62">
    <w:name w:val="Medium Grid 1 - Accent 3216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62">
    <w:name w:val="Grid Table 4 Accent 3116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62">
    <w:name w:val="No List3162"/>
    <w:next w:val="NoList"/>
    <w:uiPriority w:val="99"/>
    <w:unhideWhenUsed/>
    <w:rsid w:val="00C64FC7"/>
  </w:style>
  <w:style w:type="table" w:customStyle="1" w:styleId="MediumGrid1-Accent13162">
    <w:name w:val="Medium Grid 1 - Accent 1316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62">
    <w:name w:val="Light Grid - Accent 11316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62">
    <w:name w:val="Light Grid - Accent 5316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62">
    <w:name w:val="Light Grid - Accent 123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62">
    <w:name w:val="Light List - Accent 5316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62">
    <w:name w:val="Light List - Accent 11316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62">
    <w:name w:val="Light Grid - Accent 133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62">
    <w:name w:val="Medium Grid 1 - Accent 3316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62">
    <w:name w:val="Grid Table 4 Accent 3216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62">
    <w:name w:val="Table Grid116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62">
    <w:name w:val="No List562"/>
    <w:next w:val="NoList"/>
    <w:uiPriority w:val="99"/>
    <w:unhideWhenUsed/>
    <w:rsid w:val="00C64FC7"/>
  </w:style>
  <w:style w:type="table" w:customStyle="1" w:styleId="TableGrid412">
    <w:name w:val="Table Grid412"/>
    <w:basedOn w:val="TableNormal"/>
    <w:next w:val="TableGrid"/>
    <w:uiPriority w:val="5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212">
    <w:name w:val="Medium Grid 3 - Accent 121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562">
    <w:name w:val="Medium Grid 1 - Accent 156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562">
    <w:name w:val="Light Grid - Accent 1156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562">
    <w:name w:val="Light Grid - Accent 556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562">
    <w:name w:val="Light Grid - Accent 1256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562">
    <w:name w:val="Light List - Accent 556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62">
    <w:name w:val="Light List - Accent 1156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562">
    <w:name w:val="Light Grid - Accent 135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562">
    <w:name w:val="Medium Grid 1 - Accent 356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262">
    <w:name w:val="No List1262"/>
    <w:next w:val="NoList"/>
    <w:uiPriority w:val="99"/>
    <w:unhideWhenUsed/>
    <w:rsid w:val="00C64FC7"/>
  </w:style>
  <w:style w:type="table" w:customStyle="1" w:styleId="MediumGrid1-Accent11212">
    <w:name w:val="Medium Grid 1 - Accent 112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212">
    <w:name w:val="Light Grid - Accent 11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212">
    <w:name w:val="Light Grid - Accent 512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212">
    <w:name w:val="Light Grid - Accent 12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212">
    <w:name w:val="Light List - Accent 512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12">
    <w:name w:val="Light List - Accent 1112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212">
    <w:name w:val="Light Grid - Accent 13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212">
    <w:name w:val="Medium Grid 1 - Accent 312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212">
    <w:name w:val="Grid Table 4 - Accent 312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262">
    <w:name w:val="No List2262"/>
    <w:next w:val="NoList"/>
    <w:uiPriority w:val="99"/>
    <w:unhideWhenUsed/>
    <w:rsid w:val="00C64FC7"/>
  </w:style>
  <w:style w:type="table" w:customStyle="1" w:styleId="MediumGrid1-Accent12212">
    <w:name w:val="Medium Grid 1 - Accent 122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212">
    <w:name w:val="Light Grid - Accent 1122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212">
    <w:name w:val="Light Grid - Accent 522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212">
    <w:name w:val="Light Grid - Accent 122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212">
    <w:name w:val="Light List - Accent 522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212">
    <w:name w:val="Light List - Accent 1122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212">
    <w:name w:val="Light Grid - Accent 132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212">
    <w:name w:val="Medium Grid 1 - Accent 322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212">
    <w:name w:val="Grid Table 4 Accent 312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262">
    <w:name w:val="No List3262"/>
    <w:next w:val="NoList"/>
    <w:uiPriority w:val="99"/>
    <w:unhideWhenUsed/>
    <w:rsid w:val="00C64FC7"/>
  </w:style>
  <w:style w:type="table" w:customStyle="1" w:styleId="MediumGrid1-Accent13212">
    <w:name w:val="Medium Grid 1 - Accent 132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212">
    <w:name w:val="Light Grid - Accent 1132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212">
    <w:name w:val="Light Grid - Accent 532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212">
    <w:name w:val="Light Grid - Accent 123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212">
    <w:name w:val="Light List - Accent 532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212">
    <w:name w:val="Light List - Accent 1132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212">
    <w:name w:val="Light Grid - Accent 133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212">
    <w:name w:val="Medium Grid 1 - Accent 332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212">
    <w:name w:val="Grid Table 4 Accent 322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212">
    <w:name w:val="Table Grid121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2">
    <w:name w:val="Table Grid2162"/>
    <w:basedOn w:val="TableNormal"/>
    <w:next w:val="TableGrid"/>
    <w:uiPriority w:val="3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2">
    <w:name w:val="No List662"/>
    <w:next w:val="NoList"/>
    <w:uiPriority w:val="99"/>
    <w:unhideWhenUsed/>
    <w:rsid w:val="00C64FC7"/>
  </w:style>
  <w:style w:type="table" w:customStyle="1" w:styleId="MediumGrid1-Accent1662">
    <w:name w:val="Medium Grid 1 - Accent 166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62">
    <w:name w:val="Light Grid - Accent 1166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62">
    <w:name w:val="Light Grid - Accent 566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62">
    <w:name w:val="Light Grid - Accent 126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62">
    <w:name w:val="Light List - Accent 566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62">
    <w:name w:val="Light List - Accent 1166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62">
    <w:name w:val="Light Grid - Accent 136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62">
    <w:name w:val="Medium Grid 1 - Accent 366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62">
    <w:name w:val="No List1362"/>
    <w:next w:val="NoList"/>
    <w:uiPriority w:val="99"/>
    <w:unhideWhenUsed/>
    <w:rsid w:val="00C64FC7"/>
  </w:style>
  <w:style w:type="numbering" w:customStyle="1" w:styleId="NoList2362">
    <w:name w:val="No List2362"/>
    <w:next w:val="NoList"/>
    <w:uiPriority w:val="99"/>
    <w:unhideWhenUsed/>
    <w:rsid w:val="00C64FC7"/>
  </w:style>
  <w:style w:type="numbering" w:customStyle="1" w:styleId="NoList3362">
    <w:name w:val="No List3362"/>
    <w:next w:val="NoList"/>
    <w:uiPriority w:val="99"/>
    <w:unhideWhenUsed/>
    <w:rsid w:val="00C64FC7"/>
  </w:style>
  <w:style w:type="numbering" w:customStyle="1" w:styleId="NoList712">
    <w:name w:val="No List712"/>
    <w:next w:val="NoList"/>
    <w:uiPriority w:val="99"/>
    <w:unhideWhenUsed/>
    <w:rsid w:val="00C64FC7"/>
  </w:style>
  <w:style w:type="table" w:customStyle="1" w:styleId="TableGrid512">
    <w:name w:val="Table Grid5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312">
    <w:name w:val="Medium Grid 3 - Accent 131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712">
    <w:name w:val="Medium Grid 1 - Accent 171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712">
    <w:name w:val="Light Grid - Accent 1171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712">
    <w:name w:val="Light Grid - Accent 571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712">
    <w:name w:val="Light Grid - Accent 1271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712">
    <w:name w:val="Light List - Accent 571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712">
    <w:name w:val="Light List - Accent 1171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712">
    <w:name w:val="Light Grid - Accent 137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712">
    <w:name w:val="Medium Grid 1 - Accent 37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412">
    <w:name w:val="No List1412"/>
    <w:next w:val="NoList"/>
    <w:uiPriority w:val="99"/>
    <w:unhideWhenUsed/>
    <w:rsid w:val="00C64FC7"/>
  </w:style>
  <w:style w:type="table" w:customStyle="1" w:styleId="MediumGrid1-Accent11312">
    <w:name w:val="Medium Grid 1 - Accent 113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312">
    <w:name w:val="Light Grid - Accent 11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312">
    <w:name w:val="Light Grid - Accent 513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312">
    <w:name w:val="Light Grid - Accent 12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312">
    <w:name w:val="Light List - Accent 513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12">
    <w:name w:val="Light List - Accent 1113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312">
    <w:name w:val="Light Grid - Accent 13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312">
    <w:name w:val="Medium Grid 1 - Accent 313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312">
    <w:name w:val="Grid Table 4 - Accent 313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412">
    <w:name w:val="No List2412"/>
    <w:next w:val="NoList"/>
    <w:uiPriority w:val="99"/>
    <w:unhideWhenUsed/>
    <w:rsid w:val="00C64FC7"/>
  </w:style>
  <w:style w:type="table" w:customStyle="1" w:styleId="MediumGrid1-Accent12312">
    <w:name w:val="Medium Grid 1 - Accent 123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312">
    <w:name w:val="Light Grid - Accent 1123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312">
    <w:name w:val="Light Grid - Accent 523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312">
    <w:name w:val="Light Grid - Accent 122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312">
    <w:name w:val="Light List - Accent 523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312">
    <w:name w:val="Light List - Accent 1123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312">
    <w:name w:val="Light Grid - Accent 132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312">
    <w:name w:val="Medium Grid 1 - Accent 323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312">
    <w:name w:val="Grid Table 4 Accent 313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412">
    <w:name w:val="No List3412"/>
    <w:next w:val="NoList"/>
    <w:uiPriority w:val="99"/>
    <w:unhideWhenUsed/>
    <w:rsid w:val="00C64FC7"/>
  </w:style>
  <w:style w:type="table" w:customStyle="1" w:styleId="MediumGrid1-Accent13312">
    <w:name w:val="Medium Grid 1 - Accent 133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312">
    <w:name w:val="Light Grid - Accent 1133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312">
    <w:name w:val="Light Grid - Accent 533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312">
    <w:name w:val="Light Grid - Accent 123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312">
    <w:name w:val="Light List - Accent 533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312">
    <w:name w:val="Light List - Accent 1133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312">
    <w:name w:val="Light Grid - Accent 133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312">
    <w:name w:val="Medium Grid 1 - Accent 333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312">
    <w:name w:val="Grid Table 4 Accent 323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312">
    <w:name w:val="Table Grid131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
    <w:name w:val="Table Grid221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2">
    <w:name w:val="No List4112"/>
    <w:next w:val="NoList"/>
    <w:uiPriority w:val="99"/>
    <w:unhideWhenUsed/>
    <w:rsid w:val="00C64FC7"/>
  </w:style>
  <w:style w:type="table" w:customStyle="1" w:styleId="MediumGrid1-Accent14112">
    <w:name w:val="Medium Grid 1 - Accent 141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112">
    <w:name w:val="Light Grid - Accent 1141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112">
    <w:name w:val="Light Grid - Accent 541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112">
    <w:name w:val="Light Grid - Accent 124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112">
    <w:name w:val="Light List - Accent 541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112">
    <w:name w:val="Light List - Accent 1141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112">
    <w:name w:val="Light Grid - Accent 134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112">
    <w:name w:val="Medium Grid 1 - Accent 341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112">
    <w:name w:val="Table Grid211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112">
    <w:name w:val="Medium Grid 3 - Accent 1111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12">
    <w:name w:val="No List11112"/>
    <w:next w:val="NoList"/>
    <w:uiPriority w:val="99"/>
    <w:unhideWhenUsed/>
    <w:rsid w:val="00C64FC7"/>
  </w:style>
  <w:style w:type="table" w:customStyle="1" w:styleId="MediumGrid1-Accent111112">
    <w:name w:val="Medium Grid 1 - Accent 1111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12">
    <w:name w:val="Light Grid - Accent 111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12">
    <w:name w:val="Light Grid - Accent 5111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12">
    <w:name w:val="Light Grid - Accent 121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12">
    <w:name w:val="Light List - Accent 5111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12">
    <w:name w:val="Light List - Accent 11111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12">
    <w:name w:val="Light Grid - Accent 131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12">
    <w:name w:val="Medium Grid 1 - Accent 3111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112">
    <w:name w:val="Grid Table 4 - Accent 3111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112">
    <w:name w:val="No List21112"/>
    <w:next w:val="NoList"/>
    <w:uiPriority w:val="99"/>
    <w:unhideWhenUsed/>
    <w:rsid w:val="00C64FC7"/>
  </w:style>
  <w:style w:type="table" w:customStyle="1" w:styleId="MediumGrid1-Accent121112">
    <w:name w:val="Medium Grid 1 - Accent 1211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112">
    <w:name w:val="Light Grid - Accent 11211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112">
    <w:name w:val="Light Grid - Accent 5211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112">
    <w:name w:val="Light Grid - Accent 122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112">
    <w:name w:val="Light List - Accent 5211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112">
    <w:name w:val="Light List - Accent 11211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112">
    <w:name w:val="Light Grid - Accent 132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112">
    <w:name w:val="Medium Grid 1 - Accent 3211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112">
    <w:name w:val="Grid Table 4 Accent 3111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112">
    <w:name w:val="No List31112"/>
    <w:next w:val="NoList"/>
    <w:uiPriority w:val="99"/>
    <w:unhideWhenUsed/>
    <w:rsid w:val="00C64FC7"/>
  </w:style>
  <w:style w:type="table" w:customStyle="1" w:styleId="MediumGrid1-Accent131112">
    <w:name w:val="Medium Grid 1 - Accent 1311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112">
    <w:name w:val="Light Grid - Accent 11311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112">
    <w:name w:val="Light Grid - Accent 5311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112">
    <w:name w:val="Light Grid - Accent 123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112">
    <w:name w:val="Light List - Accent 5311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112">
    <w:name w:val="Light List - Accent 11311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112">
    <w:name w:val="Light Grid - Accent 133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112">
    <w:name w:val="Medium Grid 1 - Accent 3311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112">
    <w:name w:val="Grid Table 4 Accent 3211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112">
    <w:name w:val="Table Grid1111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2">
    <w:name w:val="No List5112"/>
    <w:next w:val="NoList"/>
    <w:uiPriority w:val="99"/>
    <w:unhideWhenUsed/>
    <w:rsid w:val="00C64FC7"/>
  </w:style>
  <w:style w:type="table" w:customStyle="1" w:styleId="MediumGrid1-Accent15112">
    <w:name w:val="Medium Grid 1 - Accent 151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112">
    <w:name w:val="Light Grid - Accent 1151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112">
    <w:name w:val="Light Grid - Accent 551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112">
    <w:name w:val="Light Grid - Accent 125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112">
    <w:name w:val="Light List - Accent 551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112">
    <w:name w:val="Light List - Accent 1151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112">
    <w:name w:val="Light Grid - Accent 135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112">
    <w:name w:val="Medium Grid 1 - Accent 351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112">
    <w:name w:val="No List12112"/>
    <w:next w:val="NoList"/>
    <w:uiPriority w:val="99"/>
    <w:unhideWhenUsed/>
    <w:rsid w:val="00C64FC7"/>
  </w:style>
  <w:style w:type="numbering" w:customStyle="1" w:styleId="NoList22112">
    <w:name w:val="No List22112"/>
    <w:next w:val="NoList"/>
    <w:uiPriority w:val="99"/>
    <w:unhideWhenUsed/>
    <w:rsid w:val="00C64FC7"/>
  </w:style>
  <w:style w:type="numbering" w:customStyle="1" w:styleId="NoList32112">
    <w:name w:val="No List32112"/>
    <w:next w:val="NoList"/>
    <w:uiPriority w:val="99"/>
    <w:unhideWhenUsed/>
    <w:rsid w:val="00C64FC7"/>
  </w:style>
  <w:style w:type="numbering" w:customStyle="1" w:styleId="NoList6112">
    <w:name w:val="No List6112"/>
    <w:next w:val="NoList"/>
    <w:uiPriority w:val="99"/>
    <w:unhideWhenUsed/>
    <w:rsid w:val="00C64FC7"/>
  </w:style>
  <w:style w:type="table" w:customStyle="1" w:styleId="MediumGrid1-Accent16112">
    <w:name w:val="Medium Grid 1 - Accent 161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112">
    <w:name w:val="Light Grid - Accent 1161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112">
    <w:name w:val="Light Grid - Accent 561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112">
    <w:name w:val="Light Grid - Accent 126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112">
    <w:name w:val="Light List - Accent 561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112">
    <w:name w:val="Light List - Accent 1161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112">
    <w:name w:val="Light Grid - Accent 136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112">
    <w:name w:val="Medium Grid 1 - Accent 361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112">
    <w:name w:val="No List13112"/>
    <w:next w:val="NoList"/>
    <w:uiPriority w:val="99"/>
    <w:unhideWhenUsed/>
    <w:rsid w:val="00C64FC7"/>
  </w:style>
  <w:style w:type="numbering" w:customStyle="1" w:styleId="NoList23112">
    <w:name w:val="No List23112"/>
    <w:next w:val="NoList"/>
    <w:uiPriority w:val="99"/>
    <w:unhideWhenUsed/>
    <w:rsid w:val="00C64FC7"/>
  </w:style>
  <w:style w:type="numbering" w:customStyle="1" w:styleId="NoList33112">
    <w:name w:val="No List33112"/>
    <w:next w:val="NoList"/>
    <w:uiPriority w:val="99"/>
    <w:unhideWhenUsed/>
    <w:rsid w:val="00C64FC7"/>
  </w:style>
  <w:style w:type="numbering" w:customStyle="1" w:styleId="NoList812">
    <w:name w:val="No List812"/>
    <w:next w:val="NoList"/>
    <w:uiPriority w:val="99"/>
    <w:unhideWhenUsed/>
    <w:rsid w:val="00C64FC7"/>
  </w:style>
  <w:style w:type="table" w:customStyle="1" w:styleId="TableGrid612">
    <w:name w:val="Table Grid6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412">
    <w:name w:val="Medium Grid 3 - Accent 141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812">
    <w:name w:val="Medium Grid 1 - Accent 181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812">
    <w:name w:val="Light Grid - Accent 1181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812">
    <w:name w:val="Light Grid - Accent 581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812">
    <w:name w:val="Light Grid - Accent 1281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812">
    <w:name w:val="Light List - Accent 581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812">
    <w:name w:val="Light List - Accent 1181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812">
    <w:name w:val="Light Grid - Accent 138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812">
    <w:name w:val="Medium Grid 1 - Accent 38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512">
    <w:name w:val="No List1512"/>
    <w:next w:val="NoList"/>
    <w:uiPriority w:val="99"/>
    <w:unhideWhenUsed/>
    <w:rsid w:val="00C64FC7"/>
  </w:style>
  <w:style w:type="table" w:customStyle="1" w:styleId="MediumGrid1-Accent11412">
    <w:name w:val="Medium Grid 1 - Accent 114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412">
    <w:name w:val="Light Grid - Accent 111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412">
    <w:name w:val="Light Grid - Accent 514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412">
    <w:name w:val="Light Grid - Accent 121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412">
    <w:name w:val="Light List - Accent 514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412">
    <w:name w:val="Light List - Accent 1114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412">
    <w:name w:val="Light Grid - Accent 131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412">
    <w:name w:val="Medium Grid 1 - Accent 314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412">
    <w:name w:val="Grid Table 4 - Accent 314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512">
    <w:name w:val="No List2512"/>
    <w:next w:val="NoList"/>
    <w:uiPriority w:val="99"/>
    <w:unhideWhenUsed/>
    <w:rsid w:val="00C64FC7"/>
  </w:style>
  <w:style w:type="table" w:customStyle="1" w:styleId="MediumGrid1-Accent12412">
    <w:name w:val="Medium Grid 1 - Accent 124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412">
    <w:name w:val="Light Grid - Accent 1124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412">
    <w:name w:val="Light Grid - Accent 524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412">
    <w:name w:val="Light Grid - Accent 122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412">
    <w:name w:val="Light List - Accent 524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412">
    <w:name w:val="Light List - Accent 1124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412">
    <w:name w:val="Light Grid - Accent 132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412">
    <w:name w:val="Medium Grid 1 - Accent 324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412">
    <w:name w:val="Grid Table 4 Accent 314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512">
    <w:name w:val="No List3512"/>
    <w:next w:val="NoList"/>
    <w:uiPriority w:val="99"/>
    <w:unhideWhenUsed/>
    <w:rsid w:val="00C64FC7"/>
  </w:style>
  <w:style w:type="table" w:customStyle="1" w:styleId="MediumGrid1-Accent13412">
    <w:name w:val="Medium Grid 1 - Accent 134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412">
    <w:name w:val="Light Grid - Accent 1134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412">
    <w:name w:val="Light Grid - Accent 534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412">
    <w:name w:val="Light Grid - Accent 123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412">
    <w:name w:val="Light List - Accent 534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412">
    <w:name w:val="Light List - Accent 1134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412">
    <w:name w:val="Light Grid - Accent 133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412">
    <w:name w:val="Medium Grid 1 - Accent 334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412">
    <w:name w:val="Grid Table 4 Accent 324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12">
    <w:name w:val="Table Grid141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2">
    <w:name w:val="Table Grid231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2">
    <w:name w:val="No List4212"/>
    <w:next w:val="NoList"/>
    <w:uiPriority w:val="99"/>
    <w:unhideWhenUsed/>
    <w:rsid w:val="00C64FC7"/>
  </w:style>
  <w:style w:type="table" w:customStyle="1" w:styleId="MediumGrid1-Accent14212">
    <w:name w:val="Medium Grid 1 - Accent 142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212">
    <w:name w:val="Light Grid - Accent 1142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212">
    <w:name w:val="Light Grid - Accent 542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212">
    <w:name w:val="Light Grid - Accent 124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212">
    <w:name w:val="Light List - Accent 542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212">
    <w:name w:val="Light List - Accent 1142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212">
    <w:name w:val="Light Grid - Accent 134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212">
    <w:name w:val="Medium Grid 1 - Accent 342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212">
    <w:name w:val="Table Grid212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212">
    <w:name w:val="Medium Grid 3 - Accent 1121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212">
    <w:name w:val="No List11212"/>
    <w:next w:val="NoList"/>
    <w:uiPriority w:val="99"/>
    <w:unhideWhenUsed/>
    <w:rsid w:val="00C64FC7"/>
  </w:style>
  <w:style w:type="table" w:customStyle="1" w:styleId="MediumGrid1-Accent111212">
    <w:name w:val="Medium Grid 1 - Accent 1112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212">
    <w:name w:val="Light Grid - Accent 111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212">
    <w:name w:val="Light Grid - Accent 5112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212">
    <w:name w:val="Light Grid - Accent 121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212">
    <w:name w:val="Light List - Accent 5112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212">
    <w:name w:val="Light List - Accent 11112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212">
    <w:name w:val="Light Grid - Accent 131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212">
    <w:name w:val="Medium Grid 1 - Accent 3112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212">
    <w:name w:val="Grid Table 4 - Accent 3112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212">
    <w:name w:val="No List21212"/>
    <w:next w:val="NoList"/>
    <w:uiPriority w:val="99"/>
    <w:unhideWhenUsed/>
    <w:rsid w:val="00C64FC7"/>
  </w:style>
  <w:style w:type="table" w:customStyle="1" w:styleId="MediumGrid1-Accent121212">
    <w:name w:val="Medium Grid 1 - Accent 1212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212">
    <w:name w:val="Light Grid - Accent 11212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212">
    <w:name w:val="Light Grid - Accent 5212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212">
    <w:name w:val="Light Grid - Accent 122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212">
    <w:name w:val="Light List - Accent 5212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212">
    <w:name w:val="Light List - Accent 11212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212">
    <w:name w:val="Light Grid - Accent 132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212">
    <w:name w:val="Medium Grid 1 - Accent 3212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212">
    <w:name w:val="Grid Table 4 Accent 3112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212">
    <w:name w:val="No List31212"/>
    <w:next w:val="NoList"/>
    <w:uiPriority w:val="99"/>
    <w:unhideWhenUsed/>
    <w:rsid w:val="00C64FC7"/>
  </w:style>
  <w:style w:type="table" w:customStyle="1" w:styleId="MediumGrid1-Accent131212">
    <w:name w:val="Medium Grid 1 - Accent 1312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212">
    <w:name w:val="Light Grid - Accent 11312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212">
    <w:name w:val="Light Grid - Accent 5312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212">
    <w:name w:val="Light Grid - Accent 123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212">
    <w:name w:val="Light List - Accent 5312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212">
    <w:name w:val="Light List - Accent 11312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212">
    <w:name w:val="Light Grid - Accent 133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212">
    <w:name w:val="Medium Grid 1 - Accent 3312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212">
    <w:name w:val="Grid Table 4 Accent 3212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212">
    <w:name w:val="Table Grid1121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2">
    <w:name w:val="No List5212"/>
    <w:next w:val="NoList"/>
    <w:uiPriority w:val="99"/>
    <w:unhideWhenUsed/>
    <w:rsid w:val="00C64FC7"/>
  </w:style>
  <w:style w:type="table" w:customStyle="1" w:styleId="MediumGrid1-Accent15212">
    <w:name w:val="Medium Grid 1 - Accent 152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212">
    <w:name w:val="Light Grid - Accent 1152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212">
    <w:name w:val="Light Grid - Accent 552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212">
    <w:name w:val="Light Grid - Accent 125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212">
    <w:name w:val="Light List - Accent 552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212">
    <w:name w:val="Light List - Accent 1152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212">
    <w:name w:val="Light Grid - Accent 135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212">
    <w:name w:val="Medium Grid 1 - Accent 352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212">
    <w:name w:val="No List12212"/>
    <w:next w:val="NoList"/>
    <w:uiPriority w:val="99"/>
    <w:unhideWhenUsed/>
    <w:rsid w:val="00C64FC7"/>
  </w:style>
  <w:style w:type="numbering" w:customStyle="1" w:styleId="NoList22212">
    <w:name w:val="No List22212"/>
    <w:next w:val="NoList"/>
    <w:uiPriority w:val="99"/>
    <w:unhideWhenUsed/>
    <w:rsid w:val="00C64FC7"/>
  </w:style>
  <w:style w:type="numbering" w:customStyle="1" w:styleId="NoList32212">
    <w:name w:val="No List32212"/>
    <w:next w:val="NoList"/>
    <w:uiPriority w:val="99"/>
    <w:unhideWhenUsed/>
    <w:rsid w:val="00C64FC7"/>
  </w:style>
  <w:style w:type="numbering" w:customStyle="1" w:styleId="NoList6212">
    <w:name w:val="No List6212"/>
    <w:next w:val="NoList"/>
    <w:uiPriority w:val="99"/>
    <w:unhideWhenUsed/>
    <w:rsid w:val="00C64FC7"/>
  </w:style>
  <w:style w:type="table" w:customStyle="1" w:styleId="MediumGrid1-Accent16212">
    <w:name w:val="Medium Grid 1 - Accent 162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212">
    <w:name w:val="Light Grid - Accent 1162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212">
    <w:name w:val="Light Grid - Accent 562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212">
    <w:name w:val="Light Grid - Accent 126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212">
    <w:name w:val="Light List - Accent 562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212">
    <w:name w:val="Light List - Accent 1162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212">
    <w:name w:val="Light Grid - Accent 136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212">
    <w:name w:val="Medium Grid 1 - Accent 362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212">
    <w:name w:val="No List13212"/>
    <w:next w:val="NoList"/>
    <w:uiPriority w:val="99"/>
    <w:unhideWhenUsed/>
    <w:rsid w:val="00C64FC7"/>
  </w:style>
  <w:style w:type="numbering" w:customStyle="1" w:styleId="NoList23212">
    <w:name w:val="No List23212"/>
    <w:next w:val="NoList"/>
    <w:uiPriority w:val="99"/>
    <w:unhideWhenUsed/>
    <w:rsid w:val="00C64FC7"/>
  </w:style>
  <w:style w:type="numbering" w:customStyle="1" w:styleId="NoList33212">
    <w:name w:val="No List33212"/>
    <w:next w:val="NoList"/>
    <w:uiPriority w:val="99"/>
    <w:unhideWhenUsed/>
    <w:rsid w:val="00C64FC7"/>
  </w:style>
  <w:style w:type="numbering" w:customStyle="1" w:styleId="NoList912">
    <w:name w:val="No List912"/>
    <w:next w:val="NoList"/>
    <w:uiPriority w:val="99"/>
    <w:unhideWhenUsed/>
    <w:rsid w:val="00C64FC7"/>
  </w:style>
  <w:style w:type="table" w:customStyle="1" w:styleId="TableGrid712">
    <w:name w:val="Table Grid7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512">
    <w:name w:val="Medium Grid 3 - Accent 1512"/>
    <w:basedOn w:val="TableNormal"/>
    <w:next w:val="MediumGrid3-Accent1"/>
    <w:uiPriority w:val="69"/>
    <w:locked/>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912">
    <w:name w:val="Medium Grid 1 - Accent 191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912">
    <w:name w:val="Light Grid - Accent 1191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912">
    <w:name w:val="Light Grid - Accent 591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912">
    <w:name w:val="Light Grid - Accent 1291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912">
    <w:name w:val="Light List - Accent 591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12">
    <w:name w:val="Light List - Accent 1191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912">
    <w:name w:val="Light Grid - Accent 139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912">
    <w:name w:val="Medium Grid 1 - Accent 39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612">
    <w:name w:val="No List1612"/>
    <w:next w:val="NoList"/>
    <w:uiPriority w:val="99"/>
    <w:unhideWhenUsed/>
    <w:rsid w:val="00C64FC7"/>
  </w:style>
  <w:style w:type="table" w:customStyle="1" w:styleId="MediumGrid1-Accent11512">
    <w:name w:val="Medium Grid 1 - Accent 115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512">
    <w:name w:val="Light Grid - Accent 1115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512">
    <w:name w:val="Light Grid - Accent 515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512">
    <w:name w:val="Light Grid - Accent 1215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512">
    <w:name w:val="Light List - Accent 515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512">
    <w:name w:val="Light List - Accent 1115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512">
    <w:name w:val="Light Grid - Accent 1315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512">
    <w:name w:val="Medium Grid 1 - Accent 315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512">
    <w:name w:val="Grid Table 4 - Accent 315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612">
    <w:name w:val="No List2612"/>
    <w:next w:val="NoList"/>
    <w:uiPriority w:val="99"/>
    <w:unhideWhenUsed/>
    <w:rsid w:val="00C64FC7"/>
  </w:style>
  <w:style w:type="table" w:customStyle="1" w:styleId="MediumGrid1-Accent12512">
    <w:name w:val="Medium Grid 1 - Accent 125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512">
    <w:name w:val="Light Grid - Accent 1125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512">
    <w:name w:val="Light Grid - Accent 525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512">
    <w:name w:val="Light Grid - Accent 1225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512">
    <w:name w:val="Light List - Accent 525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512">
    <w:name w:val="Light List - Accent 1125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512">
    <w:name w:val="Light Grid - Accent 1325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512">
    <w:name w:val="Medium Grid 1 - Accent 325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512">
    <w:name w:val="Grid Table 4 Accent 315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612">
    <w:name w:val="No List3612"/>
    <w:next w:val="NoList"/>
    <w:uiPriority w:val="99"/>
    <w:unhideWhenUsed/>
    <w:rsid w:val="00C64FC7"/>
  </w:style>
  <w:style w:type="table" w:customStyle="1" w:styleId="MediumGrid1-Accent13512">
    <w:name w:val="Medium Grid 1 - Accent 135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512">
    <w:name w:val="Light Grid - Accent 1135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512">
    <w:name w:val="Light Grid - Accent 535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512">
    <w:name w:val="Light Grid - Accent 1235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512">
    <w:name w:val="Light List - Accent 535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512">
    <w:name w:val="Light List - Accent 1135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512">
    <w:name w:val="Light Grid - Accent 1335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512">
    <w:name w:val="Medium Grid 1 - Accent 335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512">
    <w:name w:val="Grid Table 4 Accent 325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512">
    <w:name w:val="Table Grid151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2">
    <w:name w:val="Table Grid241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2">
    <w:name w:val="No List4312"/>
    <w:next w:val="NoList"/>
    <w:uiPriority w:val="99"/>
    <w:unhideWhenUsed/>
    <w:rsid w:val="00C64FC7"/>
  </w:style>
  <w:style w:type="table" w:customStyle="1" w:styleId="MediumGrid1-Accent14312">
    <w:name w:val="Medium Grid 1 - Accent 143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312">
    <w:name w:val="Light Grid - Accent 1143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312">
    <w:name w:val="Light Grid - Accent 543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312">
    <w:name w:val="Light Grid - Accent 124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312">
    <w:name w:val="Light List - Accent 543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312">
    <w:name w:val="Light List - Accent 1143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312">
    <w:name w:val="Light Grid - Accent 134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312">
    <w:name w:val="Medium Grid 1 - Accent 343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312">
    <w:name w:val="Table Grid213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312">
    <w:name w:val="Medium Grid 3 - Accent 1131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312">
    <w:name w:val="No List11312"/>
    <w:next w:val="NoList"/>
    <w:uiPriority w:val="99"/>
    <w:unhideWhenUsed/>
    <w:rsid w:val="00C64FC7"/>
  </w:style>
  <w:style w:type="table" w:customStyle="1" w:styleId="MediumGrid1-Accent111312">
    <w:name w:val="Medium Grid 1 - Accent 1113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312">
    <w:name w:val="Light Grid - Accent 111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312">
    <w:name w:val="Light Grid - Accent 5113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312">
    <w:name w:val="Light Grid - Accent 121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312">
    <w:name w:val="Light List - Accent 5113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312">
    <w:name w:val="Light List - Accent 11113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312">
    <w:name w:val="Light Grid - Accent 131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312">
    <w:name w:val="Medium Grid 1 - Accent 3113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312">
    <w:name w:val="Grid Table 4 - Accent 3113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312">
    <w:name w:val="No List21312"/>
    <w:next w:val="NoList"/>
    <w:uiPriority w:val="99"/>
    <w:unhideWhenUsed/>
    <w:rsid w:val="00C64FC7"/>
  </w:style>
  <w:style w:type="table" w:customStyle="1" w:styleId="MediumGrid1-Accent121312">
    <w:name w:val="Medium Grid 1 - Accent 1213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312">
    <w:name w:val="Light Grid - Accent 11213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312">
    <w:name w:val="Light Grid - Accent 5213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312">
    <w:name w:val="Light Grid - Accent 122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312">
    <w:name w:val="Light List - Accent 5213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312">
    <w:name w:val="Light List - Accent 11213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312">
    <w:name w:val="Light Grid - Accent 132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312">
    <w:name w:val="Medium Grid 1 - Accent 3213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312">
    <w:name w:val="Grid Table 4 Accent 3113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312">
    <w:name w:val="No List31312"/>
    <w:next w:val="NoList"/>
    <w:uiPriority w:val="99"/>
    <w:unhideWhenUsed/>
    <w:rsid w:val="00C64FC7"/>
  </w:style>
  <w:style w:type="table" w:customStyle="1" w:styleId="MediumGrid1-Accent131312">
    <w:name w:val="Medium Grid 1 - Accent 1313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312">
    <w:name w:val="Light Grid - Accent 11313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312">
    <w:name w:val="Light Grid - Accent 5313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312">
    <w:name w:val="Light Grid - Accent 123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312">
    <w:name w:val="Light List - Accent 5313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312">
    <w:name w:val="Light List - Accent 11313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312">
    <w:name w:val="Light Grid - Accent 133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312">
    <w:name w:val="Medium Grid 1 - Accent 3313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312">
    <w:name w:val="Grid Table 4 Accent 3213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312">
    <w:name w:val="Table Grid1131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2">
    <w:name w:val="No List5312"/>
    <w:next w:val="NoList"/>
    <w:uiPriority w:val="99"/>
    <w:unhideWhenUsed/>
    <w:rsid w:val="00C64FC7"/>
  </w:style>
  <w:style w:type="table" w:customStyle="1" w:styleId="MediumGrid1-Accent15312">
    <w:name w:val="Medium Grid 1 - Accent 153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312">
    <w:name w:val="Light Grid - Accent 1153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312">
    <w:name w:val="Light Grid - Accent 553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312">
    <w:name w:val="Light Grid - Accent 125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312">
    <w:name w:val="Light List - Accent 553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312">
    <w:name w:val="Light List - Accent 1153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312">
    <w:name w:val="Light Grid - Accent 135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312">
    <w:name w:val="Medium Grid 1 - Accent 353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312">
    <w:name w:val="No List12312"/>
    <w:next w:val="NoList"/>
    <w:uiPriority w:val="99"/>
    <w:unhideWhenUsed/>
    <w:rsid w:val="00C64FC7"/>
  </w:style>
  <w:style w:type="numbering" w:customStyle="1" w:styleId="NoList22312">
    <w:name w:val="No List22312"/>
    <w:next w:val="NoList"/>
    <w:uiPriority w:val="99"/>
    <w:unhideWhenUsed/>
    <w:rsid w:val="00C64FC7"/>
  </w:style>
  <w:style w:type="numbering" w:customStyle="1" w:styleId="NoList32312">
    <w:name w:val="No List32312"/>
    <w:next w:val="NoList"/>
    <w:uiPriority w:val="99"/>
    <w:unhideWhenUsed/>
    <w:rsid w:val="00C64FC7"/>
  </w:style>
  <w:style w:type="numbering" w:customStyle="1" w:styleId="NoList6312">
    <w:name w:val="No List6312"/>
    <w:next w:val="NoList"/>
    <w:uiPriority w:val="99"/>
    <w:unhideWhenUsed/>
    <w:rsid w:val="00C64FC7"/>
  </w:style>
  <w:style w:type="table" w:customStyle="1" w:styleId="MediumGrid1-Accent16312">
    <w:name w:val="Medium Grid 1 - Accent 163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312">
    <w:name w:val="Light Grid - Accent 1163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312">
    <w:name w:val="Light Grid - Accent 563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312">
    <w:name w:val="Light Grid - Accent 126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312">
    <w:name w:val="Light List - Accent 563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312">
    <w:name w:val="Light List - Accent 1163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312">
    <w:name w:val="Light Grid - Accent 136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312">
    <w:name w:val="Medium Grid 1 - Accent 363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312">
    <w:name w:val="No List13312"/>
    <w:next w:val="NoList"/>
    <w:uiPriority w:val="99"/>
    <w:unhideWhenUsed/>
    <w:rsid w:val="00C64FC7"/>
  </w:style>
  <w:style w:type="numbering" w:customStyle="1" w:styleId="NoList23312">
    <w:name w:val="No List23312"/>
    <w:next w:val="NoList"/>
    <w:uiPriority w:val="99"/>
    <w:unhideWhenUsed/>
    <w:rsid w:val="00C64FC7"/>
  </w:style>
  <w:style w:type="numbering" w:customStyle="1" w:styleId="NoList33312">
    <w:name w:val="No List33312"/>
    <w:next w:val="NoList"/>
    <w:uiPriority w:val="99"/>
    <w:unhideWhenUsed/>
    <w:rsid w:val="00C64FC7"/>
  </w:style>
  <w:style w:type="numbering" w:customStyle="1" w:styleId="NoList1012">
    <w:name w:val="No List1012"/>
    <w:next w:val="NoList"/>
    <w:uiPriority w:val="99"/>
    <w:unhideWhenUsed/>
    <w:rsid w:val="00C64FC7"/>
  </w:style>
  <w:style w:type="table" w:customStyle="1" w:styleId="TableGrid812">
    <w:name w:val="Table Grid8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612">
    <w:name w:val="Medium Grid 3 - Accent 161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012">
    <w:name w:val="Medium Grid 1 - Accent 1101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012">
    <w:name w:val="Light Grid - Accent 11101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012">
    <w:name w:val="Light Grid - Accent 5101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012">
    <w:name w:val="Light Grid - Accent 12101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012">
    <w:name w:val="Light List - Accent 5101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012">
    <w:name w:val="Light List - Accent 11101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012">
    <w:name w:val="Light Grid - Accent 1310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012">
    <w:name w:val="Medium Grid 1 - Accent 310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712">
    <w:name w:val="No List1712"/>
    <w:next w:val="NoList"/>
    <w:uiPriority w:val="99"/>
    <w:unhideWhenUsed/>
    <w:rsid w:val="00C64FC7"/>
  </w:style>
  <w:style w:type="table" w:customStyle="1" w:styleId="MediumGrid1-Accent11612">
    <w:name w:val="Medium Grid 1 - Accent 116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612">
    <w:name w:val="Light Grid - Accent 1116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612">
    <w:name w:val="Light Grid - Accent 516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612">
    <w:name w:val="Light Grid - Accent 1216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612">
    <w:name w:val="Light List - Accent 516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612">
    <w:name w:val="Light List - Accent 1116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612">
    <w:name w:val="Light Grid - Accent 1316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612">
    <w:name w:val="Medium Grid 1 - Accent 316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612">
    <w:name w:val="Grid Table 4 - Accent 316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712">
    <w:name w:val="No List2712"/>
    <w:next w:val="NoList"/>
    <w:uiPriority w:val="99"/>
    <w:unhideWhenUsed/>
    <w:rsid w:val="00C64FC7"/>
  </w:style>
  <w:style w:type="table" w:customStyle="1" w:styleId="MediumGrid1-Accent12612">
    <w:name w:val="Medium Grid 1 - Accent 126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612">
    <w:name w:val="Light Grid - Accent 1126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612">
    <w:name w:val="Light Grid - Accent 526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612">
    <w:name w:val="Light Grid - Accent 1226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612">
    <w:name w:val="Light List - Accent 526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612">
    <w:name w:val="Light List - Accent 1126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612">
    <w:name w:val="Light Grid - Accent 1326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612">
    <w:name w:val="Medium Grid 1 - Accent 326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612">
    <w:name w:val="Grid Table 4 Accent 316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712">
    <w:name w:val="No List3712"/>
    <w:next w:val="NoList"/>
    <w:uiPriority w:val="99"/>
    <w:unhideWhenUsed/>
    <w:rsid w:val="00C64FC7"/>
  </w:style>
  <w:style w:type="table" w:customStyle="1" w:styleId="MediumGrid1-Accent13612">
    <w:name w:val="Medium Grid 1 - Accent 136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612">
    <w:name w:val="Light Grid - Accent 1136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612">
    <w:name w:val="Light Grid - Accent 536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612">
    <w:name w:val="Light Grid - Accent 1236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612">
    <w:name w:val="Light List - Accent 536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612">
    <w:name w:val="Light List - Accent 1136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612">
    <w:name w:val="Light Grid - Accent 1336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612">
    <w:name w:val="Medium Grid 1 - Accent 336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612">
    <w:name w:val="Grid Table 4 Accent 326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612">
    <w:name w:val="Table Grid161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2">
    <w:name w:val="Table Grid251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2">
    <w:name w:val="No List4412"/>
    <w:next w:val="NoList"/>
    <w:uiPriority w:val="99"/>
    <w:unhideWhenUsed/>
    <w:rsid w:val="00C64FC7"/>
  </w:style>
  <w:style w:type="table" w:customStyle="1" w:styleId="MediumGrid1-Accent14412">
    <w:name w:val="Medium Grid 1 - Accent 144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412">
    <w:name w:val="Light Grid - Accent 1144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412">
    <w:name w:val="Light Grid - Accent 544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412">
    <w:name w:val="Light Grid - Accent 124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412">
    <w:name w:val="Light List - Accent 544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412">
    <w:name w:val="Light List - Accent 1144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412">
    <w:name w:val="Light Grid - Accent 134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412">
    <w:name w:val="Medium Grid 1 - Accent 344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412">
    <w:name w:val="Table Grid214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412">
    <w:name w:val="Medium Grid 3 - Accent 1141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412">
    <w:name w:val="No List11412"/>
    <w:next w:val="NoList"/>
    <w:uiPriority w:val="99"/>
    <w:unhideWhenUsed/>
    <w:rsid w:val="00C64FC7"/>
  </w:style>
  <w:style w:type="table" w:customStyle="1" w:styleId="MediumGrid1-Accent111412">
    <w:name w:val="Medium Grid 1 - Accent 1114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412">
    <w:name w:val="Light Grid - Accent 1111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412">
    <w:name w:val="Light Grid - Accent 5114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412">
    <w:name w:val="Light Grid - Accent 1211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412">
    <w:name w:val="Light List - Accent 5114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412">
    <w:name w:val="Light List - Accent 11114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412">
    <w:name w:val="Light Grid - Accent 1311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412">
    <w:name w:val="Medium Grid 1 - Accent 3114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412">
    <w:name w:val="Grid Table 4 - Accent 3114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412">
    <w:name w:val="No List21412"/>
    <w:next w:val="NoList"/>
    <w:uiPriority w:val="99"/>
    <w:semiHidden/>
    <w:unhideWhenUsed/>
    <w:rsid w:val="00C64FC7"/>
  </w:style>
  <w:style w:type="table" w:customStyle="1" w:styleId="MediumGrid1-Accent121412">
    <w:name w:val="Medium Grid 1 - Accent 1214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412">
    <w:name w:val="Light Grid - Accent 11214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412">
    <w:name w:val="Light Grid - Accent 5214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412">
    <w:name w:val="Light Grid - Accent 1221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412">
    <w:name w:val="Light List - Accent 5214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88553">
      <w:bodyDiv w:val="1"/>
      <w:marLeft w:val="0"/>
      <w:marRight w:val="0"/>
      <w:marTop w:val="0"/>
      <w:marBottom w:val="0"/>
      <w:divBdr>
        <w:top w:val="none" w:sz="0" w:space="0" w:color="auto"/>
        <w:left w:val="none" w:sz="0" w:space="0" w:color="auto"/>
        <w:bottom w:val="none" w:sz="0" w:space="0" w:color="auto"/>
        <w:right w:val="none" w:sz="0" w:space="0" w:color="auto"/>
      </w:divBdr>
    </w:div>
    <w:div w:id="13310316">
      <w:bodyDiv w:val="1"/>
      <w:marLeft w:val="0"/>
      <w:marRight w:val="0"/>
      <w:marTop w:val="0"/>
      <w:marBottom w:val="0"/>
      <w:divBdr>
        <w:top w:val="none" w:sz="0" w:space="0" w:color="auto"/>
        <w:left w:val="none" w:sz="0" w:space="0" w:color="auto"/>
        <w:bottom w:val="none" w:sz="0" w:space="0" w:color="auto"/>
        <w:right w:val="none" w:sz="0" w:space="0" w:color="auto"/>
      </w:divBdr>
    </w:div>
    <w:div w:id="13578146">
      <w:bodyDiv w:val="1"/>
      <w:marLeft w:val="0"/>
      <w:marRight w:val="0"/>
      <w:marTop w:val="0"/>
      <w:marBottom w:val="0"/>
      <w:divBdr>
        <w:top w:val="none" w:sz="0" w:space="0" w:color="auto"/>
        <w:left w:val="none" w:sz="0" w:space="0" w:color="auto"/>
        <w:bottom w:val="none" w:sz="0" w:space="0" w:color="auto"/>
        <w:right w:val="none" w:sz="0" w:space="0" w:color="auto"/>
      </w:divBdr>
      <w:divsChild>
        <w:div w:id="2105369961">
          <w:marLeft w:val="0"/>
          <w:marRight w:val="0"/>
          <w:marTop w:val="0"/>
          <w:marBottom w:val="0"/>
          <w:divBdr>
            <w:top w:val="none" w:sz="0" w:space="0" w:color="auto"/>
            <w:left w:val="none" w:sz="0" w:space="0" w:color="auto"/>
            <w:bottom w:val="none" w:sz="0" w:space="0" w:color="auto"/>
            <w:right w:val="none" w:sz="0" w:space="0" w:color="auto"/>
          </w:divBdr>
        </w:div>
      </w:divsChild>
    </w:div>
    <w:div w:id="19207987">
      <w:bodyDiv w:val="1"/>
      <w:marLeft w:val="0"/>
      <w:marRight w:val="0"/>
      <w:marTop w:val="0"/>
      <w:marBottom w:val="0"/>
      <w:divBdr>
        <w:top w:val="none" w:sz="0" w:space="0" w:color="auto"/>
        <w:left w:val="none" w:sz="0" w:space="0" w:color="auto"/>
        <w:bottom w:val="none" w:sz="0" w:space="0" w:color="auto"/>
        <w:right w:val="none" w:sz="0" w:space="0" w:color="auto"/>
      </w:divBdr>
    </w:div>
    <w:div w:id="19475855">
      <w:bodyDiv w:val="1"/>
      <w:marLeft w:val="0"/>
      <w:marRight w:val="0"/>
      <w:marTop w:val="0"/>
      <w:marBottom w:val="0"/>
      <w:divBdr>
        <w:top w:val="none" w:sz="0" w:space="0" w:color="auto"/>
        <w:left w:val="none" w:sz="0" w:space="0" w:color="auto"/>
        <w:bottom w:val="none" w:sz="0" w:space="0" w:color="auto"/>
        <w:right w:val="none" w:sz="0" w:space="0" w:color="auto"/>
      </w:divBdr>
    </w:div>
    <w:div w:id="28579509">
      <w:bodyDiv w:val="1"/>
      <w:marLeft w:val="0"/>
      <w:marRight w:val="0"/>
      <w:marTop w:val="0"/>
      <w:marBottom w:val="0"/>
      <w:divBdr>
        <w:top w:val="none" w:sz="0" w:space="0" w:color="auto"/>
        <w:left w:val="none" w:sz="0" w:space="0" w:color="auto"/>
        <w:bottom w:val="none" w:sz="0" w:space="0" w:color="auto"/>
        <w:right w:val="none" w:sz="0" w:space="0" w:color="auto"/>
      </w:divBdr>
    </w:div>
    <w:div w:id="30688402">
      <w:bodyDiv w:val="1"/>
      <w:marLeft w:val="0"/>
      <w:marRight w:val="0"/>
      <w:marTop w:val="0"/>
      <w:marBottom w:val="0"/>
      <w:divBdr>
        <w:top w:val="none" w:sz="0" w:space="0" w:color="auto"/>
        <w:left w:val="none" w:sz="0" w:space="0" w:color="auto"/>
        <w:bottom w:val="none" w:sz="0" w:space="0" w:color="auto"/>
        <w:right w:val="none" w:sz="0" w:space="0" w:color="auto"/>
      </w:divBdr>
    </w:div>
    <w:div w:id="31350755">
      <w:bodyDiv w:val="1"/>
      <w:marLeft w:val="0"/>
      <w:marRight w:val="0"/>
      <w:marTop w:val="0"/>
      <w:marBottom w:val="0"/>
      <w:divBdr>
        <w:top w:val="none" w:sz="0" w:space="0" w:color="auto"/>
        <w:left w:val="none" w:sz="0" w:space="0" w:color="auto"/>
        <w:bottom w:val="none" w:sz="0" w:space="0" w:color="auto"/>
        <w:right w:val="none" w:sz="0" w:space="0" w:color="auto"/>
      </w:divBdr>
    </w:div>
    <w:div w:id="33315537">
      <w:bodyDiv w:val="1"/>
      <w:marLeft w:val="0"/>
      <w:marRight w:val="0"/>
      <w:marTop w:val="0"/>
      <w:marBottom w:val="0"/>
      <w:divBdr>
        <w:top w:val="none" w:sz="0" w:space="0" w:color="auto"/>
        <w:left w:val="none" w:sz="0" w:space="0" w:color="auto"/>
        <w:bottom w:val="none" w:sz="0" w:space="0" w:color="auto"/>
        <w:right w:val="none" w:sz="0" w:space="0" w:color="auto"/>
      </w:divBdr>
      <w:divsChild>
        <w:div w:id="1843623163">
          <w:marLeft w:val="0"/>
          <w:marRight w:val="0"/>
          <w:marTop w:val="0"/>
          <w:marBottom w:val="0"/>
          <w:divBdr>
            <w:top w:val="none" w:sz="0" w:space="0" w:color="auto"/>
            <w:left w:val="none" w:sz="0" w:space="0" w:color="auto"/>
            <w:bottom w:val="none" w:sz="0" w:space="0" w:color="auto"/>
            <w:right w:val="none" w:sz="0" w:space="0" w:color="auto"/>
          </w:divBdr>
        </w:div>
        <w:div w:id="1726680702">
          <w:marLeft w:val="0"/>
          <w:marRight w:val="0"/>
          <w:marTop w:val="0"/>
          <w:marBottom w:val="0"/>
          <w:divBdr>
            <w:top w:val="none" w:sz="0" w:space="0" w:color="auto"/>
            <w:left w:val="none" w:sz="0" w:space="0" w:color="auto"/>
            <w:bottom w:val="none" w:sz="0" w:space="0" w:color="auto"/>
            <w:right w:val="none" w:sz="0" w:space="0" w:color="auto"/>
          </w:divBdr>
        </w:div>
        <w:div w:id="1944070104">
          <w:marLeft w:val="0"/>
          <w:marRight w:val="0"/>
          <w:marTop w:val="0"/>
          <w:marBottom w:val="0"/>
          <w:divBdr>
            <w:top w:val="none" w:sz="0" w:space="0" w:color="auto"/>
            <w:left w:val="none" w:sz="0" w:space="0" w:color="auto"/>
            <w:bottom w:val="none" w:sz="0" w:space="0" w:color="auto"/>
            <w:right w:val="none" w:sz="0" w:space="0" w:color="auto"/>
          </w:divBdr>
        </w:div>
        <w:div w:id="413475020">
          <w:marLeft w:val="0"/>
          <w:marRight w:val="0"/>
          <w:marTop w:val="0"/>
          <w:marBottom w:val="0"/>
          <w:divBdr>
            <w:top w:val="none" w:sz="0" w:space="0" w:color="auto"/>
            <w:left w:val="none" w:sz="0" w:space="0" w:color="auto"/>
            <w:bottom w:val="none" w:sz="0" w:space="0" w:color="auto"/>
            <w:right w:val="none" w:sz="0" w:space="0" w:color="auto"/>
          </w:divBdr>
        </w:div>
        <w:div w:id="1132092421">
          <w:marLeft w:val="0"/>
          <w:marRight w:val="0"/>
          <w:marTop w:val="0"/>
          <w:marBottom w:val="0"/>
          <w:divBdr>
            <w:top w:val="none" w:sz="0" w:space="0" w:color="auto"/>
            <w:left w:val="none" w:sz="0" w:space="0" w:color="auto"/>
            <w:bottom w:val="none" w:sz="0" w:space="0" w:color="auto"/>
            <w:right w:val="none" w:sz="0" w:space="0" w:color="auto"/>
          </w:divBdr>
        </w:div>
        <w:div w:id="1569459871">
          <w:marLeft w:val="0"/>
          <w:marRight w:val="0"/>
          <w:marTop w:val="0"/>
          <w:marBottom w:val="0"/>
          <w:divBdr>
            <w:top w:val="none" w:sz="0" w:space="0" w:color="auto"/>
            <w:left w:val="none" w:sz="0" w:space="0" w:color="auto"/>
            <w:bottom w:val="none" w:sz="0" w:space="0" w:color="auto"/>
            <w:right w:val="none" w:sz="0" w:space="0" w:color="auto"/>
          </w:divBdr>
        </w:div>
        <w:div w:id="2123573788">
          <w:marLeft w:val="0"/>
          <w:marRight w:val="0"/>
          <w:marTop w:val="0"/>
          <w:marBottom w:val="0"/>
          <w:divBdr>
            <w:top w:val="none" w:sz="0" w:space="0" w:color="auto"/>
            <w:left w:val="none" w:sz="0" w:space="0" w:color="auto"/>
            <w:bottom w:val="none" w:sz="0" w:space="0" w:color="auto"/>
            <w:right w:val="none" w:sz="0" w:space="0" w:color="auto"/>
          </w:divBdr>
        </w:div>
        <w:div w:id="463542758">
          <w:marLeft w:val="0"/>
          <w:marRight w:val="0"/>
          <w:marTop w:val="0"/>
          <w:marBottom w:val="0"/>
          <w:divBdr>
            <w:top w:val="none" w:sz="0" w:space="0" w:color="auto"/>
            <w:left w:val="none" w:sz="0" w:space="0" w:color="auto"/>
            <w:bottom w:val="none" w:sz="0" w:space="0" w:color="auto"/>
            <w:right w:val="none" w:sz="0" w:space="0" w:color="auto"/>
          </w:divBdr>
        </w:div>
        <w:div w:id="767821550">
          <w:marLeft w:val="0"/>
          <w:marRight w:val="0"/>
          <w:marTop w:val="0"/>
          <w:marBottom w:val="0"/>
          <w:divBdr>
            <w:top w:val="none" w:sz="0" w:space="0" w:color="auto"/>
            <w:left w:val="none" w:sz="0" w:space="0" w:color="auto"/>
            <w:bottom w:val="none" w:sz="0" w:space="0" w:color="auto"/>
            <w:right w:val="none" w:sz="0" w:space="0" w:color="auto"/>
          </w:divBdr>
        </w:div>
        <w:div w:id="1386640956">
          <w:marLeft w:val="0"/>
          <w:marRight w:val="0"/>
          <w:marTop w:val="0"/>
          <w:marBottom w:val="0"/>
          <w:divBdr>
            <w:top w:val="none" w:sz="0" w:space="0" w:color="auto"/>
            <w:left w:val="none" w:sz="0" w:space="0" w:color="auto"/>
            <w:bottom w:val="none" w:sz="0" w:space="0" w:color="auto"/>
            <w:right w:val="none" w:sz="0" w:space="0" w:color="auto"/>
          </w:divBdr>
        </w:div>
        <w:div w:id="304824829">
          <w:marLeft w:val="0"/>
          <w:marRight w:val="0"/>
          <w:marTop w:val="0"/>
          <w:marBottom w:val="0"/>
          <w:divBdr>
            <w:top w:val="none" w:sz="0" w:space="0" w:color="auto"/>
            <w:left w:val="none" w:sz="0" w:space="0" w:color="auto"/>
            <w:bottom w:val="none" w:sz="0" w:space="0" w:color="auto"/>
            <w:right w:val="none" w:sz="0" w:space="0" w:color="auto"/>
          </w:divBdr>
        </w:div>
        <w:div w:id="764770610">
          <w:marLeft w:val="0"/>
          <w:marRight w:val="0"/>
          <w:marTop w:val="0"/>
          <w:marBottom w:val="0"/>
          <w:divBdr>
            <w:top w:val="none" w:sz="0" w:space="0" w:color="auto"/>
            <w:left w:val="none" w:sz="0" w:space="0" w:color="auto"/>
            <w:bottom w:val="none" w:sz="0" w:space="0" w:color="auto"/>
            <w:right w:val="none" w:sz="0" w:space="0" w:color="auto"/>
          </w:divBdr>
        </w:div>
        <w:div w:id="847597016">
          <w:marLeft w:val="0"/>
          <w:marRight w:val="0"/>
          <w:marTop w:val="0"/>
          <w:marBottom w:val="0"/>
          <w:divBdr>
            <w:top w:val="none" w:sz="0" w:space="0" w:color="auto"/>
            <w:left w:val="none" w:sz="0" w:space="0" w:color="auto"/>
            <w:bottom w:val="none" w:sz="0" w:space="0" w:color="auto"/>
            <w:right w:val="none" w:sz="0" w:space="0" w:color="auto"/>
          </w:divBdr>
        </w:div>
        <w:div w:id="2015722103">
          <w:marLeft w:val="0"/>
          <w:marRight w:val="0"/>
          <w:marTop w:val="0"/>
          <w:marBottom w:val="0"/>
          <w:divBdr>
            <w:top w:val="none" w:sz="0" w:space="0" w:color="auto"/>
            <w:left w:val="none" w:sz="0" w:space="0" w:color="auto"/>
            <w:bottom w:val="none" w:sz="0" w:space="0" w:color="auto"/>
            <w:right w:val="none" w:sz="0" w:space="0" w:color="auto"/>
          </w:divBdr>
        </w:div>
        <w:div w:id="1180465105">
          <w:marLeft w:val="0"/>
          <w:marRight w:val="0"/>
          <w:marTop w:val="0"/>
          <w:marBottom w:val="0"/>
          <w:divBdr>
            <w:top w:val="none" w:sz="0" w:space="0" w:color="auto"/>
            <w:left w:val="none" w:sz="0" w:space="0" w:color="auto"/>
            <w:bottom w:val="none" w:sz="0" w:space="0" w:color="auto"/>
            <w:right w:val="none" w:sz="0" w:space="0" w:color="auto"/>
          </w:divBdr>
        </w:div>
        <w:div w:id="827667789">
          <w:marLeft w:val="0"/>
          <w:marRight w:val="0"/>
          <w:marTop w:val="0"/>
          <w:marBottom w:val="0"/>
          <w:divBdr>
            <w:top w:val="none" w:sz="0" w:space="0" w:color="auto"/>
            <w:left w:val="none" w:sz="0" w:space="0" w:color="auto"/>
            <w:bottom w:val="none" w:sz="0" w:space="0" w:color="auto"/>
            <w:right w:val="none" w:sz="0" w:space="0" w:color="auto"/>
          </w:divBdr>
        </w:div>
        <w:div w:id="1385062433">
          <w:marLeft w:val="0"/>
          <w:marRight w:val="0"/>
          <w:marTop w:val="0"/>
          <w:marBottom w:val="0"/>
          <w:divBdr>
            <w:top w:val="none" w:sz="0" w:space="0" w:color="auto"/>
            <w:left w:val="none" w:sz="0" w:space="0" w:color="auto"/>
            <w:bottom w:val="none" w:sz="0" w:space="0" w:color="auto"/>
            <w:right w:val="none" w:sz="0" w:space="0" w:color="auto"/>
          </w:divBdr>
        </w:div>
        <w:div w:id="1688943621">
          <w:marLeft w:val="0"/>
          <w:marRight w:val="0"/>
          <w:marTop w:val="0"/>
          <w:marBottom w:val="0"/>
          <w:divBdr>
            <w:top w:val="none" w:sz="0" w:space="0" w:color="auto"/>
            <w:left w:val="none" w:sz="0" w:space="0" w:color="auto"/>
            <w:bottom w:val="none" w:sz="0" w:space="0" w:color="auto"/>
            <w:right w:val="none" w:sz="0" w:space="0" w:color="auto"/>
          </w:divBdr>
        </w:div>
        <w:div w:id="831024916">
          <w:marLeft w:val="0"/>
          <w:marRight w:val="0"/>
          <w:marTop w:val="0"/>
          <w:marBottom w:val="0"/>
          <w:divBdr>
            <w:top w:val="none" w:sz="0" w:space="0" w:color="auto"/>
            <w:left w:val="none" w:sz="0" w:space="0" w:color="auto"/>
            <w:bottom w:val="none" w:sz="0" w:space="0" w:color="auto"/>
            <w:right w:val="none" w:sz="0" w:space="0" w:color="auto"/>
          </w:divBdr>
        </w:div>
        <w:div w:id="58554659">
          <w:marLeft w:val="0"/>
          <w:marRight w:val="0"/>
          <w:marTop w:val="0"/>
          <w:marBottom w:val="0"/>
          <w:divBdr>
            <w:top w:val="none" w:sz="0" w:space="0" w:color="auto"/>
            <w:left w:val="none" w:sz="0" w:space="0" w:color="auto"/>
            <w:bottom w:val="none" w:sz="0" w:space="0" w:color="auto"/>
            <w:right w:val="none" w:sz="0" w:space="0" w:color="auto"/>
          </w:divBdr>
        </w:div>
        <w:div w:id="1780366795">
          <w:marLeft w:val="0"/>
          <w:marRight w:val="0"/>
          <w:marTop w:val="0"/>
          <w:marBottom w:val="0"/>
          <w:divBdr>
            <w:top w:val="none" w:sz="0" w:space="0" w:color="auto"/>
            <w:left w:val="none" w:sz="0" w:space="0" w:color="auto"/>
            <w:bottom w:val="none" w:sz="0" w:space="0" w:color="auto"/>
            <w:right w:val="none" w:sz="0" w:space="0" w:color="auto"/>
          </w:divBdr>
        </w:div>
        <w:div w:id="670988903">
          <w:marLeft w:val="0"/>
          <w:marRight w:val="0"/>
          <w:marTop w:val="0"/>
          <w:marBottom w:val="0"/>
          <w:divBdr>
            <w:top w:val="none" w:sz="0" w:space="0" w:color="auto"/>
            <w:left w:val="none" w:sz="0" w:space="0" w:color="auto"/>
            <w:bottom w:val="none" w:sz="0" w:space="0" w:color="auto"/>
            <w:right w:val="none" w:sz="0" w:space="0" w:color="auto"/>
          </w:divBdr>
        </w:div>
        <w:div w:id="1650010697">
          <w:marLeft w:val="0"/>
          <w:marRight w:val="0"/>
          <w:marTop w:val="0"/>
          <w:marBottom w:val="0"/>
          <w:divBdr>
            <w:top w:val="none" w:sz="0" w:space="0" w:color="auto"/>
            <w:left w:val="none" w:sz="0" w:space="0" w:color="auto"/>
            <w:bottom w:val="none" w:sz="0" w:space="0" w:color="auto"/>
            <w:right w:val="none" w:sz="0" w:space="0" w:color="auto"/>
          </w:divBdr>
        </w:div>
        <w:div w:id="1285037378">
          <w:marLeft w:val="0"/>
          <w:marRight w:val="0"/>
          <w:marTop w:val="0"/>
          <w:marBottom w:val="0"/>
          <w:divBdr>
            <w:top w:val="none" w:sz="0" w:space="0" w:color="auto"/>
            <w:left w:val="none" w:sz="0" w:space="0" w:color="auto"/>
            <w:bottom w:val="none" w:sz="0" w:space="0" w:color="auto"/>
            <w:right w:val="none" w:sz="0" w:space="0" w:color="auto"/>
          </w:divBdr>
        </w:div>
      </w:divsChild>
    </w:div>
    <w:div w:id="38748654">
      <w:bodyDiv w:val="1"/>
      <w:marLeft w:val="0"/>
      <w:marRight w:val="0"/>
      <w:marTop w:val="0"/>
      <w:marBottom w:val="0"/>
      <w:divBdr>
        <w:top w:val="none" w:sz="0" w:space="0" w:color="auto"/>
        <w:left w:val="none" w:sz="0" w:space="0" w:color="auto"/>
        <w:bottom w:val="none" w:sz="0" w:space="0" w:color="auto"/>
        <w:right w:val="none" w:sz="0" w:space="0" w:color="auto"/>
      </w:divBdr>
    </w:div>
    <w:div w:id="42826555">
      <w:bodyDiv w:val="1"/>
      <w:marLeft w:val="0"/>
      <w:marRight w:val="0"/>
      <w:marTop w:val="0"/>
      <w:marBottom w:val="0"/>
      <w:divBdr>
        <w:top w:val="none" w:sz="0" w:space="0" w:color="auto"/>
        <w:left w:val="none" w:sz="0" w:space="0" w:color="auto"/>
        <w:bottom w:val="none" w:sz="0" w:space="0" w:color="auto"/>
        <w:right w:val="none" w:sz="0" w:space="0" w:color="auto"/>
      </w:divBdr>
    </w:div>
    <w:div w:id="44527007">
      <w:bodyDiv w:val="1"/>
      <w:marLeft w:val="0"/>
      <w:marRight w:val="0"/>
      <w:marTop w:val="0"/>
      <w:marBottom w:val="0"/>
      <w:divBdr>
        <w:top w:val="none" w:sz="0" w:space="0" w:color="auto"/>
        <w:left w:val="none" w:sz="0" w:space="0" w:color="auto"/>
        <w:bottom w:val="none" w:sz="0" w:space="0" w:color="auto"/>
        <w:right w:val="none" w:sz="0" w:space="0" w:color="auto"/>
      </w:divBdr>
    </w:div>
    <w:div w:id="51082171">
      <w:bodyDiv w:val="1"/>
      <w:marLeft w:val="0"/>
      <w:marRight w:val="0"/>
      <w:marTop w:val="0"/>
      <w:marBottom w:val="0"/>
      <w:divBdr>
        <w:top w:val="none" w:sz="0" w:space="0" w:color="auto"/>
        <w:left w:val="none" w:sz="0" w:space="0" w:color="auto"/>
        <w:bottom w:val="none" w:sz="0" w:space="0" w:color="auto"/>
        <w:right w:val="none" w:sz="0" w:space="0" w:color="auto"/>
      </w:divBdr>
    </w:div>
    <w:div w:id="54356867">
      <w:bodyDiv w:val="1"/>
      <w:marLeft w:val="0"/>
      <w:marRight w:val="0"/>
      <w:marTop w:val="0"/>
      <w:marBottom w:val="0"/>
      <w:divBdr>
        <w:top w:val="none" w:sz="0" w:space="0" w:color="auto"/>
        <w:left w:val="none" w:sz="0" w:space="0" w:color="auto"/>
        <w:bottom w:val="none" w:sz="0" w:space="0" w:color="auto"/>
        <w:right w:val="none" w:sz="0" w:space="0" w:color="auto"/>
      </w:divBdr>
    </w:div>
    <w:div w:id="58673668">
      <w:bodyDiv w:val="1"/>
      <w:marLeft w:val="0"/>
      <w:marRight w:val="0"/>
      <w:marTop w:val="0"/>
      <w:marBottom w:val="0"/>
      <w:divBdr>
        <w:top w:val="none" w:sz="0" w:space="0" w:color="auto"/>
        <w:left w:val="none" w:sz="0" w:space="0" w:color="auto"/>
        <w:bottom w:val="none" w:sz="0" w:space="0" w:color="auto"/>
        <w:right w:val="none" w:sz="0" w:space="0" w:color="auto"/>
      </w:divBdr>
    </w:div>
    <w:div w:id="64572798">
      <w:bodyDiv w:val="1"/>
      <w:marLeft w:val="0"/>
      <w:marRight w:val="0"/>
      <w:marTop w:val="0"/>
      <w:marBottom w:val="0"/>
      <w:divBdr>
        <w:top w:val="none" w:sz="0" w:space="0" w:color="auto"/>
        <w:left w:val="none" w:sz="0" w:space="0" w:color="auto"/>
        <w:bottom w:val="none" w:sz="0" w:space="0" w:color="auto"/>
        <w:right w:val="none" w:sz="0" w:space="0" w:color="auto"/>
      </w:divBdr>
    </w:div>
    <w:div w:id="64762157">
      <w:bodyDiv w:val="1"/>
      <w:marLeft w:val="0"/>
      <w:marRight w:val="0"/>
      <w:marTop w:val="0"/>
      <w:marBottom w:val="0"/>
      <w:divBdr>
        <w:top w:val="none" w:sz="0" w:space="0" w:color="auto"/>
        <w:left w:val="none" w:sz="0" w:space="0" w:color="auto"/>
        <w:bottom w:val="none" w:sz="0" w:space="0" w:color="auto"/>
        <w:right w:val="none" w:sz="0" w:space="0" w:color="auto"/>
      </w:divBdr>
      <w:divsChild>
        <w:div w:id="1615012710">
          <w:marLeft w:val="0"/>
          <w:marRight w:val="0"/>
          <w:marTop w:val="0"/>
          <w:marBottom w:val="0"/>
          <w:divBdr>
            <w:top w:val="none" w:sz="0" w:space="0" w:color="auto"/>
            <w:left w:val="none" w:sz="0" w:space="0" w:color="auto"/>
            <w:bottom w:val="none" w:sz="0" w:space="0" w:color="auto"/>
            <w:right w:val="none" w:sz="0" w:space="0" w:color="auto"/>
          </w:divBdr>
        </w:div>
      </w:divsChild>
    </w:div>
    <w:div w:id="66343589">
      <w:bodyDiv w:val="1"/>
      <w:marLeft w:val="0"/>
      <w:marRight w:val="0"/>
      <w:marTop w:val="0"/>
      <w:marBottom w:val="0"/>
      <w:divBdr>
        <w:top w:val="none" w:sz="0" w:space="0" w:color="auto"/>
        <w:left w:val="none" w:sz="0" w:space="0" w:color="auto"/>
        <w:bottom w:val="none" w:sz="0" w:space="0" w:color="auto"/>
        <w:right w:val="none" w:sz="0" w:space="0" w:color="auto"/>
      </w:divBdr>
    </w:div>
    <w:div w:id="71195577">
      <w:bodyDiv w:val="1"/>
      <w:marLeft w:val="0"/>
      <w:marRight w:val="0"/>
      <w:marTop w:val="0"/>
      <w:marBottom w:val="0"/>
      <w:divBdr>
        <w:top w:val="none" w:sz="0" w:space="0" w:color="auto"/>
        <w:left w:val="none" w:sz="0" w:space="0" w:color="auto"/>
        <w:bottom w:val="none" w:sz="0" w:space="0" w:color="auto"/>
        <w:right w:val="none" w:sz="0" w:space="0" w:color="auto"/>
      </w:divBdr>
    </w:div>
    <w:div w:id="73279492">
      <w:bodyDiv w:val="1"/>
      <w:marLeft w:val="0"/>
      <w:marRight w:val="0"/>
      <w:marTop w:val="0"/>
      <w:marBottom w:val="0"/>
      <w:divBdr>
        <w:top w:val="none" w:sz="0" w:space="0" w:color="auto"/>
        <w:left w:val="none" w:sz="0" w:space="0" w:color="auto"/>
        <w:bottom w:val="none" w:sz="0" w:space="0" w:color="auto"/>
        <w:right w:val="none" w:sz="0" w:space="0" w:color="auto"/>
      </w:divBdr>
    </w:div>
    <w:div w:id="74254284">
      <w:bodyDiv w:val="1"/>
      <w:marLeft w:val="0"/>
      <w:marRight w:val="0"/>
      <w:marTop w:val="0"/>
      <w:marBottom w:val="0"/>
      <w:divBdr>
        <w:top w:val="none" w:sz="0" w:space="0" w:color="auto"/>
        <w:left w:val="none" w:sz="0" w:space="0" w:color="auto"/>
        <w:bottom w:val="none" w:sz="0" w:space="0" w:color="auto"/>
        <w:right w:val="none" w:sz="0" w:space="0" w:color="auto"/>
      </w:divBdr>
    </w:div>
    <w:div w:id="74280638">
      <w:bodyDiv w:val="1"/>
      <w:marLeft w:val="0"/>
      <w:marRight w:val="0"/>
      <w:marTop w:val="0"/>
      <w:marBottom w:val="0"/>
      <w:divBdr>
        <w:top w:val="none" w:sz="0" w:space="0" w:color="auto"/>
        <w:left w:val="none" w:sz="0" w:space="0" w:color="auto"/>
        <w:bottom w:val="none" w:sz="0" w:space="0" w:color="auto"/>
        <w:right w:val="none" w:sz="0" w:space="0" w:color="auto"/>
      </w:divBdr>
    </w:div>
    <w:div w:id="78141133">
      <w:bodyDiv w:val="1"/>
      <w:marLeft w:val="0"/>
      <w:marRight w:val="0"/>
      <w:marTop w:val="0"/>
      <w:marBottom w:val="0"/>
      <w:divBdr>
        <w:top w:val="none" w:sz="0" w:space="0" w:color="auto"/>
        <w:left w:val="none" w:sz="0" w:space="0" w:color="auto"/>
        <w:bottom w:val="none" w:sz="0" w:space="0" w:color="auto"/>
        <w:right w:val="none" w:sz="0" w:space="0" w:color="auto"/>
      </w:divBdr>
    </w:div>
    <w:div w:id="78143174">
      <w:bodyDiv w:val="1"/>
      <w:marLeft w:val="0"/>
      <w:marRight w:val="0"/>
      <w:marTop w:val="0"/>
      <w:marBottom w:val="0"/>
      <w:divBdr>
        <w:top w:val="none" w:sz="0" w:space="0" w:color="auto"/>
        <w:left w:val="none" w:sz="0" w:space="0" w:color="auto"/>
        <w:bottom w:val="none" w:sz="0" w:space="0" w:color="auto"/>
        <w:right w:val="none" w:sz="0" w:space="0" w:color="auto"/>
      </w:divBdr>
    </w:div>
    <w:div w:id="83497711">
      <w:bodyDiv w:val="1"/>
      <w:marLeft w:val="0"/>
      <w:marRight w:val="0"/>
      <w:marTop w:val="0"/>
      <w:marBottom w:val="0"/>
      <w:divBdr>
        <w:top w:val="none" w:sz="0" w:space="0" w:color="auto"/>
        <w:left w:val="none" w:sz="0" w:space="0" w:color="auto"/>
        <w:bottom w:val="none" w:sz="0" w:space="0" w:color="auto"/>
        <w:right w:val="none" w:sz="0" w:space="0" w:color="auto"/>
      </w:divBdr>
    </w:div>
    <w:div w:id="86271895">
      <w:bodyDiv w:val="1"/>
      <w:marLeft w:val="0"/>
      <w:marRight w:val="0"/>
      <w:marTop w:val="0"/>
      <w:marBottom w:val="0"/>
      <w:divBdr>
        <w:top w:val="none" w:sz="0" w:space="0" w:color="auto"/>
        <w:left w:val="none" w:sz="0" w:space="0" w:color="auto"/>
        <w:bottom w:val="none" w:sz="0" w:space="0" w:color="auto"/>
        <w:right w:val="none" w:sz="0" w:space="0" w:color="auto"/>
      </w:divBdr>
    </w:div>
    <w:div w:id="87847649">
      <w:bodyDiv w:val="1"/>
      <w:marLeft w:val="0"/>
      <w:marRight w:val="0"/>
      <w:marTop w:val="0"/>
      <w:marBottom w:val="0"/>
      <w:divBdr>
        <w:top w:val="none" w:sz="0" w:space="0" w:color="auto"/>
        <w:left w:val="none" w:sz="0" w:space="0" w:color="auto"/>
        <w:bottom w:val="none" w:sz="0" w:space="0" w:color="auto"/>
        <w:right w:val="none" w:sz="0" w:space="0" w:color="auto"/>
      </w:divBdr>
    </w:div>
    <w:div w:id="91901644">
      <w:bodyDiv w:val="1"/>
      <w:marLeft w:val="0"/>
      <w:marRight w:val="0"/>
      <w:marTop w:val="0"/>
      <w:marBottom w:val="0"/>
      <w:divBdr>
        <w:top w:val="none" w:sz="0" w:space="0" w:color="auto"/>
        <w:left w:val="none" w:sz="0" w:space="0" w:color="auto"/>
        <w:bottom w:val="none" w:sz="0" w:space="0" w:color="auto"/>
        <w:right w:val="none" w:sz="0" w:space="0" w:color="auto"/>
      </w:divBdr>
    </w:div>
    <w:div w:id="94207537">
      <w:bodyDiv w:val="1"/>
      <w:marLeft w:val="0"/>
      <w:marRight w:val="0"/>
      <w:marTop w:val="0"/>
      <w:marBottom w:val="0"/>
      <w:divBdr>
        <w:top w:val="none" w:sz="0" w:space="0" w:color="auto"/>
        <w:left w:val="none" w:sz="0" w:space="0" w:color="auto"/>
        <w:bottom w:val="none" w:sz="0" w:space="0" w:color="auto"/>
        <w:right w:val="none" w:sz="0" w:space="0" w:color="auto"/>
      </w:divBdr>
    </w:div>
    <w:div w:id="95370907">
      <w:bodyDiv w:val="1"/>
      <w:marLeft w:val="0"/>
      <w:marRight w:val="0"/>
      <w:marTop w:val="0"/>
      <w:marBottom w:val="0"/>
      <w:divBdr>
        <w:top w:val="none" w:sz="0" w:space="0" w:color="auto"/>
        <w:left w:val="none" w:sz="0" w:space="0" w:color="auto"/>
        <w:bottom w:val="none" w:sz="0" w:space="0" w:color="auto"/>
        <w:right w:val="none" w:sz="0" w:space="0" w:color="auto"/>
      </w:divBdr>
    </w:div>
    <w:div w:id="96216600">
      <w:bodyDiv w:val="1"/>
      <w:marLeft w:val="0"/>
      <w:marRight w:val="0"/>
      <w:marTop w:val="0"/>
      <w:marBottom w:val="0"/>
      <w:divBdr>
        <w:top w:val="none" w:sz="0" w:space="0" w:color="auto"/>
        <w:left w:val="none" w:sz="0" w:space="0" w:color="auto"/>
        <w:bottom w:val="none" w:sz="0" w:space="0" w:color="auto"/>
        <w:right w:val="none" w:sz="0" w:space="0" w:color="auto"/>
      </w:divBdr>
    </w:div>
    <w:div w:id="102119371">
      <w:bodyDiv w:val="1"/>
      <w:marLeft w:val="0"/>
      <w:marRight w:val="0"/>
      <w:marTop w:val="0"/>
      <w:marBottom w:val="0"/>
      <w:divBdr>
        <w:top w:val="none" w:sz="0" w:space="0" w:color="auto"/>
        <w:left w:val="none" w:sz="0" w:space="0" w:color="auto"/>
        <w:bottom w:val="none" w:sz="0" w:space="0" w:color="auto"/>
        <w:right w:val="none" w:sz="0" w:space="0" w:color="auto"/>
      </w:divBdr>
    </w:div>
    <w:div w:id="104859289">
      <w:bodyDiv w:val="1"/>
      <w:marLeft w:val="0"/>
      <w:marRight w:val="0"/>
      <w:marTop w:val="0"/>
      <w:marBottom w:val="0"/>
      <w:divBdr>
        <w:top w:val="none" w:sz="0" w:space="0" w:color="auto"/>
        <w:left w:val="none" w:sz="0" w:space="0" w:color="auto"/>
        <w:bottom w:val="none" w:sz="0" w:space="0" w:color="auto"/>
        <w:right w:val="none" w:sz="0" w:space="0" w:color="auto"/>
      </w:divBdr>
    </w:div>
    <w:div w:id="108210149">
      <w:bodyDiv w:val="1"/>
      <w:marLeft w:val="0"/>
      <w:marRight w:val="0"/>
      <w:marTop w:val="0"/>
      <w:marBottom w:val="0"/>
      <w:divBdr>
        <w:top w:val="none" w:sz="0" w:space="0" w:color="auto"/>
        <w:left w:val="none" w:sz="0" w:space="0" w:color="auto"/>
        <w:bottom w:val="none" w:sz="0" w:space="0" w:color="auto"/>
        <w:right w:val="none" w:sz="0" w:space="0" w:color="auto"/>
      </w:divBdr>
    </w:div>
    <w:div w:id="116459435">
      <w:bodyDiv w:val="1"/>
      <w:marLeft w:val="0"/>
      <w:marRight w:val="0"/>
      <w:marTop w:val="0"/>
      <w:marBottom w:val="0"/>
      <w:divBdr>
        <w:top w:val="none" w:sz="0" w:space="0" w:color="auto"/>
        <w:left w:val="none" w:sz="0" w:space="0" w:color="auto"/>
        <w:bottom w:val="none" w:sz="0" w:space="0" w:color="auto"/>
        <w:right w:val="none" w:sz="0" w:space="0" w:color="auto"/>
      </w:divBdr>
    </w:div>
    <w:div w:id="121578532">
      <w:bodyDiv w:val="1"/>
      <w:marLeft w:val="0"/>
      <w:marRight w:val="0"/>
      <w:marTop w:val="0"/>
      <w:marBottom w:val="0"/>
      <w:divBdr>
        <w:top w:val="none" w:sz="0" w:space="0" w:color="auto"/>
        <w:left w:val="none" w:sz="0" w:space="0" w:color="auto"/>
        <w:bottom w:val="none" w:sz="0" w:space="0" w:color="auto"/>
        <w:right w:val="none" w:sz="0" w:space="0" w:color="auto"/>
      </w:divBdr>
    </w:div>
    <w:div w:id="123541782">
      <w:bodyDiv w:val="1"/>
      <w:marLeft w:val="0"/>
      <w:marRight w:val="0"/>
      <w:marTop w:val="0"/>
      <w:marBottom w:val="0"/>
      <w:divBdr>
        <w:top w:val="none" w:sz="0" w:space="0" w:color="auto"/>
        <w:left w:val="none" w:sz="0" w:space="0" w:color="auto"/>
        <w:bottom w:val="none" w:sz="0" w:space="0" w:color="auto"/>
        <w:right w:val="none" w:sz="0" w:space="0" w:color="auto"/>
      </w:divBdr>
    </w:div>
    <w:div w:id="127213224">
      <w:bodyDiv w:val="1"/>
      <w:marLeft w:val="0"/>
      <w:marRight w:val="0"/>
      <w:marTop w:val="0"/>
      <w:marBottom w:val="0"/>
      <w:divBdr>
        <w:top w:val="none" w:sz="0" w:space="0" w:color="auto"/>
        <w:left w:val="none" w:sz="0" w:space="0" w:color="auto"/>
        <w:bottom w:val="none" w:sz="0" w:space="0" w:color="auto"/>
        <w:right w:val="none" w:sz="0" w:space="0" w:color="auto"/>
      </w:divBdr>
    </w:div>
    <w:div w:id="127403914">
      <w:bodyDiv w:val="1"/>
      <w:marLeft w:val="0"/>
      <w:marRight w:val="0"/>
      <w:marTop w:val="0"/>
      <w:marBottom w:val="0"/>
      <w:divBdr>
        <w:top w:val="none" w:sz="0" w:space="0" w:color="auto"/>
        <w:left w:val="none" w:sz="0" w:space="0" w:color="auto"/>
        <w:bottom w:val="none" w:sz="0" w:space="0" w:color="auto"/>
        <w:right w:val="none" w:sz="0" w:space="0" w:color="auto"/>
      </w:divBdr>
    </w:div>
    <w:div w:id="131095717">
      <w:bodyDiv w:val="1"/>
      <w:marLeft w:val="0"/>
      <w:marRight w:val="0"/>
      <w:marTop w:val="0"/>
      <w:marBottom w:val="0"/>
      <w:divBdr>
        <w:top w:val="none" w:sz="0" w:space="0" w:color="auto"/>
        <w:left w:val="none" w:sz="0" w:space="0" w:color="auto"/>
        <w:bottom w:val="none" w:sz="0" w:space="0" w:color="auto"/>
        <w:right w:val="none" w:sz="0" w:space="0" w:color="auto"/>
      </w:divBdr>
    </w:div>
    <w:div w:id="133067749">
      <w:bodyDiv w:val="1"/>
      <w:marLeft w:val="0"/>
      <w:marRight w:val="0"/>
      <w:marTop w:val="0"/>
      <w:marBottom w:val="0"/>
      <w:divBdr>
        <w:top w:val="none" w:sz="0" w:space="0" w:color="auto"/>
        <w:left w:val="none" w:sz="0" w:space="0" w:color="auto"/>
        <w:bottom w:val="none" w:sz="0" w:space="0" w:color="auto"/>
        <w:right w:val="none" w:sz="0" w:space="0" w:color="auto"/>
      </w:divBdr>
    </w:div>
    <w:div w:id="134763259">
      <w:bodyDiv w:val="1"/>
      <w:marLeft w:val="0"/>
      <w:marRight w:val="0"/>
      <w:marTop w:val="0"/>
      <w:marBottom w:val="0"/>
      <w:divBdr>
        <w:top w:val="none" w:sz="0" w:space="0" w:color="auto"/>
        <w:left w:val="none" w:sz="0" w:space="0" w:color="auto"/>
        <w:bottom w:val="none" w:sz="0" w:space="0" w:color="auto"/>
        <w:right w:val="none" w:sz="0" w:space="0" w:color="auto"/>
      </w:divBdr>
      <w:divsChild>
        <w:div w:id="170611104">
          <w:marLeft w:val="0"/>
          <w:marRight w:val="83"/>
          <w:marTop w:val="0"/>
          <w:marBottom w:val="0"/>
          <w:divBdr>
            <w:top w:val="none" w:sz="0" w:space="0" w:color="auto"/>
            <w:left w:val="none" w:sz="0" w:space="0" w:color="auto"/>
            <w:bottom w:val="none" w:sz="0" w:space="0" w:color="auto"/>
            <w:right w:val="none" w:sz="0" w:space="0" w:color="auto"/>
          </w:divBdr>
        </w:div>
        <w:div w:id="1727146921">
          <w:marLeft w:val="0"/>
          <w:marRight w:val="0"/>
          <w:marTop w:val="0"/>
          <w:marBottom w:val="0"/>
          <w:divBdr>
            <w:top w:val="none" w:sz="0" w:space="0" w:color="auto"/>
            <w:left w:val="none" w:sz="0" w:space="0" w:color="auto"/>
            <w:bottom w:val="none" w:sz="0" w:space="0" w:color="auto"/>
            <w:right w:val="none" w:sz="0" w:space="0" w:color="auto"/>
          </w:divBdr>
          <w:divsChild>
            <w:div w:id="1770270629">
              <w:marLeft w:val="0"/>
              <w:marRight w:val="0"/>
              <w:marTop w:val="0"/>
              <w:marBottom w:val="0"/>
              <w:divBdr>
                <w:top w:val="none" w:sz="0" w:space="0" w:color="auto"/>
                <w:left w:val="none" w:sz="0" w:space="0" w:color="auto"/>
                <w:bottom w:val="none" w:sz="0" w:space="0" w:color="auto"/>
                <w:right w:val="none" w:sz="0" w:space="0" w:color="auto"/>
              </w:divBdr>
              <w:divsChild>
                <w:div w:id="1938443985">
                  <w:marLeft w:val="0"/>
                  <w:marRight w:val="0"/>
                  <w:marTop w:val="0"/>
                  <w:marBottom w:val="0"/>
                  <w:divBdr>
                    <w:top w:val="none" w:sz="0" w:space="0" w:color="auto"/>
                    <w:left w:val="none" w:sz="0" w:space="0" w:color="auto"/>
                    <w:bottom w:val="none" w:sz="0" w:space="0" w:color="auto"/>
                    <w:right w:val="none" w:sz="0" w:space="0" w:color="auto"/>
                  </w:divBdr>
                  <w:divsChild>
                    <w:div w:id="187302444">
                      <w:marLeft w:val="0"/>
                      <w:marRight w:val="0"/>
                      <w:marTop w:val="0"/>
                      <w:marBottom w:val="0"/>
                      <w:divBdr>
                        <w:top w:val="none" w:sz="0" w:space="0" w:color="auto"/>
                        <w:left w:val="none" w:sz="0" w:space="0" w:color="auto"/>
                        <w:bottom w:val="none" w:sz="0" w:space="0" w:color="auto"/>
                        <w:right w:val="none" w:sz="0" w:space="0" w:color="auto"/>
                      </w:divBdr>
                    </w:div>
                    <w:div w:id="1297759539">
                      <w:marLeft w:val="0"/>
                      <w:marRight w:val="0"/>
                      <w:marTop w:val="0"/>
                      <w:marBottom w:val="0"/>
                      <w:divBdr>
                        <w:top w:val="none" w:sz="0" w:space="0" w:color="auto"/>
                        <w:left w:val="none" w:sz="0" w:space="0" w:color="auto"/>
                        <w:bottom w:val="none" w:sz="0" w:space="0" w:color="auto"/>
                        <w:right w:val="none" w:sz="0" w:space="0" w:color="auto"/>
                      </w:divBdr>
                    </w:div>
                  </w:divsChild>
                </w:div>
                <w:div w:id="122155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69101">
      <w:bodyDiv w:val="1"/>
      <w:marLeft w:val="0"/>
      <w:marRight w:val="0"/>
      <w:marTop w:val="0"/>
      <w:marBottom w:val="0"/>
      <w:divBdr>
        <w:top w:val="none" w:sz="0" w:space="0" w:color="auto"/>
        <w:left w:val="none" w:sz="0" w:space="0" w:color="auto"/>
        <w:bottom w:val="none" w:sz="0" w:space="0" w:color="auto"/>
        <w:right w:val="none" w:sz="0" w:space="0" w:color="auto"/>
      </w:divBdr>
    </w:div>
    <w:div w:id="137772914">
      <w:bodyDiv w:val="1"/>
      <w:marLeft w:val="0"/>
      <w:marRight w:val="0"/>
      <w:marTop w:val="0"/>
      <w:marBottom w:val="0"/>
      <w:divBdr>
        <w:top w:val="none" w:sz="0" w:space="0" w:color="auto"/>
        <w:left w:val="none" w:sz="0" w:space="0" w:color="auto"/>
        <w:bottom w:val="none" w:sz="0" w:space="0" w:color="auto"/>
        <w:right w:val="none" w:sz="0" w:space="0" w:color="auto"/>
      </w:divBdr>
    </w:div>
    <w:div w:id="142477579">
      <w:bodyDiv w:val="1"/>
      <w:marLeft w:val="0"/>
      <w:marRight w:val="0"/>
      <w:marTop w:val="0"/>
      <w:marBottom w:val="0"/>
      <w:divBdr>
        <w:top w:val="none" w:sz="0" w:space="0" w:color="auto"/>
        <w:left w:val="none" w:sz="0" w:space="0" w:color="auto"/>
        <w:bottom w:val="none" w:sz="0" w:space="0" w:color="auto"/>
        <w:right w:val="none" w:sz="0" w:space="0" w:color="auto"/>
      </w:divBdr>
    </w:div>
    <w:div w:id="142619773">
      <w:bodyDiv w:val="1"/>
      <w:marLeft w:val="0"/>
      <w:marRight w:val="0"/>
      <w:marTop w:val="0"/>
      <w:marBottom w:val="0"/>
      <w:divBdr>
        <w:top w:val="none" w:sz="0" w:space="0" w:color="auto"/>
        <w:left w:val="none" w:sz="0" w:space="0" w:color="auto"/>
        <w:bottom w:val="none" w:sz="0" w:space="0" w:color="auto"/>
        <w:right w:val="none" w:sz="0" w:space="0" w:color="auto"/>
      </w:divBdr>
    </w:div>
    <w:div w:id="145169973">
      <w:bodyDiv w:val="1"/>
      <w:marLeft w:val="0"/>
      <w:marRight w:val="0"/>
      <w:marTop w:val="0"/>
      <w:marBottom w:val="0"/>
      <w:divBdr>
        <w:top w:val="none" w:sz="0" w:space="0" w:color="auto"/>
        <w:left w:val="none" w:sz="0" w:space="0" w:color="auto"/>
        <w:bottom w:val="none" w:sz="0" w:space="0" w:color="auto"/>
        <w:right w:val="none" w:sz="0" w:space="0" w:color="auto"/>
      </w:divBdr>
    </w:div>
    <w:div w:id="145899346">
      <w:bodyDiv w:val="1"/>
      <w:marLeft w:val="0"/>
      <w:marRight w:val="0"/>
      <w:marTop w:val="0"/>
      <w:marBottom w:val="0"/>
      <w:divBdr>
        <w:top w:val="none" w:sz="0" w:space="0" w:color="auto"/>
        <w:left w:val="none" w:sz="0" w:space="0" w:color="auto"/>
        <w:bottom w:val="none" w:sz="0" w:space="0" w:color="auto"/>
        <w:right w:val="none" w:sz="0" w:space="0" w:color="auto"/>
      </w:divBdr>
    </w:div>
    <w:div w:id="146362950">
      <w:bodyDiv w:val="1"/>
      <w:marLeft w:val="0"/>
      <w:marRight w:val="0"/>
      <w:marTop w:val="0"/>
      <w:marBottom w:val="0"/>
      <w:divBdr>
        <w:top w:val="none" w:sz="0" w:space="0" w:color="auto"/>
        <w:left w:val="none" w:sz="0" w:space="0" w:color="auto"/>
        <w:bottom w:val="none" w:sz="0" w:space="0" w:color="auto"/>
        <w:right w:val="none" w:sz="0" w:space="0" w:color="auto"/>
      </w:divBdr>
    </w:div>
    <w:div w:id="152071680">
      <w:bodyDiv w:val="1"/>
      <w:marLeft w:val="0"/>
      <w:marRight w:val="0"/>
      <w:marTop w:val="0"/>
      <w:marBottom w:val="0"/>
      <w:divBdr>
        <w:top w:val="none" w:sz="0" w:space="0" w:color="auto"/>
        <w:left w:val="none" w:sz="0" w:space="0" w:color="auto"/>
        <w:bottom w:val="none" w:sz="0" w:space="0" w:color="auto"/>
        <w:right w:val="none" w:sz="0" w:space="0" w:color="auto"/>
      </w:divBdr>
    </w:div>
    <w:div w:id="153306833">
      <w:bodyDiv w:val="1"/>
      <w:marLeft w:val="0"/>
      <w:marRight w:val="0"/>
      <w:marTop w:val="0"/>
      <w:marBottom w:val="0"/>
      <w:divBdr>
        <w:top w:val="none" w:sz="0" w:space="0" w:color="auto"/>
        <w:left w:val="none" w:sz="0" w:space="0" w:color="auto"/>
        <w:bottom w:val="none" w:sz="0" w:space="0" w:color="auto"/>
        <w:right w:val="none" w:sz="0" w:space="0" w:color="auto"/>
      </w:divBdr>
    </w:div>
    <w:div w:id="159851390">
      <w:bodyDiv w:val="1"/>
      <w:marLeft w:val="0"/>
      <w:marRight w:val="0"/>
      <w:marTop w:val="0"/>
      <w:marBottom w:val="0"/>
      <w:divBdr>
        <w:top w:val="none" w:sz="0" w:space="0" w:color="auto"/>
        <w:left w:val="none" w:sz="0" w:space="0" w:color="auto"/>
        <w:bottom w:val="none" w:sz="0" w:space="0" w:color="auto"/>
        <w:right w:val="none" w:sz="0" w:space="0" w:color="auto"/>
      </w:divBdr>
    </w:div>
    <w:div w:id="160778333">
      <w:bodyDiv w:val="1"/>
      <w:marLeft w:val="0"/>
      <w:marRight w:val="0"/>
      <w:marTop w:val="0"/>
      <w:marBottom w:val="0"/>
      <w:divBdr>
        <w:top w:val="none" w:sz="0" w:space="0" w:color="auto"/>
        <w:left w:val="none" w:sz="0" w:space="0" w:color="auto"/>
        <w:bottom w:val="none" w:sz="0" w:space="0" w:color="auto"/>
        <w:right w:val="none" w:sz="0" w:space="0" w:color="auto"/>
      </w:divBdr>
    </w:div>
    <w:div w:id="163521453">
      <w:bodyDiv w:val="1"/>
      <w:marLeft w:val="0"/>
      <w:marRight w:val="0"/>
      <w:marTop w:val="0"/>
      <w:marBottom w:val="0"/>
      <w:divBdr>
        <w:top w:val="none" w:sz="0" w:space="0" w:color="auto"/>
        <w:left w:val="none" w:sz="0" w:space="0" w:color="auto"/>
        <w:bottom w:val="none" w:sz="0" w:space="0" w:color="auto"/>
        <w:right w:val="none" w:sz="0" w:space="0" w:color="auto"/>
      </w:divBdr>
    </w:div>
    <w:div w:id="166291667">
      <w:bodyDiv w:val="1"/>
      <w:marLeft w:val="0"/>
      <w:marRight w:val="0"/>
      <w:marTop w:val="0"/>
      <w:marBottom w:val="0"/>
      <w:divBdr>
        <w:top w:val="none" w:sz="0" w:space="0" w:color="auto"/>
        <w:left w:val="none" w:sz="0" w:space="0" w:color="auto"/>
        <w:bottom w:val="none" w:sz="0" w:space="0" w:color="auto"/>
        <w:right w:val="none" w:sz="0" w:space="0" w:color="auto"/>
      </w:divBdr>
    </w:div>
    <w:div w:id="173305058">
      <w:bodyDiv w:val="1"/>
      <w:marLeft w:val="0"/>
      <w:marRight w:val="0"/>
      <w:marTop w:val="0"/>
      <w:marBottom w:val="0"/>
      <w:divBdr>
        <w:top w:val="none" w:sz="0" w:space="0" w:color="auto"/>
        <w:left w:val="none" w:sz="0" w:space="0" w:color="auto"/>
        <w:bottom w:val="none" w:sz="0" w:space="0" w:color="auto"/>
        <w:right w:val="none" w:sz="0" w:space="0" w:color="auto"/>
      </w:divBdr>
    </w:div>
    <w:div w:id="179665496">
      <w:bodyDiv w:val="1"/>
      <w:marLeft w:val="0"/>
      <w:marRight w:val="0"/>
      <w:marTop w:val="0"/>
      <w:marBottom w:val="0"/>
      <w:divBdr>
        <w:top w:val="none" w:sz="0" w:space="0" w:color="auto"/>
        <w:left w:val="none" w:sz="0" w:space="0" w:color="auto"/>
        <w:bottom w:val="none" w:sz="0" w:space="0" w:color="auto"/>
        <w:right w:val="none" w:sz="0" w:space="0" w:color="auto"/>
      </w:divBdr>
    </w:div>
    <w:div w:id="184055054">
      <w:bodyDiv w:val="1"/>
      <w:marLeft w:val="0"/>
      <w:marRight w:val="0"/>
      <w:marTop w:val="0"/>
      <w:marBottom w:val="0"/>
      <w:divBdr>
        <w:top w:val="none" w:sz="0" w:space="0" w:color="auto"/>
        <w:left w:val="none" w:sz="0" w:space="0" w:color="auto"/>
        <w:bottom w:val="none" w:sz="0" w:space="0" w:color="auto"/>
        <w:right w:val="none" w:sz="0" w:space="0" w:color="auto"/>
      </w:divBdr>
    </w:div>
    <w:div w:id="185217778">
      <w:bodyDiv w:val="1"/>
      <w:marLeft w:val="0"/>
      <w:marRight w:val="0"/>
      <w:marTop w:val="0"/>
      <w:marBottom w:val="0"/>
      <w:divBdr>
        <w:top w:val="none" w:sz="0" w:space="0" w:color="auto"/>
        <w:left w:val="none" w:sz="0" w:space="0" w:color="auto"/>
        <w:bottom w:val="none" w:sz="0" w:space="0" w:color="auto"/>
        <w:right w:val="none" w:sz="0" w:space="0" w:color="auto"/>
      </w:divBdr>
    </w:div>
    <w:div w:id="188374425">
      <w:bodyDiv w:val="1"/>
      <w:marLeft w:val="0"/>
      <w:marRight w:val="0"/>
      <w:marTop w:val="0"/>
      <w:marBottom w:val="0"/>
      <w:divBdr>
        <w:top w:val="none" w:sz="0" w:space="0" w:color="auto"/>
        <w:left w:val="none" w:sz="0" w:space="0" w:color="auto"/>
        <w:bottom w:val="none" w:sz="0" w:space="0" w:color="auto"/>
        <w:right w:val="none" w:sz="0" w:space="0" w:color="auto"/>
      </w:divBdr>
    </w:div>
    <w:div w:id="189295252">
      <w:bodyDiv w:val="1"/>
      <w:marLeft w:val="0"/>
      <w:marRight w:val="0"/>
      <w:marTop w:val="0"/>
      <w:marBottom w:val="0"/>
      <w:divBdr>
        <w:top w:val="none" w:sz="0" w:space="0" w:color="auto"/>
        <w:left w:val="none" w:sz="0" w:space="0" w:color="auto"/>
        <w:bottom w:val="none" w:sz="0" w:space="0" w:color="auto"/>
        <w:right w:val="none" w:sz="0" w:space="0" w:color="auto"/>
      </w:divBdr>
    </w:div>
    <w:div w:id="191503146">
      <w:bodyDiv w:val="1"/>
      <w:marLeft w:val="0"/>
      <w:marRight w:val="0"/>
      <w:marTop w:val="0"/>
      <w:marBottom w:val="0"/>
      <w:divBdr>
        <w:top w:val="none" w:sz="0" w:space="0" w:color="auto"/>
        <w:left w:val="none" w:sz="0" w:space="0" w:color="auto"/>
        <w:bottom w:val="none" w:sz="0" w:space="0" w:color="auto"/>
        <w:right w:val="none" w:sz="0" w:space="0" w:color="auto"/>
      </w:divBdr>
    </w:div>
    <w:div w:id="193346049">
      <w:bodyDiv w:val="1"/>
      <w:marLeft w:val="0"/>
      <w:marRight w:val="0"/>
      <w:marTop w:val="0"/>
      <w:marBottom w:val="0"/>
      <w:divBdr>
        <w:top w:val="none" w:sz="0" w:space="0" w:color="auto"/>
        <w:left w:val="none" w:sz="0" w:space="0" w:color="auto"/>
        <w:bottom w:val="none" w:sz="0" w:space="0" w:color="auto"/>
        <w:right w:val="none" w:sz="0" w:space="0" w:color="auto"/>
      </w:divBdr>
    </w:div>
    <w:div w:id="193882987">
      <w:bodyDiv w:val="1"/>
      <w:marLeft w:val="0"/>
      <w:marRight w:val="0"/>
      <w:marTop w:val="0"/>
      <w:marBottom w:val="0"/>
      <w:divBdr>
        <w:top w:val="none" w:sz="0" w:space="0" w:color="auto"/>
        <w:left w:val="none" w:sz="0" w:space="0" w:color="auto"/>
        <w:bottom w:val="none" w:sz="0" w:space="0" w:color="auto"/>
        <w:right w:val="none" w:sz="0" w:space="0" w:color="auto"/>
      </w:divBdr>
      <w:divsChild>
        <w:div w:id="1632318501">
          <w:marLeft w:val="0"/>
          <w:marRight w:val="0"/>
          <w:marTop w:val="0"/>
          <w:marBottom w:val="0"/>
          <w:divBdr>
            <w:top w:val="none" w:sz="0" w:space="0" w:color="auto"/>
            <w:left w:val="none" w:sz="0" w:space="0" w:color="auto"/>
            <w:bottom w:val="none" w:sz="0" w:space="0" w:color="auto"/>
            <w:right w:val="none" w:sz="0" w:space="0" w:color="auto"/>
          </w:divBdr>
        </w:div>
      </w:divsChild>
    </w:div>
    <w:div w:id="199828448">
      <w:bodyDiv w:val="1"/>
      <w:marLeft w:val="0"/>
      <w:marRight w:val="0"/>
      <w:marTop w:val="0"/>
      <w:marBottom w:val="0"/>
      <w:divBdr>
        <w:top w:val="none" w:sz="0" w:space="0" w:color="auto"/>
        <w:left w:val="none" w:sz="0" w:space="0" w:color="auto"/>
        <w:bottom w:val="none" w:sz="0" w:space="0" w:color="auto"/>
        <w:right w:val="none" w:sz="0" w:space="0" w:color="auto"/>
      </w:divBdr>
    </w:div>
    <w:div w:id="201405758">
      <w:bodyDiv w:val="1"/>
      <w:marLeft w:val="0"/>
      <w:marRight w:val="0"/>
      <w:marTop w:val="0"/>
      <w:marBottom w:val="0"/>
      <w:divBdr>
        <w:top w:val="none" w:sz="0" w:space="0" w:color="auto"/>
        <w:left w:val="none" w:sz="0" w:space="0" w:color="auto"/>
        <w:bottom w:val="none" w:sz="0" w:space="0" w:color="auto"/>
        <w:right w:val="none" w:sz="0" w:space="0" w:color="auto"/>
      </w:divBdr>
    </w:div>
    <w:div w:id="215050540">
      <w:bodyDiv w:val="1"/>
      <w:marLeft w:val="0"/>
      <w:marRight w:val="0"/>
      <w:marTop w:val="0"/>
      <w:marBottom w:val="0"/>
      <w:divBdr>
        <w:top w:val="none" w:sz="0" w:space="0" w:color="auto"/>
        <w:left w:val="none" w:sz="0" w:space="0" w:color="auto"/>
        <w:bottom w:val="none" w:sz="0" w:space="0" w:color="auto"/>
        <w:right w:val="none" w:sz="0" w:space="0" w:color="auto"/>
      </w:divBdr>
    </w:div>
    <w:div w:id="217472511">
      <w:bodyDiv w:val="1"/>
      <w:marLeft w:val="0"/>
      <w:marRight w:val="0"/>
      <w:marTop w:val="0"/>
      <w:marBottom w:val="0"/>
      <w:divBdr>
        <w:top w:val="none" w:sz="0" w:space="0" w:color="auto"/>
        <w:left w:val="none" w:sz="0" w:space="0" w:color="auto"/>
        <w:bottom w:val="none" w:sz="0" w:space="0" w:color="auto"/>
        <w:right w:val="none" w:sz="0" w:space="0" w:color="auto"/>
      </w:divBdr>
    </w:div>
    <w:div w:id="220485982">
      <w:bodyDiv w:val="1"/>
      <w:marLeft w:val="0"/>
      <w:marRight w:val="0"/>
      <w:marTop w:val="0"/>
      <w:marBottom w:val="0"/>
      <w:divBdr>
        <w:top w:val="none" w:sz="0" w:space="0" w:color="auto"/>
        <w:left w:val="none" w:sz="0" w:space="0" w:color="auto"/>
        <w:bottom w:val="none" w:sz="0" w:space="0" w:color="auto"/>
        <w:right w:val="none" w:sz="0" w:space="0" w:color="auto"/>
      </w:divBdr>
    </w:div>
    <w:div w:id="220792788">
      <w:bodyDiv w:val="1"/>
      <w:marLeft w:val="0"/>
      <w:marRight w:val="0"/>
      <w:marTop w:val="0"/>
      <w:marBottom w:val="0"/>
      <w:divBdr>
        <w:top w:val="none" w:sz="0" w:space="0" w:color="auto"/>
        <w:left w:val="none" w:sz="0" w:space="0" w:color="auto"/>
        <w:bottom w:val="none" w:sz="0" w:space="0" w:color="auto"/>
        <w:right w:val="none" w:sz="0" w:space="0" w:color="auto"/>
      </w:divBdr>
    </w:div>
    <w:div w:id="224611064">
      <w:bodyDiv w:val="1"/>
      <w:marLeft w:val="0"/>
      <w:marRight w:val="0"/>
      <w:marTop w:val="0"/>
      <w:marBottom w:val="0"/>
      <w:divBdr>
        <w:top w:val="none" w:sz="0" w:space="0" w:color="auto"/>
        <w:left w:val="none" w:sz="0" w:space="0" w:color="auto"/>
        <w:bottom w:val="none" w:sz="0" w:space="0" w:color="auto"/>
        <w:right w:val="none" w:sz="0" w:space="0" w:color="auto"/>
      </w:divBdr>
    </w:div>
    <w:div w:id="231279912">
      <w:bodyDiv w:val="1"/>
      <w:marLeft w:val="0"/>
      <w:marRight w:val="0"/>
      <w:marTop w:val="0"/>
      <w:marBottom w:val="0"/>
      <w:divBdr>
        <w:top w:val="none" w:sz="0" w:space="0" w:color="auto"/>
        <w:left w:val="none" w:sz="0" w:space="0" w:color="auto"/>
        <w:bottom w:val="none" w:sz="0" w:space="0" w:color="auto"/>
        <w:right w:val="none" w:sz="0" w:space="0" w:color="auto"/>
      </w:divBdr>
    </w:div>
    <w:div w:id="231815199">
      <w:bodyDiv w:val="1"/>
      <w:marLeft w:val="0"/>
      <w:marRight w:val="0"/>
      <w:marTop w:val="0"/>
      <w:marBottom w:val="0"/>
      <w:divBdr>
        <w:top w:val="none" w:sz="0" w:space="0" w:color="auto"/>
        <w:left w:val="none" w:sz="0" w:space="0" w:color="auto"/>
        <w:bottom w:val="none" w:sz="0" w:space="0" w:color="auto"/>
        <w:right w:val="none" w:sz="0" w:space="0" w:color="auto"/>
      </w:divBdr>
    </w:div>
    <w:div w:id="233441735">
      <w:bodyDiv w:val="1"/>
      <w:marLeft w:val="0"/>
      <w:marRight w:val="0"/>
      <w:marTop w:val="0"/>
      <w:marBottom w:val="0"/>
      <w:divBdr>
        <w:top w:val="none" w:sz="0" w:space="0" w:color="auto"/>
        <w:left w:val="none" w:sz="0" w:space="0" w:color="auto"/>
        <w:bottom w:val="none" w:sz="0" w:space="0" w:color="auto"/>
        <w:right w:val="none" w:sz="0" w:space="0" w:color="auto"/>
      </w:divBdr>
    </w:div>
    <w:div w:id="235017036">
      <w:bodyDiv w:val="1"/>
      <w:marLeft w:val="0"/>
      <w:marRight w:val="0"/>
      <w:marTop w:val="0"/>
      <w:marBottom w:val="0"/>
      <w:divBdr>
        <w:top w:val="none" w:sz="0" w:space="0" w:color="auto"/>
        <w:left w:val="none" w:sz="0" w:space="0" w:color="auto"/>
        <w:bottom w:val="none" w:sz="0" w:space="0" w:color="auto"/>
        <w:right w:val="none" w:sz="0" w:space="0" w:color="auto"/>
      </w:divBdr>
    </w:div>
    <w:div w:id="235864833">
      <w:bodyDiv w:val="1"/>
      <w:marLeft w:val="0"/>
      <w:marRight w:val="0"/>
      <w:marTop w:val="0"/>
      <w:marBottom w:val="0"/>
      <w:divBdr>
        <w:top w:val="none" w:sz="0" w:space="0" w:color="auto"/>
        <w:left w:val="none" w:sz="0" w:space="0" w:color="auto"/>
        <w:bottom w:val="none" w:sz="0" w:space="0" w:color="auto"/>
        <w:right w:val="none" w:sz="0" w:space="0" w:color="auto"/>
      </w:divBdr>
    </w:div>
    <w:div w:id="238373744">
      <w:bodyDiv w:val="1"/>
      <w:marLeft w:val="0"/>
      <w:marRight w:val="0"/>
      <w:marTop w:val="0"/>
      <w:marBottom w:val="0"/>
      <w:divBdr>
        <w:top w:val="none" w:sz="0" w:space="0" w:color="auto"/>
        <w:left w:val="none" w:sz="0" w:space="0" w:color="auto"/>
        <w:bottom w:val="none" w:sz="0" w:space="0" w:color="auto"/>
        <w:right w:val="none" w:sz="0" w:space="0" w:color="auto"/>
      </w:divBdr>
    </w:div>
    <w:div w:id="244808016">
      <w:bodyDiv w:val="1"/>
      <w:marLeft w:val="0"/>
      <w:marRight w:val="0"/>
      <w:marTop w:val="0"/>
      <w:marBottom w:val="0"/>
      <w:divBdr>
        <w:top w:val="none" w:sz="0" w:space="0" w:color="auto"/>
        <w:left w:val="none" w:sz="0" w:space="0" w:color="auto"/>
        <w:bottom w:val="none" w:sz="0" w:space="0" w:color="auto"/>
        <w:right w:val="none" w:sz="0" w:space="0" w:color="auto"/>
      </w:divBdr>
      <w:divsChild>
        <w:div w:id="1942032327">
          <w:marLeft w:val="0"/>
          <w:marRight w:val="0"/>
          <w:marTop w:val="0"/>
          <w:marBottom w:val="0"/>
          <w:divBdr>
            <w:top w:val="none" w:sz="0" w:space="0" w:color="auto"/>
            <w:left w:val="none" w:sz="0" w:space="0" w:color="auto"/>
            <w:bottom w:val="none" w:sz="0" w:space="0" w:color="auto"/>
            <w:right w:val="none" w:sz="0" w:space="0" w:color="auto"/>
          </w:divBdr>
        </w:div>
        <w:div w:id="1518231279">
          <w:marLeft w:val="0"/>
          <w:marRight w:val="0"/>
          <w:marTop w:val="0"/>
          <w:marBottom w:val="0"/>
          <w:divBdr>
            <w:top w:val="none" w:sz="0" w:space="0" w:color="auto"/>
            <w:left w:val="none" w:sz="0" w:space="0" w:color="auto"/>
            <w:bottom w:val="none" w:sz="0" w:space="0" w:color="auto"/>
            <w:right w:val="none" w:sz="0" w:space="0" w:color="auto"/>
          </w:divBdr>
          <w:divsChild>
            <w:div w:id="287704891">
              <w:marLeft w:val="0"/>
              <w:marRight w:val="0"/>
              <w:marTop w:val="0"/>
              <w:marBottom w:val="0"/>
              <w:divBdr>
                <w:top w:val="none" w:sz="0" w:space="0" w:color="auto"/>
                <w:left w:val="none" w:sz="0" w:space="0" w:color="auto"/>
                <w:bottom w:val="none" w:sz="0" w:space="0" w:color="auto"/>
                <w:right w:val="none" w:sz="0" w:space="0" w:color="auto"/>
              </w:divBdr>
              <w:divsChild>
                <w:div w:id="162661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073735">
      <w:bodyDiv w:val="1"/>
      <w:marLeft w:val="0"/>
      <w:marRight w:val="0"/>
      <w:marTop w:val="0"/>
      <w:marBottom w:val="0"/>
      <w:divBdr>
        <w:top w:val="none" w:sz="0" w:space="0" w:color="auto"/>
        <w:left w:val="none" w:sz="0" w:space="0" w:color="auto"/>
        <w:bottom w:val="none" w:sz="0" w:space="0" w:color="auto"/>
        <w:right w:val="none" w:sz="0" w:space="0" w:color="auto"/>
      </w:divBdr>
    </w:div>
    <w:div w:id="266618758">
      <w:bodyDiv w:val="1"/>
      <w:marLeft w:val="0"/>
      <w:marRight w:val="0"/>
      <w:marTop w:val="0"/>
      <w:marBottom w:val="0"/>
      <w:divBdr>
        <w:top w:val="none" w:sz="0" w:space="0" w:color="auto"/>
        <w:left w:val="none" w:sz="0" w:space="0" w:color="auto"/>
        <w:bottom w:val="none" w:sz="0" w:space="0" w:color="auto"/>
        <w:right w:val="none" w:sz="0" w:space="0" w:color="auto"/>
      </w:divBdr>
    </w:div>
    <w:div w:id="271980141">
      <w:bodyDiv w:val="1"/>
      <w:marLeft w:val="0"/>
      <w:marRight w:val="0"/>
      <w:marTop w:val="0"/>
      <w:marBottom w:val="0"/>
      <w:divBdr>
        <w:top w:val="none" w:sz="0" w:space="0" w:color="auto"/>
        <w:left w:val="none" w:sz="0" w:space="0" w:color="auto"/>
        <w:bottom w:val="none" w:sz="0" w:space="0" w:color="auto"/>
        <w:right w:val="none" w:sz="0" w:space="0" w:color="auto"/>
      </w:divBdr>
    </w:div>
    <w:div w:id="274681859">
      <w:bodyDiv w:val="1"/>
      <w:marLeft w:val="0"/>
      <w:marRight w:val="0"/>
      <w:marTop w:val="0"/>
      <w:marBottom w:val="0"/>
      <w:divBdr>
        <w:top w:val="none" w:sz="0" w:space="0" w:color="auto"/>
        <w:left w:val="none" w:sz="0" w:space="0" w:color="auto"/>
        <w:bottom w:val="none" w:sz="0" w:space="0" w:color="auto"/>
        <w:right w:val="none" w:sz="0" w:space="0" w:color="auto"/>
      </w:divBdr>
    </w:div>
    <w:div w:id="284044050">
      <w:bodyDiv w:val="1"/>
      <w:marLeft w:val="0"/>
      <w:marRight w:val="0"/>
      <w:marTop w:val="0"/>
      <w:marBottom w:val="0"/>
      <w:divBdr>
        <w:top w:val="none" w:sz="0" w:space="0" w:color="auto"/>
        <w:left w:val="none" w:sz="0" w:space="0" w:color="auto"/>
        <w:bottom w:val="none" w:sz="0" w:space="0" w:color="auto"/>
        <w:right w:val="none" w:sz="0" w:space="0" w:color="auto"/>
      </w:divBdr>
    </w:div>
    <w:div w:id="287703869">
      <w:bodyDiv w:val="1"/>
      <w:marLeft w:val="0"/>
      <w:marRight w:val="0"/>
      <w:marTop w:val="0"/>
      <w:marBottom w:val="0"/>
      <w:divBdr>
        <w:top w:val="none" w:sz="0" w:space="0" w:color="auto"/>
        <w:left w:val="none" w:sz="0" w:space="0" w:color="auto"/>
        <w:bottom w:val="none" w:sz="0" w:space="0" w:color="auto"/>
        <w:right w:val="none" w:sz="0" w:space="0" w:color="auto"/>
      </w:divBdr>
    </w:div>
    <w:div w:id="289629793">
      <w:bodyDiv w:val="1"/>
      <w:marLeft w:val="0"/>
      <w:marRight w:val="0"/>
      <w:marTop w:val="0"/>
      <w:marBottom w:val="0"/>
      <w:divBdr>
        <w:top w:val="none" w:sz="0" w:space="0" w:color="auto"/>
        <w:left w:val="none" w:sz="0" w:space="0" w:color="auto"/>
        <w:bottom w:val="none" w:sz="0" w:space="0" w:color="auto"/>
        <w:right w:val="none" w:sz="0" w:space="0" w:color="auto"/>
      </w:divBdr>
      <w:divsChild>
        <w:div w:id="969170244">
          <w:marLeft w:val="0"/>
          <w:marRight w:val="0"/>
          <w:marTop w:val="0"/>
          <w:marBottom w:val="0"/>
          <w:divBdr>
            <w:top w:val="none" w:sz="0" w:space="0" w:color="auto"/>
            <w:left w:val="none" w:sz="0" w:space="0" w:color="auto"/>
            <w:bottom w:val="none" w:sz="0" w:space="0" w:color="auto"/>
            <w:right w:val="none" w:sz="0" w:space="0" w:color="auto"/>
          </w:divBdr>
        </w:div>
        <w:div w:id="1121610744">
          <w:marLeft w:val="0"/>
          <w:marRight w:val="0"/>
          <w:marTop w:val="0"/>
          <w:marBottom w:val="0"/>
          <w:divBdr>
            <w:top w:val="none" w:sz="0" w:space="0" w:color="auto"/>
            <w:left w:val="none" w:sz="0" w:space="0" w:color="auto"/>
            <w:bottom w:val="none" w:sz="0" w:space="0" w:color="auto"/>
            <w:right w:val="none" w:sz="0" w:space="0" w:color="auto"/>
          </w:divBdr>
        </w:div>
        <w:div w:id="1479030387">
          <w:marLeft w:val="0"/>
          <w:marRight w:val="0"/>
          <w:marTop w:val="0"/>
          <w:marBottom w:val="0"/>
          <w:divBdr>
            <w:top w:val="none" w:sz="0" w:space="0" w:color="auto"/>
            <w:left w:val="none" w:sz="0" w:space="0" w:color="auto"/>
            <w:bottom w:val="none" w:sz="0" w:space="0" w:color="auto"/>
            <w:right w:val="none" w:sz="0" w:space="0" w:color="auto"/>
          </w:divBdr>
        </w:div>
        <w:div w:id="1881163479">
          <w:marLeft w:val="0"/>
          <w:marRight w:val="0"/>
          <w:marTop w:val="0"/>
          <w:marBottom w:val="0"/>
          <w:divBdr>
            <w:top w:val="none" w:sz="0" w:space="0" w:color="auto"/>
            <w:left w:val="none" w:sz="0" w:space="0" w:color="auto"/>
            <w:bottom w:val="none" w:sz="0" w:space="0" w:color="auto"/>
            <w:right w:val="none" w:sz="0" w:space="0" w:color="auto"/>
          </w:divBdr>
        </w:div>
      </w:divsChild>
    </w:div>
    <w:div w:id="292558560">
      <w:bodyDiv w:val="1"/>
      <w:marLeft w:val="0"/>
      <w:marRight w:val="0"/>
      <w:marTop w:val="0"/>
      <w:marBottom w:val="0"/>
      <w:divBdr>
        <w:top w:val="none" w:sz="0" w:space="0" w:color="auto"/>
        <w:left w:val="none" w:sz="0" w:space="0" w:color="auto"/>
        <w:bottom w:val="none" w:sz="0" w:space="0" w:color="auto"/>
        <w:right w:val="none" w:sz="0" w:space="0" w:color="auto"/>
      </w:divBdr>
      <w:divsChild>
        <w:div w:id="1014504050">
          <w:marLeft w:val="0"/>
          <w:marRight w:val="0"/>
          <w:marTop w:val="15"/>
          <w:marBottom w:val="0"/>
          <w:divBdr>
            <w:top w:val="none" w:sz="0" w:space="0" w:color="auto"/>
            <w:left w:val="none" w:sz="0" w:space="0" w:color="auto"/>
            <w:bottom w:val="none" w:sz="0" w:space="0" w:color="auto"/>
            <w:right w:val="none" w:sz="0" w:space="0" w:color="auto"/>
          </w:divBdr>
          <w:divsChild>
            <w:div w:id="832337499">
              <w:marLeft w:val="0"/>
              <w:marRight w:val="0"/>
              <w:marTop w:val="0"/>
              <w:marBottom w:val="0"/>
              <w:divBdr>
                <w:top w:val="none" w:sz="0" w:space="0" w:color="auto"/>
                <w:left w:val="none" w:sz="0" w:space="0" w:color="auto"/>
                <w:bottom w:val="none" w:sz="0" w:space="0" w:color="auto"/>
                <w:right w:val="none" w:sz="0" w:space="0" w:color="auto"/>
              </w:divBdr>
              <w:divsChild>
                <w:div w:id="142934389">
                  <w:marLeft w:val="0"/>
                  <w:marRight w:val="0"/>
                  <w:marTop w:val="0"/>
                  <w:marBottom w:val="0"/>
                  <w:divBdr>
                    <w:top w:val="none" w:sz="0" w:space="0" w:color="auto"/>
                    <w:left w:val="none" w:sz="0" w:space="0" w:color="auto"/>
                    <w:bottom w:val="none" w:sz="0" w:space="0" w:color="auto"/>
                    <w:right w:val="none" w:sz="0" w:space="0" w:color="auto"/>
                  </w:divBdr>
                </w:div>
                <w:div w:id="1651442000">
                  <w:marLeft w:val="0"/>
                  <w:marRight w:val="0"/>
                  <w:marTop w:val="0"/>
                  <w:marBottom w:val="0"/>
                  <w:divBdr>
                    <w:top w:val="none" w:sz="0" w:space="0" w:color="auto"/>
                    <w:left w:val="none" w:sz="0" w:space="0" w:color="auto"/>
                    <w:bottom w:val="none" w:sz="0" w:space="0" w:color="auto"/>
                    <w:right w:val="none" w:sz="0" w:space="0" w:color="auto"/>
                  </w:divBdr>
                </w:div>
                <w:div w:id="1965385126">
                  <w:marLeft w:val="0"/>
                  <w:marRight w:val="0"/>
                  <w:marTop w:val="0"/>
                  <w:marBottom w:val="0"/>
                  <w:divBdr>
                    <w:top w:val="none" w:sz="0" w:space="0" w:color="auto"/>
                    <w:left w:val="none" w:sz="0" w:space="0" w:color="auto"/>
                    <w:bottom w:val="none" w:sz="0" w:space="0" w:color="auto"/>
                    <w:right w:val="none" w:sz="0" w:space="0" w:color="auto"/>
                  </w:divBdr>
                </w:div>
                <w:div w:id="1232228302">
                  <w:marLeft w:val="0"/>
                  <w:marRight w:val="0"/>
                  <w:marTop w:val="0"/>
                  <w:marBottom w:val="0"/>
                  <w:divBdr>
                    <w:top w:val="none" w:sz="0" w:space="0" w:color="auto"/>
                    <w:left w:val="none" w:sz="0" w:space="0" w:color="auto"/>
                    <w:bottom w:val="none" w:sz="0" w:space="0" w:color="auto"/>
                    <w:right w:val="none" w:sz="0" w:space="0" w:color="auto"/>
                  </w:divBdr>
                </w:div>
                <w:div w:id="87577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604049">
          <w:marLeft w:val="0"/>
          <w:marRight w:val="0"/>
          <w:marTop w:val="15"/>
          <w:marBottom w:val="0"/>
          <w:divBdr>
            <w:top w:val="none" w:sz="0" w:space="0" w:color="auto"/>
            <w:left w:val="none" w:sz="0" w:space="0" w:color="auto"/>
            <w:bottom w:val="none" w:sz="0" w:space="0" w:color="auto"/>
            <w:right w:val="none" w:sz="0" w:space="0" w:color="auto"/>
          </w:divBdr>
          <w:divsChild>
            <w:div w:id="2140368810">
              <w:marLeft w:val="0"/>
              <w:marRight w:val="0"/>
              <w:marTop w:val="0"/>
              <w:marBottom w:val="0"/>
              <w:divBdr>
                <w:top w:val="none" w:sz="0" w:space="0" w:color="auto"/>
                <w:left w:val="none" w:sz="0" w:space="0" w:color="auto"/>
                <w:bottom w:val="none" w:sz="0" w:space="0" w:color="auto"/>
                <w:right w:val="none" w:sz="0" w:space="0" w:color="auto"/>
              </w:divBdr>
              <w:divsChild>
                <w:div w:id="22907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754551">
      <w:bodyDiv w:val="1"/>
      <w:marLeft w:val="0"/>
      <w:marRight w:val="0"/>
      <w:marTop w:val="0"/>
      <w:marBottom w:val="0"/>
      <w:divBdr>
        <w:top w:val="none" w:sz="0" w:space="0" w:color="auto"/>
        <w:left w:val="none" w:sz="0" w:space="0" w:color="auto"/>
        <w:bottom w:val="none" w:sz="0" w:space="0" w:color="auto"/>
        <w:right w:val="none" w:sz="0" w:space="0" w:color="auto"/>
      </w:divBdr>
      <w:divsChild>
        <w:div w:id="1660690898">
          <w:marLeft w:val="0"/>
          <w:marRight w:val="0"/>
          <w:marTop w:val="0"/>
          <w:marBottom w:val="0"/>
          <w:divBdr>
            <w:top w:val="none" w:sz="0" w:space="0" w:color="auto"/>
            <w:left w:val="none" w:sz="0" w:space="0" w:color="auto"/>
            <w:bottom w:val="none" w:sz="0" w:space="0" w:color="auto"/>
            <w:right w:val="none" w:sz="0" w:space="0" w:color="auto"/>
          </w:divBdr>
        </w:div>
      </w:divsChild>
    </w:div>
    <w:div w:id="298387686">
      <w:bodyDiv w:val="1"/>
      <w:marLeft w:val="0"/>
      <w:marRight w:val="0"/>
      <w:marTop w:val="0"/>
      <w:marBottom w:val="0"/>
      <w:divBdr>
        <w:top w:val="none" w:sz="0" w:space="0" w:color="auto"/>
        <w:left w:val="none" w:sz="0" w:space="0" w:color="auto"/>
        <w:bottom w:val="none" w:sz="0" w:space="0" w:color="auto"/>
        <w:right w:val="none" w:sz="0" w:space="0" w:color="auto"/>
      </w:divBdr>
    </w:div>
    <w:div w:id="304435309">
      <w:bodyDiv w:val="1"/>
      <w:marLeft w:val="0"/>
      <w:marRight w:val="0"/>
      <w:marTop w:val="0"/>
      <w:marBottom w:val="0"/>
      <w:divBdr>
        <w:top w:val="none" w:sz="0" w:space="0" w:color="auto"/>
        <w:left w:val="none" w:sz="0" w:space="0" w:color="auto"/>
        <w:bottom w:val="none" w:sz="0" w:space="0" w:color="auto"/>
        <w:right w:val="none" w:sz="0" w:space="0" w:color="auto"/>
      </w:divBdr>
    </w:div>
    <w:div w:id="305667258">
      <w:bodyDiv w:val="1"/>
      <w:marLeft w:val="0"/>
      <w:marRight w:val="0"/>
      <w:marTop w:val="0"/>
      <w:marBottom w:val="0"/>
      <w:divBdr>
        <w:top w:val="none" w:sz="0" w:space="0" w:color="auto"/>
        <w:left w:val="none" w:sz="0" w:space="0" w:color="auto"/>
        <w:bottom w:val="none" w:sz="0" w:space="0" w:color="auto"/>
        <w:right w:val="none" w:sz="0" w:space="0" w:color="auto"/>
      </w:divBdr>
    </w:div>
    <w:div w:id="307367007">
      <w:bodyDiv w:val="1"/>
      <w:marLeft w:val="0"/>
      <w:marRight w:val="0"/>
      <w:marTop w:val="0"/>
      <w:marBottom w:val="0"/>
      <w:divBdr>
        <w:top w:val="none" w:sz="0" w:space="0" w:color="auto"/>
        <w:left w:val="none" w:sz="0" w:space="0" w:color="auto"/>
        <w:bottom w:val="none" w:sz="0" w:space="0" w:color="auto"/>
        <w:right w:val="none" w:sz="0" w:space="0" w:color="auto"/>
      </w:divBdr>
    </w:div>
    <w:div w:id="313142992">
      <w:bodyDiv w:val="1"/>
      <w:marLeft w:val="0"/>
      <w:marRight w:val="0"/>
      <w:marTop w:val="0"/>
      <w:marBottom w:val="0"/>
      <w:divBdr>
        <w:top w:val="none" w:sz="0" w:space="0" w:color="auto"/>
        <w:left w:val="none" w:sz="0" w:space="0" w:color="auto"/>
        <w:bottom w:val="none" w:sz="0" w:space="0" w:color="auto"/>
        <w:right w:val="none" w:sz="0" w:space="0" w:color="auto"/>
      </w:divBdr>
    </w:div>
    <w:div w:id="314839537">
      <w:bodyDiv w:val="1"/>
      <w:marLeft w:val="0"/>
      <w:marRight w:val="0"/>
      <w:marTop w:val="0"/>
      <w:marBottom w:val="0"/>
      <w:divBdr>
        <w:top w:val="none" w:sz="0" w:space="0" w:color="auto"/>
        <w:left w:val="none" w:sz="0" w:space="0" w:color="auto"/>
        <w:bottom w:val="none" w:sz="0" w:space="0" w:color="auto"/>
        <w:right w:val="none" w:sz="0" w:space="0" w:color="auto"/>
      </w:divBdr>
    </w:div>
    <w:div w:id="317464358">
      <w:bodyDiv w:val="1"/>
      <w:marLeft w:val="0"/>
      <w:marRight w:val="0"/>
      <w:marTop w:val="0"/>
      <w:marBottom w:val="0"/>
      <w:divBdr>
        <w:top w:val="none" w:sz="0" w:space="0" w:color="auto"/>
        <w:left w:val="none" w:sz="0" w:space="0" w:color="auto"/>
        <w:bottom w:val="none" w:sz="0" w:space="0" w:color="auto"/>
        <w:right w:val="none" w:sz="0" w:space="0" w:color="auto"/>
      </w:divBdr>
    </w:div>
    <w:div w:id="319845794">
      <w:bodyDiv w:val="1"/>
      <w:marLeft w:val="0"/>
      <w:marRight w:val="0"/>
      <w:marTop w:val="0"/>
      <w:marBottom w:val="0"/>
      <w:divBdr>
        <w:top w:val="none" w:sz="0" w:space="0" w:color="auto"/>
        <w:left w:val="none" w:sz="0" w:space="0" w:color="auto"/>
        <w:bottom w:val="none" w:sz="0" w:space="0" w:color="auto"/>
        <w:right w:val="none" w:sz="0" w:space="0" w:color="auto"/>
      </w:divBdr>
    </w:div>
    <w:div w:id="321545706">
      <w:bodyDiv w:val="1"/>
      <w:marLeft w:val="0"/>
      <w:marRight w:val="0"/>
      <w:marTop w:val="0"/>
      <w:marBottom w:val="0"/>
      <w:divBdr>
        <w:top w:val="none" w:sz="0" w:space="0" w:color="auto"/>
        <w:left w:val="none" w:sz="0" w:space="0" w:color="auto"/>
        <w:bottom w:val="none" w:sz="0" w:space="0" w:color="auto"/>
        <w:right w:val="none" w:sz="0" w:space="0" w:color="auto"/>
      </w:divBdr>
    </w:div>
    <w:div w:id="324482857">
      <w:bodyDiv w:val="1"/>
      <w:marLeft w:val="0"/>
      <w:marRight w:val="0"/>
      <w:marTop w:val="0"/>
      <w:marBottom w:val="0"/>
      <w:divBdr>
        <w:top w:val="none" w:sz="0" w:space="0" w:color="auto"/>
        <w:left w:val="none" w:sz="0" w:space="0" w:color="auto"/>
        <w:bottom w:val="none" w:sz="0" w:space="0" w:color="auto"/>
        <w:right w:val="none" w:sz="0" w:space="0" w:color="auto"/>
      </w:divBdr>
    </w:div>
    <w:div w:id="328218394">
      <w:bodyDiv w:val="1"/>
      <w:marLeft w:val="0"/>
      <w:marRight w:val="0"/>
      <w:marTop w:val="0"/>
      <w:marBottom w:val="0"/>
      <w:divBdr>
        <w:top w:val="none" w:sz="0" w:space="0" w:color="auto"/>
        <w:left w:val="none" w:sz="0" w:space="0" w:color="auto"/>
        <w:bottom w:val="none" w:sz="0" w:space="0" w:color="auto"/>
        <w:right w:val="none" w:sz="0" w:space="0" w:color="auto"/>
      </w:divBdr>
    </w:div>
    <w:div w:id="330375759">
      <w:bodyDiv w:val="1"/>
      <w:marLeft w:val="0"/>
      <w:marRight w:val="0"/>
      <w:marTop w:val="0"/>
      <w:marBottom w:val="0"/>
      <w:divBdr>
        <w:top w:val="none" w:sz="0" w:space="0" w:color="auto"/>
        <w:left w:val="none" w:sz="0" w:space="0" w:color="auto"/>
        <w:bottom w:val="none" w:sz="0" w:space="0" w:color="auto"/>
        <w:right w:val="none" w:sz="0" w:space="0" w:color="auto"/>
      </w:divBdr>
    </w:div>
    <w:div w:id="332924186">
      <w:bodyDiv w:val="1"/>
      <w:marLeft w:val="0"/>
      <w:marRight w:val="0"/>
      <w:marTop w:val="0"/>
      <w:marBottom w:val="0"/>
      <w:divBdr>
        <w:top w:val="none" w:sz="0" w:space="0" w:color="auto"/>
        <w:left w:val="none" w:sz="0" w:space="0" w:color="auto"/>
        <w:bottom w:val="none" w:sz="0" w:space="0" w:color="auto"/>
        <w:right w:val="none" w:sz="0" w:space="0" w:color="auto"/>
      </w:divBdr>
    </w:div>
    <w:div w:id="335108927">
      <w:bodyDiv w:val="1"/>
      <w:marLeft w:val="0"/>
      <w:marRight w:val="0"/>
      <w:marTop w:val="0"/>
      <w:marBottom w:val="0"/>
      <w:divBdr>
        <w:top w:val="none" w:sz="0" w:space="0" w:color="auto"/>
        <w:left w:val="none" w:sz="0" w:space="0" w:color="auto"/>
        <w:bottom w:val="none" w:sz="0" w:space="0" w:color="auto"/>
        <w:right w:val="none" w:sz="0" w:space="0" w:color="auto"/>
      </w:divBdr>
    </w:div>
    <w:div w:id="337080708">
      <w:bodyDiv w:val="1"/>
      <w:marLeft w:val="0"/>
      <w:marRight w:val="0"/>
      <w:marTop w:val="0"/>
      <w:marBottom w:val="0"/>
      <w:divBdr>
        <w:top w:val="none" w:sz="0" w:space="0" w:color="auto"/>
        <w:left w:val="none" w:sz="0" w:space="0" w:color="auto"/>
        <w:bottom w:val="none" w:sz="0" w:space="0" w:color="auto"/>
        <w:right w:val="none" w:sz="0" w:space="0" w:color="auto"/>
      </w:divBdr>
    </w:div>
    <w:div w:id="340667333">
      <w:bodyDiv w:val="1"/>
      <w:marLeft w:val="0"/>
      <w:marRight w:val="0"/>
      <w:marTop w:val="0"/>
      <w:marBottom w:val="0"/>
      <w:divBdr>
        <w:top w:val="none" w:sz="0" w:space="0" w:color="auto"/>
        <w:left w:val="none" w:sz="0" w:space="0" w:color="auto"/>
        <w:bottom w:val="none" w:sz="0" w:space="0" w:color="auto"/>
        <w:right w:val="none" w:sz="0" w:space="0" w:color="auto"/>
      </w:divBdr>
      <w:divsChild>
        <w:div w:id="2005357222">
          <w:marLeft w:val="0"/>
          <w:marRight w:val="0"/>
          <w:marTop w:val="0"/>
          <w:marBottom w:val="0"/>
          <w:divBdr>
            <w:top w:val="none" w:sz="0" w:space="0" w:color="auto"/>
            <w:left w:val="none" w:sz="0" w:space="0" w:color="auto"/>
            <w:bottom w:val="none" w:sz="0" w:space="0" w:color="auto"/>
            <w:right w:val="none" w:sz="0" w:space="0" w:color="auto"/>
          </w:divBdr>
          <w:divsChild>
            <w:div w:id="801192617">
              <w:marLeft w:val="0"/>
              <w:marRight w:val="0"/>
              <w:marTop w:val="0"/>
              <w:marBottom w:val="0"/>
              <w:divBdr>
                <w:top w:val="none" w:sz="0" w:space="0" w:color="auto"/>
                <w:left w:val="none" w:sz="0" w:space="0" w:color="auto"/>
                <w:bottom w:val="none" w:sz="0" w:space="0" w:color="auto"/>
                <w:right w:val="none" w:sz="0" w:space="0" w:color="auto"/>
              </w:divBdr>
              <w:divsChild>
                <w:div w:id="1067848533">
                  <w:marLeft w:val="0"/>
                  <w:marRight w:val="0"/>
                  <w:marTop w:val="0"/>
                  <w:marBottom w:val="0"/>
                  <w:divBdr>
                    <w:top w:val="none" w:sz="0" w:space="0" w:color="auto"/>
                    <w:left w:val="none" w:sz="0" w:space="0" w:color="auto"/>
                    <w:bottom w:val="none" w:sz="0" w:space="0" w:color="auto"/>
                    <w:right w:val="none" w:sz="0" w:space="0" w:color="auto"/>
                  </w:divBdr>
                  <w:divsChild>
                    <w:div w:id="588588077">
                      <w:marLeft w:val="-15"/>
                      <w:marRight w:val="0"/>
                      <w:marTop w:val="0"/>
                      <w:marBottom w:val="0"/>
                      <w:divBdr>
                        <w:top w:val="none" w:sz="0" w:space="0" w:color="auto"/>
                        <w:left w:val="none" w:sz="0" w:space="0" w:color="auto"/>
                        <w:bottom w:val="none" w:sz="0" w:space="0" w:color="auto"/>
                        <w:right w:val="none" w:sz="0" w:space="0" w:color="auto"/>
                      </w:divBdr>
                      <w:divsChild>
                        <w:div w:id="1374306690">
                          <w:marLeft w:val="0"/>
                          <w:marRight w:val="30"/>
                          <w:marTop w:val="45"/>
                          <w:marBottom w:val="60"/>
                          <w:divBdr>
                            <w:top w:val="none" w:sz="0" w:space="0" w:color="auto"/>
                            <w:left w:val="none" w:sz="0" w:space="0" w:color="auto"/>
                            <w:bottom w:val="none" w:sz="0" w:space="0" w:color="auto"/>
                            <w:right w:val="none" w:sz="0" w:space="0" w:color="auto"/>
                          </w:divBdr>
                        </w:div>
                      </w:divsChild>
                    </w:div>
                    <w:div w:id="948045099">
                      <w:marLeft w:val="0"/>
                      <w:marRight w:val="0"/>
                      <w:marTop w:val="0"/>
                      <w:marBottom w:val="0"/>
                      <w:divBdr>
                        <w:top w:val="none" w:sz="0" w:space="0" w:color="auto"/>
                        <w:left w:val="none" w:sz="0" w:space="0" w:color="auto"/>
                        <w:bottom w:val="none" w:sz="0" w:space="0" w:color="auto"/>
                        <w:right w:val="none" w:sz="0" w:space="0" w:color="auto"/>
                      </w:divBdr>
                      <w:divsChild>
                        <w:div w:id="165032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128897">
          <w:marLeft w:val="0"/>
          <w:marRight w:val="0"/>
          <w:marTop w:val="0"/>
          <w:marBottom w:val="0"/>
          <w:divBdr>
            <w:top w:val="none" w:sz="0" w:space="0" w:color="auto"/>
            <w:left w:val="none" w:sz="0" w:space="0" w:color="auto"/>
            <w:bottom w:val="none" w:sz="0" w:space="0" w:color="auto"/>
            <w:right w:val="none" w:sz="0" w:space="0" w:color="auto"/>
          </w:divBdr>
          <w:divsChild>
            <w:div w:id="1847743689">
              <w:marLeft w:val="0"/>
              <w:marRight w:val="0"/>
              <w:marTop w:val="0"/>
              <w:marBottom w:val="0"/>
              <w:divBdr>
                <w:top w:val="none" w:sz="0" w:space="0" w:color="auto"/>
                <w:left w:val="none" w:sz="0" w:space="0" w:color="auto"/>
                <w:bottom w:val="none" w:sz="0" w:space="0" w:color="auto"/>
                <w:right w:val="none" w:sz="0" w:space="0" w:color="auto"/>
              </w:divBdr>
              <w:divsChild>
                <w:div w:id="789977494">
                  <w:marLeft w:val="0"/>
                  <w:marRight w:val="0"/>
                  <w:marTop w:val="15"/>
                  <w:marBottom w:val="0"/>
                  <w:divBdr>
                    <w:top w:val="none" w:sz="0" w:space="0" w:color="auto"/>
                    <w:left w:val="none" w:sz="0" w:space="0" w:color="auto"/>
                    <w:bottom w:val="none" w:sz="0" w:space="0" w:color="auto"/>
                    <w:right w:val="none" w:sz="0" w:space="0" w:color="auto"/>
                  </w:divBdr>
                  <w:divsChild>
                    <w:div w:id="677730455">
                      <w:marLeft w:val="0"/>
                      <w:marRight w:val="0"/>
                      <w:marTop w:val="0"/>
                      <w:marBottom w:val="0"/>
                      <w:divBdr>
                        <w:top w:val="none" w:sz="0" w:space="0" w:color="auto"/>
                        <w:left w:val="none" w:sz="0" w:space="0" w:color="auto"/>
                        <w:bottom w:val="none" w:sz="0" w:space="0" w:color="auto"/>
                        <w:right w:val="none" w:sz="0" w:space="0" w:color="auto"/>
                      </w:divBdr>
                      <w:divsChild>
                        <w:div w:id="937061378">
                          <w:marLeft w:val="0"/>
                          <w:marRight w:val="0"/>
                          <w:marTop w:val="0"/>
                          <w:marBottom w:val="0"/>
                          <w:divBdr>
                            <w:top w:val="none" w:sz="0" w:space="0" w:color="auto"/>
                            <w:left w:val="none" w:sz="0" w:space="0" w:color="auto"/>
                            <w:bottom w:val="none" w:sz="0" w:space="0" w:color="auto"/>
                            <w:right w:val="none" w:sz="0" w:space="0" w:color="auto"/>
                          </w:divBdr>
                        </w:div>
                        <w:div w:id="822238447">
                          <w:marLeft w:val="0"/>
                          <w:marRight w:val="0"/>
                          <w:marTop w:val="0"/>
                          <w:marBottom w:val="0"/>
                          <w:divBdr>
                            <w:top w:val="none" w:sz="0" w:space="0" w:color="auto"/>
                            <w:left w:val="none" w:sz="0" w:space="0" w:color="auto"/>
                            <w:bottom w:val="none" w:sz="0" w:space="0" w:color="auto"/>
                            <w:right w:val="none" w:sz="0" w:space="0" w:color="auto"/>
                          </w:divBdr>
                        </w:div>
                        <w:div w:id="1465005509">
                          <w:marLeft w:val="0"/>
                          <w:marRight w:val="0"/>
                          <w:marTop w:val="0"/>
                          <w:marBottom w:val="0"/>
                          <w:divBdr>
                            <w:top w:val="none" w:sz="0" w:space="0" w:color="auto"/>
                            <w:left w:val="none" w:sz="0" w:space="0" w:color="auto"/>
                            <w:bottom w:val="none" w:sz="0" w:space="0" w:color="auto"/>
                            <w:right w:val="none" w:sz="0" w:space="0" w:color="auto"/>
                          </w:divBdr>
                        </w:div>
                        <w:div w:id="1575165882">
                          <w:marLeft w:val="0"/>
                          <w:marRight w:val="0"/>
                          <w:marTop w:val="0"/>
                          <w:marBottom w:val="0"/>
                          <w:divBdr>
                            <w:top w:val="none" w:sz="0" w:space="0" w:color="auto"/>
                            <w:left w:val="none" w:sz="0" w:space="0" w:color="auto"/>
                            <w:bottom w:val="none" w:sz="0" w:space="0" w:color="auto"/>
                            <w:right w:val="none" w:sz="0" w:space="0" w:color="auto"/>
                          </w:divBdr>
                        </w:div>
                        <w:div w:id="923999382">
                          <w:marLeft w:val="0"/>
                          <w:marRight w:val="0"/>
                          <w:marTop w:val="0"/>
                          <w:marBottom w:val="0"/>
                          <w:divBdr>
                            <w:top w:val="none" w:sz="0" w:space="0" w:color="auto"/>
                            <w:left w:val="none" w:sz="0" w:space="0" w:color="auto"/>
                            <w:bottom w:val="none" w:sz="0" w:space="0" w:color="auto"/>
                            <w:right w:val="none" w:sz="0" w:space="0" w:color="auto"/>
                          </w:divBdr>
                        </w:div>
                        <w:div w:id="747577598">
                          <w:marLeft w:val="0"/>
                          <w:marRight w:val="0"/>
                          <w:marTop w:val="0"/>
                          <w:marBottom w:val="0"/>
                          <w:divBdr>
                            <w:top w:val="none" w:sz="0" w:space="0" w:color="auto"/>
                            <w:left w:val="none" w:sz="0" w:space="0" w:color="auto"/>
                            <w:bottom w:val="none" w:sz="0" w:space="0" w:color="auto"/>
                            <w:right w:val="none" w:sz="0" w:space="0" w:color="auto"/>
                          </w:divBdr>
                        </w:div>
                        <w:div w:id="797407157">
                          <w:marLeft w:val="0"/>
                          <w:marRight w:val="0"/>
                          <w:marTop w:val="0"/>
                          <w:marBottom w:val="0"/>
                          <w:divBdr>
                            <w:top w:val="none" w:sz="0" w:space="0" w:color="auto"/>
                            <w:left w:val="none" w:sz="0" w:space="0" w:color="auto"/>
                            <w:bottom w:val="none" w:sz="0" w:space="0" w:color="auto"/>
                            <w:right w:val="none" w:sz="0" w:space="0" w:color="auto"/>
                          </w:divBdr>
                        </w:div>
                        <w:div w:id="319970994">
                          <w:marLeft w:val="0"/>
                          <w:marRight w:val="0"/>
                          <w:marTop w:val="0"/>
                          <w:marBottom w:val="0"/>
                          <w:divBdr>
                            <w:top w:val="none" w:sz="0" w:space="0" w:color="auto"/>
                            <w:left w:val="none" w:sz="0" w:space="0" w:color="auto"/>
                            <w:bottom w:val="none" w:sz="0" w:space="0" w:color="auto"/>
                            <w:right w:val="none" w:sz="0" w:space="0" w:color="auto"/>
                          </w:divBdr>
                        </w:div>
                        <w:div w:id="1799839688">
                          <w:marLeft w:val="0"/>
                          <w:marRight w:val="0"/>
                          <w:marTop w:val="0"/>
                          <w:marBottom w:val="0"/>
                          <w:divBdr>
                            <w:top w:val="none" w:sz="0" w:space="0" w:color="auto"/>
                            <w:left w:val="none" w:sz="0" w:space="0" w:color="auto"/>
                            <w:bottom w:val="none" w:sz="0" w:space="0" w:color="auto"/>
                            <w:right w:val="none" w:sz="0" w:space="0" w:color="auto"/>
                          </w:divBdr>
                        </w:div>
                        <w:div w:id="247347765">
                          <w:marLeft w:val="0"/>
                          <w:marRight w:val="0"/>
                          <w:marTop w:val="0"/>
                          <w:marBottom w:val="0"/>
                          <w:divBdr>
                            <w:top w:val="none" w:sz="0" w:space="0" w:color="auto"/>
                            <w:left w:val="none" w:sz="0" w:space="0" w:color="auto"/>
                            <w:bottom w:val="none" w:sz="0" w:space="0" w:color="auto"/>
                            <w:right w:val="none" w:sz="0" w:space="0" w:color="auto"/>
                          </w:divBdr>
                        </w:div>
                        <w:div w:id="470753904">
                          <w:marLeft w:val="0"/>
                          <w:marRight w:val="0"/>
                          <w:marTop w:val="0"/>
                          <w:marBottom w:val="0"/>
                          <w:divBdr>
                            <w:top w:val="none" w:sz="0" w:space="0" w:color="auto"/>
                            <w:left w:val="none" w:sz="0" w:space="0" w:color="auto"/>
                            <w:bottom w:val="none" w:sz="0" w:space="0" w:color="auto"/>
                            <w:right w:val="none" w:sz="0" w:space="0" w:color="auto"/>
                          </w:divBdr>
                        </w:div>
                        <w:div w:id="587422974">
                          <w:marLeft w:val="0"/>
                          <w:marRight w:val="0"/>
                          <w:marTop w:val="0"/>
                          <w:marBottom w:val="0"/>
                          <w:divBdr>
                            <w:top w:val="none" w:sz="0" w:space="0" w:color="auto"/>
                            <w:left w:val="none" w:sz="0" w:space="0" w:color="auto"/>
                            <w:bottom w:val="none" w:sz="0" w:space="0" w:color="auto"/>
                            <w:right w:val="none" w:sz="0" w:space="0" w:color="auto"/>
                          </w:divBdr>
                        </w:div>
                        <w:div w:id="423303602">
                          <w:marLeft w:val="0"/>
                          <w:marRight w:val="0"/>
                          <w:marTop w:val="0"/>
                          <w:marBottom w:val="0"/>
                          <w:divBdr>
                            <w:top w:val="none" w:sz="0" w:space="0" w:color="auto"/>
                            <w:left w:val="none" w:sz="0" w:space="0" w:color="auto"/>
                            <w:bottom w:val="none" w:sz="0" w:space="0" w:color="auto"/>
                            <w:right w:val="none" w:sz="0" w:space="0" w:color="auto"/>
                          </w:divBdr>
                        </w:div>
                        <w:div w:id="1238713564">
                          <w:marLeft w:val="0"/>
                          <w:marRight w:val="0"/>
                          <w:marTop w:val="0"/>
                          <w:marBottom w:val="0"/>
                          <w:divBdr>
                            <w:top w:val="none" w:sz="0" w:space="0" w:color="auto"/>
                            <w:left w:val="none" w:sz="0" w:space="0" w:color="auto"/>
                            <w:bottom w:val="none" w:sz="0" w:space="0" w:color="auto"/>
                            <w:right w:val="none" w:sz="0" w:space="0" w:color="auto"/>
                          </w:divBdr>
                        </w:div>
                        <w:div w:id="1345398995">
                          <w:marLeft w:val="0"/>
                          <w:marRight w:val="0"/>
                          <w:marTop w:val="0"/>
                          <w:marBottom w:val="0"/>
                          <w:divBdr>
                            <w:top w:val="none" w:sz="0" w:space="0" w:color="auto"/>
                            <w:left w:val="none" w:sz="0" w:space="0" w:color="auto"/>
                            <w:bottom w:val="none" w:sz="0" w:space="0" w:color="auto"/>
                            <w:right w:val="none" w:sz="0" w:space="0" w:color="auto"/>
                          </w:divBdr>
                        </w:div>
                        <w:div w:id="1137993394">
                          <w:marLeft w:val="0"/>
                          <w:marRight w:val="0"/>
                          <w:marTop w:val="0"/>
                          <w:marBottom w:val="0"/>
                          <w:divBdr>
                            <w:top w:val="none" w:sz="0" w:space="0" w:color="auto"/>
                            <w:left w:val="none" w:sz="0" w:space="0" w:color="auto"/>
                            <w:bottom w:val="none" w:sz="0" w:space="0" w:color="auto"/>
                            <w:right w:val="none" w:sz="0" w:space="0" w:color="auto"/>
                          </w:divBdr>
                        </w:div>
                        <w:div w:id="1939018501">
                          <w:marLeft w:val="0"/>
                          <w:marRight w:val="0"/>
                          <w:marTop w:val="0"/>
                          <w:marBottom w:val="0"/>
                          <w:divBdr>
                            <w:top w:val="none" w:sz="0" w:space="0" w:color="auto"/>
                            <w:left w:val="none" w:sz="0" w:space="0" w:color="auto"/>
                            <w:bottom w:val="none" w:sz="0" w:space="0" w:color="auto"/>
                            <w:right w:val="none" w:sz="0" w:space="0" w:color="auto"/>
                          </w:divBdr>
                        </w:div>
                        <w:div w:id="612447131">
                          <w:marLeft w:val="0"/>
                          <w:marRight w:val="0"/>
                          <w:marTop w:val="0"/>
                          <w:marBottom w:val="0"/>
                          <w:divBdr>
                            <w:top w:val="none" w:sz="0" w:space="0" w:color="auto"/>
                            <w:left w:val="none" w:sz="0" w:space="0" w:color="auto"/>
                            <w:bottom w:val="none" w:sz="0" w:space="0" w:color="auto"/>
                            <w:right w:val="none" w:sz="0" w:space="0" w:color="auto"/>
                          </w:divBdr>
                        </w:div>
                        <w:div w:id="1725760580">
                          <w:marLeft w:val="0"/>
                          <w:marRight w:val="0"/>
                          <w:marTop w:val="0"/>
                          <w:marBottom w:val="0"/>
                          <w:divBdr>
                            <w:top w:val="none" w:sz="0" w:space="0" w:color="auto"/>
                            <w:left w:val="none" w:sz="0" w:space="0" w:color="auto"/>
                            <w:bottom w:val="none" w:sz="0" w:space="0" w:color="auto"/>
                            <w:right w:val="none" w:sz="0" w:space="0" w:color="auto"/>
                          </w:divBdr>
                        </w:div>
                        <w:div w:id="1018233466">
                          <w:marLeft w:val="0"/>
                          <w:marRight w:val="0"/>
                          <w:marTop w:val="0"/>
                          <w:marBottom w:val="0"/>
                          <w:divBdr>
                            <w:top w:val="none" w:sz="0" w:space="0" w:color="auto"/>
                            <w:left w:val="none" w:sz="0" w:space="0" w:color="auto"/>
                            <w:bottom w:val="none" w:sz="0" w:space="0" w:color="auto"/>
                            <w:right w:val="none" w:sz="0" w:space="0" w:color="auto"/>
                          </w:divBdr>
                        </w:div>
                        <w:div w:id="391580719">
                          <w:marLeft w:val="0"/>
                          <w:marRight w:val="0"/>
                          <w:marTop w:val="0"/>
                          <w:marBottom w:val="0"/>
                          <w:divBdr>
                            <w:top w:val="none" w:sz="0" w:space="0" w:color="auto"/>
                            <w:left w:val="none" w:sz="0" w:space="0" w:color="auto"/>
                            <w:bottom w:val="none" w:sz="0" w:space="0" w:color="auto"/>
                            <w:right w:val="none" w:sz="0" w:space="0" w:color="auto"/>
                          </w:divBdr>
                        </w:div>
                        <w:div w:id="2013216068">
                          <w:marLeft w:val="0"/>
                          <w:marRight w:val="0"/>
                          <w:marTop w:val="0"/>
                          <w:marBottom w:val="0"/>
                          <w:divBdr>
                            <w:top w:val="none" w:sz="0" w:space="0" w:color="auto"/>
                            <w:left w:val="none" w:sz="0" w:space="0" w:color="auto"/>
                            <w:bottom w:val="none" w:sz="0" w:space="0" w:color="auto"/>
                            <w:right w:val="none" w:sz="0" w:space="0" w:color="auto"/>
                          </w:divBdr>
                        </w:div>
                        <w:div w:id="1996179336">
                          <w:marLeft w:val="0"/>
                          <w:marRight w:val="0"/>
                          <w:marTop w:val="0"/>
                          <w:marBottom w:val="0"/>
                          <w:divBdr>
                            <w:top w:val="none" w:sz="0" w:space="0" w:color="auto"/>
                            <w:left w:val="none" w:sz="0" w:space="0" w:color="auto"/>
                            <w:bottom w:val="none" w:sz="0" w:space="0" w:color="auto"/>
                            <w:right w:val="none" w:sz="0" w:space="0" w:color="auto"/>
                          </w:divBdr>
                        </w:div>
                        <w:div w:id="1409618714">
                          <w:marLeft w:val="0"/>
                          <w:marRight w:val="0"/>
                          <w:marTop w:val="0"/>
                          <w:marBottom w:val="0"/>
                          <w:divBdr>
                            <w:top w:val="none" w:sz="0" w:space="0" w:color="auto"/>
                            <w:left w:val="none" w:sz="0" w:space="0" w:color="auto"/>
                            <w:bottom w:val="none" w:sz="0" w:space="0" w:color="auto"/>
                            <w:right w:val="none" w:sz="0" w:space="0" w:color="auto"/>
                          </w:divBdr>
                        </w:div>
                        <w:div w:id="1711766125">
                          <w:marLeft w:val="0"/>
                          <w:marRight w:val="0"/>
                          <w:marTop w:val="0"/>
                          <w:marBottom w:val="0"/>
                          <w:divBdr>
                            <w:top w:val="none" w:sz="0" w:space="0" w:color="auto"/>
                            <w:left w:val="none" w:sz="0" w:space="0" w:color="auto"/>
                            <w:bottom w:val="none" w:sz="0" w:space="0" w:color="auto"/>
                            <w:right w:val="none" w:sz="0" w:space="0" w:color="auto"/>
                          </w:divBdr>
                        </w:div>
                        <w:div w:id="1594512688">
                          <w:marLeft w:val="0"/>
                          <w:marRight w:val="0"/>
                          <w:marTop w:val="0"/>
                          <w:marBottom w:val="0"/>
                          <w:divBdr>
                            <w:top w:val="none" w:sz="0" w:space="0" w:color="auto"/>
                            <w:left w:val="none" w:sz="0" w:space="0" w:color="auto"/>
                            <w:bottom w:val="none" w:sz="0" w:space="0" w:color="auto"/>
                            <w:right w:val="none" w:sz="0" w:space="0" w:color="auto"/>
                          </w:divBdr>
                        </w:div>
                        <w:div w:id="1137651336">
                          <w:marLeft w:val="0"/>
                          <w:marRight w:val="0"/>
                          <w:marTop w:val="0"/>
                          <w:marBottom w:val="0"/>
                          <w:divBdr>
                            <w:top w:val="none" w:sz="0" w:space="0" w:color="auto"/>
                            <w:left w:val="none" w:sz="0" w:space="0" w:color="auto"/>
                            <w:bottom w:val="none" w:sz="0" w:space="0" w:color="auto"/>
                            <w:right w:val="none" w:sz="0" w:space="0" w:color="auto"/>
                          </w:divBdr>
                        </w:div>
                        <w:div w:id="790825123">
                          <w:marLeft w:val="0"/>
                          <w:marRight w:val="0"/>
                          <w:marTop w:val="0"/>
                          <w:marBottom w:val="0"/>
                          <w:divBdr>
                            <w:top w:val="none" w:sz="0" w:space="0" w:color="auto"/>
                            <w:left w:val="none" w:sz="0" w:space="0" w:color="auto"/>
                            <w:bottom w:val="none" w:sz="0" w:space="0" w:color="auto"/>
                            <w:right w:val="none" w:sz="0" w:space="0" w:color="auto"/>
                          </w:divBdr>
                        </w:div>
                        <w:div w:id="1452280773">
                          <w:marLeft w:val="0"/>
                          <w:marRight w:val="0"/>
                          <w:marTop w:val="0"/>
                          <w:marBottom w:val="0"/>
                          <w:divBdr>
                            <w:top w:val="none" w:sz="0" w:space="0" w:color="auto"/>
                            <w:left w:val="none" w:sz="0" w:space="0" w:color="auto"/>
                            <w:bottom w:val="none" w:sz="0" w:space="0" w:color="auto"/>
                            <w:right w:val="none" w:sz="0" w:space="0" w:color="auto"/>
                          </w:divBdr>
                        </w:div>
                        <w:div w:id="478377538">
                          <w:marLeft w:val="0"/>
                          <w:marRight w:val="0"/>
                          <w:marTop w:val="0"/>
                          <w:marBottom w:val="0"/>
                          <w:divBdr>
                            <w:top w:val="none" w:sz="0" w:space="0" w:color="auto"/>
                            <w:left w:val="none" w:sz="0" w:space="0" w:color="auto"/>
                            <w:bottom w:val="none" w:sz="0" w:space="0" w:color="auto"/>
                            <w:right w:val="none" w:sz="0" w:space="0" w:color="auto"/>
                          </w:divBdr>
                        </w:div>
                        <w:div w:id="1909147628">
                          <w:marLeft w:val="0"/>
                          <w:marRight w:val="0"/>
                          <w:marTop w:val="0"/>
                          <w:marBottom w:val="0"/>
                          <w:divBdr>
                            <w:top w:val="none" w:sz="0" w:space="0" w:color="auto"/>
                            <w:left w:val="none" w:sz="0" w:space="0" w:color="auto"/>
                            <w:bottom w:val="none" w:sz="0" w:space="0" w:color="auto"/>
                            <w:right w:val="none" w:sz="0" w:space="0" w:color="auto"/>
                          </w:divBdr>
                        </w:div>
                        <w:div w:id="1138645579">
                          <w:marLeft w:val="0"/>
                          <w:marRight w:val="0"/>
                          <w:marTop w:val="0"/>
                          <w:marBottom w:val="0"/>
                          <w:divBdr>
                            <w:top w:val="none" w:sz="0" w:space="0" w:color="auto"/>
                            <w:left w:val="none" w:sz="0" w:space="0" w:color="auto"/>
                            <w:bottom w:val="none" w:sz="0" w:space="0" w:color="auto"/>
                            <w:right w:val="none" w:sz="0" w:space="0" w:color="auto"/>
                          </w:divBdr>
                        </w:div>
                        <w:div w:id="343635069">
                          <w:marLeft w:val="0"/>
                          <w:marRight w:val="0"/>
                          <w:marTop w:val="0"/>
                          <w:marBottom w:val="0"/>
                          <w:divBdr>
                            <w:top w:val="none" w:sz="0" w:space="0" w:color="auto"/>
                            <w:left w:val="none" w:sz="0" w:space="0" w:color="auto"/>
                            <w:bottom w:val="none" w:sz="0" w:space="0" w:color="auto"/>
                            <w:right w:val="none" w:sz="0" w:space="0" w:color="auto"/>
                          </w:divBdr>
                        </w:div>
                        <w:div w:id="196351939">
                          <w:marLeft w:val="0"/>
                          <w:marRight w:val="0"/>
                          <w:marTop w:val="0"/>
                          <w:marBottom w:val="0"/>
                          <w:divBdr>
                            <w:top w:val="none" w:sz="0" w:space="0" w:color="auto"/>
                            <w:left w:val="none" w:sz="0" w:space="0" w:color="auto"/>
                            <w:bottom w:val="none" w:sz="0" w:space="0" w:color="auto"/>
                            <w:right w:val="none" w:sz="0" w:space="0" w:color="auto"/>
                          </w:divBdr>
                        </w:div>
                        <w:div w:id="706561036">
                          <w:marLeft w:val="0"/>
                          <w:marRight w:val="0"/>
                          <w:marTop w:val="0"/>
                          <w:marBottom w:val="0"/>
                          <w:divBdr>
                            <w:top w:val="none" w:sz="0" w:space="0" w:color="auto"/>
                            <w:left w:val="none" w:sz="0" w:space="0" w:color="auto"/>
                            <w:bottom w:val="none" w:sz="0" w:space="0" w:color="auto"/>
                            <w:right w:val="none" w:sz="0" w:space="0" w:color="auto"/>
                          </w:divBdr>
                        </w:div>
                        <w:div w:id="446697801">
                          <w:marLeft w:val="0"/>
                          <w:marRight w:val="0"/>
                          <w:marTop w:val="0"/>
                          <w:marBottom w:val="0"/>
                          <w:divBdr>
                            <w:top w:val="none" w:sz="0" w:space="0" w:color="auto"/>
                            <w:left w:val="none" w:sz="0" w:space="0" w:color="auto"/>
                            <w:bottom w:val="none" w:sz="0" w:space="0" w:color="auto"/>
                            <w:right w:val="none" w:sz="0" w:space="0" w:color="auto"/>
                          </w:divBdr>
                        </w:div>
                        <w:div w:id="922105207">
                          <w:marLeft w:val="0"/>
                          <w:marRight w:val="0"/>
                          <w:marTop w:val="0"/>
                          <w:marBottom w:val="0"/>
                          <w:divBdr>
                            <w:top w:val="none" w:sz="0" w:space="0" w:color="auto"/>
                            <w:left w:val="none" w:sz="0" w:space="0" w:color="auto"/>
                            <w:bottom w:val="none" w:sz="0" w:space="0" w:color="auto"/>
                            <w:right w:val="none" w:sz="0" w:space="0" w:color="auto"/>
                          </w:divBdr>
                        </w:div>
                        <w:div w:id="795299047">
                          <w:marLeft w:val="0"/>
                          <w:marRight w:val="0"/>
                          <w:marTop w:val="0"/>
                          <w:marBottom w:val="0"/>
                          <w:divBdr>
                            <w:top w:val="none" w:sz="0" w:space="0" w:color="auto"/>
                            <w:left w:val="none" w:sz="0" w:space="0" w:color="auto"/>
                            <w:bottom w:val="none" w:sz="0" w:space="0" w:color="auto"/>
                            <w:right w:val="none" w:sz="0" w:space="0" w:color="auto"/>
                          </w:divBdr>
                        </w:div>
                        <w:div w:id="1462533653">
                          <w:marLeft w:val="0"/>
                          <w:marRight w:val="0"/>
                          <w:marTop w:val="0"/>
                          <w:marBottom w:val="0"/>
                          <w:divBdr>
                            <w:top w:val="none" w:sz="0" w:space="0" w:color="auto"/>
                            <w:left w:val="none" w:sz="0" w:space="0" w:color="auto"/>
                            <w:bottom w:val="none" w:sz="0" w:space="0" w:color="auto"/>
                            <w:right w:val="none" w:sz="0" w:space="0" w:color="auto"/>
                          </w:divBdr>
                        </w:div>
                        <w:div w:id="185950991">
                          <w:marLeft w:val="0"/>
                          <w:marRight w:val="0"/>
                          <w:marTop w:val="0"/>
                          <w:marBottom w:val="0"/>
                          <w:divBdr>
                            <w:top w:val="none" w:sz="0" w:space="0" w:color="auto"/>
                            <w:left w:val="none" w:sz="0" w:space="0" w:color="auto"/>
                            <w:bottom w:val="none" w:sz="0" w:space="0" w:color="auto"/>
                            <w:right w:val="none" w:sz="0" w:space="0" w:color="auto"/>
                          </w:divBdr>
                        </w:div>
                        <w:div w:id="1817407516">
                          <w:marLeft w:val="0"/>
                          <w:marRight w:val="0"/>
                          <w:marTop w:val="0"/>
                          <w:marBottom w:val="0"/>
                          <w:divBdr>
                            <w:top w:val="none" w:sz="0" w:space="0" w:color="auto"/>
                            <w:left w:val="none" w:sz="0" w:space="0" w:color="auto"/>
                            <w:bottom w:val="none" w:sz="0" w:space="0" w:color="auto"/>
                            <w:right w:val="none" w:sz="0" w:space="0" w:color="auto"/>
                          </w:divBdr>
                        </w:div>
                        <w:div w:id="2092852135">
                          <w:marLeft w:val="0"/>
                          <w:marRight w:val="0"/>
                          <w:marTop w:val="0"/>
                          <w:marBottom w:val="0"/>
                          <w:divBdr>
                            <w:top w:val="none" w:sz="0" w:space="0" w:color="auto"/>
                            <w:left w:val="none" w:sz="0" w:space="0" w:color="auto"/>
                            <w:bottom w:val="none" w:sz="0" w:space="0" w:color="auto"/>
                            <w:right w:val="none" w:sz="0" w:space="0" w:color="auto"/>
                          </w:divBdr>
                        </w:div>
                        <w:div w:id="492063570">
                          <w:marLeft w:val="0"/>
                          <w:marRight w:val="0"/>
                          <w:marTop w:val="0"/>
                          <w:marBottom w:val="0"/>
                          <w:divBdr>
                            <w:top w:val="none" w:sz="0" w:space="0" w:color="auto"/>
                            <w:left w:val="none" w:sz="0" w:space="0" w:color="auto"/>
                            <w:bottom w:val="none" w:sz="0" w:space="0" w:color="auto"/>
                            <w:right w:val="none" w:sz="0" w:space="0" w:color="auto"/>
                          </w:divBdr>
                        </w:div>
                        <w:div w:id="880942717">
                          <w:marLeft w:val="0"/>
                          <w:marRight w:val="0"/>
                          <w:marTop w:val="0"/>
                          <w:marBottom w:val="0"/>
                          <w:divBdr>
                            <w:top w:val="none" w:sz="0" w:space="0" w:color="auto"/>
                            <w:left w:val="none" w:sz="0" w:space="0" w:color="auto"/>
                            <w:bottom w:val="none" w:sz="0" w:space="0" w:color="auto"/>
                            <w:right w:val="none" w:sz="0" w:space="0" w:color="auto"/>
                          </w:divBdr>
                        </w:div>
                        <w:div w:id="1118375457">
                          <w:marLeft w:val="0"/>
                          <w:marRight w:val="0"/>
                          <w:marTop w:val="0"/>
                          <w:marBottom w:val="0"/>
                          <w:divBdr>
                            <w:top w:val="none" w:sz="0" w:space="0" w:color="auto"/>
                            <w:left w:val="none" w:sz="0" w:space="0" w:color="auto"/>
                            <w:bottom w:val="none" w:sz="0" w:space="0" w:color="auto"/>
                            <w:right w:val="none" w:sz="0" w:space="0" w:color="auto"/>
                          </w:divBdr>
                        </w:div>
                        <w:div w:id="274404334">
                          <w:marLeft w:val="0"/>
                          <w:marRight w:val="0"/>
                          <w:marTop w:val="0"/>
                          <w:marBottom w:val="0"/>
                          <w:divBdr>
                            <w:top w:val="none" w:sz="0" w:space="0" w:color="auto"/>
                            <w:left w:val="none" w:sz="0" w:space="0" w:color="auto"/>
                            <w:bottom w:val="none" w:sz="0" w:space="0" w:color="auto"/>
                            <w:right w:val="none" w:sz="0" w:space="0" w:color="auto"/>
                          </w:divBdr>
                        </w:div>
                        <w:div w:id="287703785">
                          <w:marLeft w:val="0"/>
                          <w:marRight w:val="0"/>
                          <w:marTop w:val="0"/>
                          <w:marBottom w:val="0"/>
                          <w:divBdr>
                            <w:top w:val="none" w:sz="0" w:space="0" w:color="auto"/>
                            <w:left w:val="none" w:sz="0" w:space="0" w:color="auto"/>
                            <w:bottom w:val="none" w:sz="0" w:space="0" w:color="auto"/>
                            <w:right w:val="none" w:sz="0" w:space="0" w:color="auto"/>
                          </w:divBdr>
                        </w:div>
                        <w:div w:id="459029928">
                          <w:marLeft w:val="0"/>
                          <w:marRight w:val="0"/>
                          <w:marTop w:val="0"/>
                          <w:marBottom w:val="0"/>
                          <w:divBdr>
                            <w:top w:val="none" w:sz="0" w:space="0" w:color="auto"/>
                            <w:left w:val="none" w:sz="0" w:space="0" w:color="auto"/>
                            <w:bottom w:val="none" w:sz="0" w:space="0" w:color="auto"/>
                            <w:right w:val="none" w:sz="0" w:space="0" w:color="auto"/>
                          </w:divBdr>
                        </w:div>
                        <w:div w:id="2130850391">
                          <w:marLeft w:val="0"/>
                          <w:marRight w:val="0"/>
                          <w:marTop w:val="0"/>
                          <w:marBottom w:val="0"/>
                          <w:divBdr>
                            <w:top w:val="none" w:sz="0" w:space="0" w:color="auto"/>
                            <w:left w:val="none" w:sz="0" w:space="0" w:color="auto"/>
                            <w:bottom w:val="none" w:sz="0" w:space="0" w:color="auto"/>
                            <w:right w:val="none" w:sz="0" w:space="0" w:color="auto"/>
                          </w:divBdr>
                        </w:div>
                        <w:div w:id="1341855803">
                          <w:marLeft w:val="0"/>
                          <w:marRight w:val="0"/>
                          <w:marTop w:val="0"/>
                          <w:marBottom w:val="0"/>
                          <w:divBdr>
                            <w:top w:val="none" w:sz="0" w:space="0" w:color="auto"/>
                            <w:left w:val="none" w:sz="0" w:space="0" w:color="auto"/>
                            <w:bottom w:val="none" w:sz="0" w:space="0" w:color="auto"/>
                            <w:right w:val="none" w:sz="0" w:space="0" w:color="auto"/>
                          </w:divBdr>
                        </w:div>
                        <w:div w:id="375619183">
                          <w:marLeft w:val="0"/>
                          <w:marRight w:val="0"/>
                          <w:marTop w:val="0"/>
                          <w:marBottom w:val="0"/>
                          <w:divBdr>
                            <w:top w:val="none" w:sz="0" w:space="0" w:color="auto"/>
                            <w:left w:val="none" w:sz="0" w:space="0" w:color="auto"/>
                            <w:bottom w:val="none" w:sz="0" w:space="0" w:color="auto"/>
                            <w:right w:val="none" w:sz="0" w:space="0" w:color="auto"/>
                          </w:divBdr>
                        </w:div>
                        <w:div w:id="645475772">
                          <w:marLeft w:val="0"/>
                          <w:marRight w:val="0"/>
                          <w:marTop w:val="0"/>
                          <w:marBottom w:val="0"/>
                          <w:divBdr>
                            <w:top w:val="none" w:sz="0" w:space="0" w:color="auto"/>
                            <w:left w:val="none" w:sz="0" w:space="0" w:color="auto"/>
                            <w:bottom w:val="none" w:sz="0" w:space="0" w:color="auto"/>
                            <w:right w:val="none" w:sz="0" w:space="0" w:color="auto"/>
                          </w:divBdr>
                        </w:div>
                        <w:div w:id="209922112">
                          <w:marLeft w:val="0"/>
                          <w:marRight w:val="0"/>
                          <w:marTop w:val="0"/>
                          <w:marBottom w:val="0"/>
                          <w:divBdr>
                            <w:top w:val="none" w:sz="0" w:space="0" w:color="auto"/>
                            <w:left w:val="none" w:sz="0" w:space="0" w:color="auto"/>
                            <w:bottom w:val="none" w:sz="0" w:space="0" w:color="auto"/>
                            <w:right w:val="none" w:sz="0" w:space="0" w:color="auto"/>
                          </w:divBdr>
                        </w:div>
                        <w:div w:id="1068071298">
                          <w:marLeft w:val="0"/>
                          <w:marRight w:val="0"/>
                          <w:marTop w:val="0"/>
                          <w:marBottom w:val="0"/>
                          <w:divBdr>
                            <w:top w:val="none" w:sz="0" w:space="0" w:color="auto"/>
                            <w:left w:val="none" w:sz="0" w:space="0" w:color="auto"/>
                            <w:bottom w:val="none" w:sz="0" w:space="0" w:color="auto"/>
                            <w:right w:val="none" w:sz="0" w:space="0" w:color="auto"/>
                          </w:divBdr>
                        </w:div>
                        <w:div w:id="266281776">
                          <w:marLeft w:val="0"/>
                          <w:marRight w:val="0"/>
                          <w:marTop w:val="0"/>
                          <w:marBottom w:val="0"/>
                          <w:divBdr>
                            <w:top w:val="none" w:sz="0" w:space="0" w:color="auto"/>
                            <w:left w:val="none" w:sz="0" w:space="0" w:color="auto"/>
                            <w:bottom w:val="none" w:sz="0" w:space="0" w:color="auto"/>
                            <w:right w:val="none" w:sz="0" w:space="0" w:color="auto"/>
                          </w:divBdr>
                        </w:div>
                        <w:div w:id="105347691">
                          <w:marLeft w:val="0"/>
                          <w:marRight w:val="0"/>
                          <w:marTop w:val="0"/>
                          <w:marBottom w:val="0"/>
                          <w:divBdr>
                            <w:top w:val="none" w:sz="0" w:space="0" w:color="auto"/>
                            <w:left w:val="none" w:sz="0" w:space="0" w:color="auto"/>
                            <w:bottom w:val="none" w:sz="0" w:space="0" w:color="auto"/>
                            <w:right w:val="none" w:sz="0" w:space="0" w:color="auto"/>
                          </w:divBdr>
                        </w:div>
                        <w:div w:id="2435366">
                          <w:marLeft w:val="0"/>
                          <w:marRight w:val="0"/>
                          <w:marTop w:val="0"/>
                          <w:marBottom w:val="0"/>
                          <w:divBdr>
                            <w:top w:val="none" w:sz="0" w:space="0" w:color="auto"/>
                            <w:left w:val="none" w:sz="0" w:space="0" w:color="auto"/>
                            <w:bottom w:val="none" w:sz="0" w:space="0" w:color="auto"/>
                            <w:right w:val="none" w:sz="0" w:space="0" w:color="auto"/>
                          </w:divBdr>
                        </w:div>
                        <w:div w:id="796946775">
                          <w:marLeft w:val="0"/>
                          <w:marRight w:val="0"/>
                          <w:marTop w:val="0"/>
                          <w:marBottom w:val="0"/>
                          <w:divBdr>
                            <w:top w:val="none" w:sz="0" w:space="0" w:color="auto"/>
                            <w:left w:val="none" w:sz="0" w:space="0" w:color="auto"/>
                            <w:bottom w:val="none" w:sz="0" w:space="0" w:color="auto"/>
                            <w:right w:val="none" w:sz="0" w:space="0" w:color="auto"/>
                          </w:divBdr>
                        </w:div>
                        <w:div w:id="1241018712">
                          <w:marLeft w:val="0"/>
                          <w:marRight w:val="0"/>
                          <w:marTop w:val="0"/>
                          <w:marBottom w:val="0"/>
                          <w:divBdr>
                            <w:top w:val="none" w:sz="0" w:space="0" w:color="auto"/>
                            <w:left w:val="none" w:sz="0" w:space="0" w:color="auto"/>
                            <w:bottom w:val="none" w:sz="0" w:space="0" w:color="auto"/>
                            <w:right w:val="none" w:sz="0" w:space="0" w:color="auto"/>
                          </w:divBdr>
                        </w:div>
                        <w:div w:id="1559972765">
                          <w:marLeft w:val="0"/>
                          <w:marRight w:val="0"/>
                          <w:marTop w:val="0"/>
                          <w:marBottom w:val="0"/>
                          <w:divBdr>
                            <w:top w:val="none" w:sz="0" w:space="0" w:color="auto"/>
                            <w:left w:val="none" w:sz="0" w:space="0" w:color="auto"/>
                            <w:bottom w:val="none" w:sz="0" w:space="0" w:color="auto"/>
                            <w:right w:val="none" w:sz="0" w:space="0" w:color="auto"/>
                          </w:divBdr>
                        </w:div>
                        <w:div w:id="1920095950">
                          <w:marLeft w:val="0"/>
                          <w:marRight w:val="0"/>
                          <w:marTop w:val="0"/>
                          <w:marBottom w:val="0"/>
                          <w:divBdr>
                            <w:top w:val="none" w:sz="0" w:space="0" w:color="auto"/>
                            <w:left w:val="none" w:sz="0" w:space="0" w:color="auto"/>
                            <w:bottom w:val="none" w:sz="0" w:space="0" w:color="auto"/>
                            <w:right w:val="none" w:sz="0" w:space="0" w:color="auto"/>
                          </w:divBdr>
                        </w:div>
                        <w:div w:id="744496552">
                          <w:marLeft w:val="0"/>
                          <w:marRight w:val="0"/>
                          <w:marTop w:val="0"/>
                          <w:marBottom w:val="0"/>
                          <w:divBdr>
                            <w:top w:val="none" w:sz="0" w:space="0" w:color="auto"/>
                            <w:left w:val="none" w:sz="0" w:space="0" w:color="auto"/>
                            <w:bottom w:val="none" w:sz="0" w:space="0" w:color="auto"/>
                            <w:right w:val="none" w:sz="0" w:space="0" w:color="auto"/>
                          </w:divBdr>
                        </w:div>
                        <w:div w:id="88637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79667">
                  <w:marLeft w:val="0"/>
                  <w:marRight w:val="0"/>
                  <w:marTop w:val="15"/>
                  <w:marBottom w:val="0"/>
                  <w:divBdr>
                    <w:top w:val="none" w:sz="0" w:space="0" w:color="auto"/>
                    <w:left w:val="none" w:sz="0" w:space="0" w:color="auto"/>
                    <w:bottom w:val="none" w:sz="0" w:space="0" w:color="auto"/>
                    <w:right w:val="none" w:sz="0" w:space="0" w:color="auto"/>
                  </w:divBdr>
                  <w:divsChild>
                    <w:div w:id="2102408572">
                      <w:marLeft w:val="0"/>
                      <w:marRight w:val="0"/>
                      <w:marTop w:val="0"/>
                      <w:marBottom w:val="0"/>
                      <w:divBdr>
                        <w:top w:val="none" w:sz="0" w:space="0" w:color="auto"/>
                        <w:left w:val="none" w:sz="0" w:space="0" w:color="auto"/>
                        <w:bottom w:val="none" w:sz="0" w:space="0" w:color="auto"/>
                        <w:right w:val="none" w:sz="0" w:space="0" w:color="auto"/>
                      </w:divBdr>
                      <w:divsChild>
                        <w:div w:id="317729565">
                          <w:marLeft w:val="0"/>
                          <w:marRight w:val="0"/>
                          <w:marTop w:val="0"/>
                          <w:marBottom w:val="0"/>
                          <w:divBdr>
                            <w:top w:val="none" w:sz="0" w:space="0" w:color="auto"/>
                            <w:left w:val="none" w:sz="0" w:space="0" w:color="auto"/>
                            <w:bottom w:val="none" w:sz="0" w:space="0" w:color="auto"/>
                            <w:right w:val="none" w:sz="0" w:space="0" w:color="auto"/>
                          </w:divBdr>
                        </w:div>
                        <w:div w:id="2062433386">
                          <w:marLeft w:val="0"/>
                          <w:marRight w:val="0"/>
                          <w:marTop w:val="0"/>
                          <w:marBottom w:val="0"/>
                          <w:divBdr>
                            <w:top w:val="none" w:sz="0" w:space="0" w:color="auto"/>
                            <w:left w:val="none" w:sz="0" w:space="0" w:color="auto"/>
                            <w:bottom w:val="none" w:sz="0" w:space="0" w:color="auto"/>
                            <w:right w:val="none" w:sz="0" w:space="0" w:color="auto"/>
                          </w:divBdr>
                        </w:div>
                        <w:div w:id="963996457">
                          <w:marLeft w:val="0"/>
                          <w:marRight w:val="0"/>
                          <w:marTop w:val="0"/>
                          <w:marBottom w:val="0"/>
                          <w:divBdr>
                            <w:top w:val="none" w:sz="0" w:space="0" w:color="auto"/>
                            <w:left w:val="none" w:sz="0" w:space="0" w:color="auto"/>
                            <w:bottom w:val="none" w:sz="0" w:space="0" w:color="auto"/>
                            <w:right w:val="none" w:sz="0" w:space="0" w:color="auto"/>
                          </w:divBdr>
                        </w:div>
                        <w:div w:id="1052272976">
                          <w:marLeft w:val="0"/>
                          <w:marRight w:val="0"/>
                          <w:marTop w:val="0"/>
                          <w:marBottom w:val="0"/>
                          <w:divBdr>
                            <w:top w:val="none" w:sz="0" w:space="0" w:color="auto"/>
                            <w:left w:val="none" w:sz="0" w:space="0" w:color="auto"/>
                            <w:bottom w:val="none" w:sz="0" w:space="0" w:color="auto"/>
                            <w:right w:val="none" w:sz="0" w:space="0" w:color="auto"/>
                          </w:divBdr>
                        </w:div>
                        <w:div w:id="1162966562">
                          <w:marLeft w:val="0"/>
                          <w:marRight w:val="0"/>
                          <w:marTop w:val="0"/>
                          <w:marBottom w:val="0"/>
                          <w:divBdr>
                            <w:top w:val="none" w:sz="0" w:space="0" w:color="auto"/>
                            <w:left w:val="none" w:sz="0" w:space="0" w:color="auto"/>
                            <w:bottom w:val="none" w:sz="0" w:space="0" w:color="auto"/>
                            <w:right w:val="none" w:sz="0" w:space="0" w:color="auto"/>
                          </w:divBdr>
                        </w:div>
                        <w:div w:id="715736232">
                          <w:marLeft w:val="0"/>
                          <w:marRight w:val="0"/>
                          <w:marTop w:val="0"/>
                          <w:marBottom w:val="0"/>
                          <w:divBdr>
                            <w:top w:val="none" w:sz="0" w:space="0" w:color="auto"/>
                            <w:left w:val="none" w:sz="0" w:space="0" w:color="auto"/>
                            <w:bottom w:val="none" w:sz="0" w:space="0" w:color="auto"/>
                            <w:right w:val="none" w:sz="0" w:space="0" w:color="auto"/>
                          </w:divBdr>
                        </w:div>
                        <w:div w:id="1787888119">
                          <w:marLeft w:val="0"/>
                          <w:marRight w:val="0"/>
                          <w:marTop w:val="0"/>
                          <w:marBottom w:val="0"/>
                          <w:divBdr>
                            <w:top w:val="none" w:sz="0" w:space="0" w:color="auto"/>
                            <w:left w:val="none" w:sz="0" w:space="0" w:color="auto"/>
                            <w:bottom w:val="none" w:sz="0" w:space="0" w:color="auto"/>
                            <w:right w:val="none" w:sz="0" w:space="0" w:color="auto"/>
                          </w:divBdr>
                        </w:div>
                        <w:div w:id="1883906779">
                          <w:marLeft w:val="0"/>
                          <w:marRight w:val="0"/>
                          <w:marTop w:val="0"/>
                          <w:marBottom w:val="0"/>
                          <w:divBdr>
                            <w:top w:val="none" w:sz="0" w:space="0" w:color="auto"/>
                            <w:left w:val="none" w:sz="0" w:space="0" w:color="auto"/>
                            <w:bottom w:val="none" w:sz="0" w:space="0" w:color="auto"/>
                            <w:right w:val="none" w:sz="0" w:space="0" w:color="auto"/>
                          </w:divBdr>
                        </w:div>
                        <w:div w:id="1149326352">
                          <w:marLeft w:val="0"/>
                          <w:marRight w:val="0"/>
                          <w:marTop w:val="0"/>
                          <w:marBottom w:val="0"/>
                          <w:divBdr>
                            <w:top w:val="none" w:sz="0" w:space="0" w:color="auto"/>
                            <w:left w:val="none" w:sz="0" w:space="0" w:color="auto"/>
                            <w:bottom w:val="none" w:sz="0" w:space="0" w:color="auto"/>
                            <w:right w:val="none" w:sz="0" w:space="0" w:color="auto"/>
                          </w:divBdr>
                        </w:div>
                        <w:div w:id="408576678">
                          <w:marLeft w:val="0"/>
                          <w:marRight w:val="0"/>
                          <w:marTop w:val="0"/>
                          <w:marBottom w:val="0"/>
                          <w:divBdr>
                            <w:top w:val="none" w:sz="0" w:space="0" w:color="auto"/>
                            <w:left w:val="none" w:sz="0" w:space="0" w:color="auto"/>
                            <w:bottom w:val="none" w:sz="0" w:space="0" w:color="auto"/>
                            <w:right w:val="none" w:sz="0" w:space="0" w:color="auto"/>
                          </w:divBdr>
                        </w:div>
                        <w:div w:id="533159300">
                          <w:marLeft w:val="0"/>
                          <w:marRight w:val="0"/>
                          <w:marTop w:val="0"/>
                          <w:marBottom w:val="0"/>
                          <w:divBdr>
                            <w:top w:val="none" w:sz="0" w:space="0" w:color="auto"/>
                            <w:left w:val="none" w:sz="0" w:space="0" w:color="auto"/>
                            <w:bottom w:val="none" w:sz="0" w:space="0" w:color="auto"/>
                            <w:right w:val="none" w:sz="0" w:space="0" w:color="auto"/>
                          </w:divBdr>
                        </w:div>
                        <w:div w:id="657811695">
                          <w:marLeft w:val="0"/>
                          <w:marRight w:val="0"/>
                          <w:marTop w:val="0"/>
                          <w:marBottom w:val="0"/>
                          <w:divBdr>
                            <w:top w:val="none" w:sz="0" w:space="0" w:color="auto"/>
                            <w:left w:val="none" w:sz="0" w:space="0" w:color="auto"/>
                            <w:bottom w:val="none" w:sz="0" w:space="0" w:color="auto"/>
                            <w:right w:val="none" w:sz="0" w:space="0" w:color="auto"/>
                          </w:divBdr>
                        </w:div>
                        <w:div w:id="807431955">
                          <w:marLeft w:val="0"/>
                          <w:marRight w:val="0"/>
                          <w:marTop w:val="0"/>
                          <w:marBottom w:val="0"/>
                          <w:divBdr>
                            <w:top w:val="none" w:sz="0" w:space="0" w:color="auto"/>
                            <w:left w:val="none" w:sz="0" w:space="0" w:color="auto"/>
                            <w:bottom w:val="none" w:sz="0" w:space="0" w:color="auto"/>
                            <w:right w:val="none" w:sz="0" w:space="0" w:color="auto"/>
                          </w:divBdr>
                        </w:div>
                        <w:div w:id="1332369528">
                          <w:marLeft w:val="0"/>
                          <w:marRight w:val="0"/>
                          <w:marTop w:val="0"/>
                          <w:marBottom w:val="0"/>
                          <w:divBdr>
                            <w:top w:val="none" w:sz="0" w:space="0" w:color="auto"/>
                            <w:left w:val="none" w:sz="0" w:space="0" w:color="auto"/>
                            <w:bottom w:val="none" w:sz="0" w:space="0" w:color="auto"/>
                            <w:right w:val="none" w:sz="0" w:space="0" w:color="auto"/>
                          </w:divBdr>
                        </w:div>
                        <w:div w:id="124544590">
                          <w:marLeft w:val="0"/>
                          <w:marRight w:val="0"/>
                          <w:marTop w:val="0"/>
                          <w:marBottom w:val="0"/>
                          <w:divBdr>
                            <w:top w:val="none" w:sz="0" w:space="0" w:color="auto"/>
                            <w:left w:val="none" w:sz="0" w:space="0" w:color="auto"/>
                            <w:bottom w:val="none" w:sz="0" w:space="0" w:color="auto"/>
                            <w:right w:val="none" w:sz="0" w:space="0" w:color="auto"/>
                          </w:divBdr>
                        </w:div>
                        <w:div w:id="1395010739">
                          <w:marLeft w:val="0"/>
                          <w:marRight w:val="0"/>
                          <w:marTop w:val="0"/>
                          <w:marBottom w:val="0"/>
                          <w:divBdr>
                            <w:top w:val="none" w:sz="0" w:space="0" w:color="auto"/>
                            <w:left w:val="none" w:sz="0" w:space="0" w:color="auto"/>
                            <w:bottom w:val="none" w:sz="0" w:space="0" w:color="auto"/>
                            <w:right w:val="none" w:sz="0" w:space="0" w:color="auto"/>
                          </w:divBdr>
                        </w:div>
                        <w:div w:id="1679850435">
                          <w:marLeft w:val="0"/>
                          <w:marRight w:val="0"/>
                          <w:marTop w:val="0"/>
                          <w:marBottom w:val="0"/>
                          <w:divBdr>
                            <w:top w:val="none" w:sz="0" w:space="0" w:color="auto"/>
                            <w:left w:val="none" w:sz="0" w:space="0" w:color="auto"/>
                            <w:bottom w:val="none" w:sz="0" w:space="0" w:color="auto"/>
                            <w:right w:val="none" w:sz="0" w:space="0" w:color="auto"/>
                          </w:divBdr>
                        </w:div>
                        <w:div w:id="194200945">
                          <w:marLeft w:val="0"/>
                          <w:marRight w:val="0"/>
                          <w:marTop w:val="0"/>
                          <w:marBottom w:val="0"/>
                          <w:divBdr>
                            <w:top w:val="none" w:sz="0" w:space="0" w:color="auto"/>
                            <w:left w:val="none" w:sz="0" w:space="0" w:color="auto"/>
                            <w:bottom w:val="none" w:sz="0" w:space="0" w:color="auto"/>
                            <w:right w:val="none" w:sz="0" w:space="0" w:color="auto"/>
                          </w:divBdr>
                        </w:div>
                        <w:div w:id="442505275">
                          <w:marLeft w:val="0"/>
                          <w:marRight w:val="0"/>
                          <w:marTop w:val="0"/>
                          <w:marBottom w:val="0"/>
                          <w:divBdr>
                            <w:top w:val="none" w:sz="0" w:space="0" w:color="auto"/>
                            <w:left w:val="none" w:sz="0" w:space="0" w:color="auto"/>
                            <w:bottom w:val="none" w:sz="0" w:space="0" w:color="auto"/>
                            <w:right w:val="none" w:sz="0" w:space="0" w:color="auto"/>
                          </w:divBdr>
                        </w:div>
                        <w:div w:id="365060294">
                          <w:marLeft w:val="0"/>
                          <w:marRight w:val="0"/>
                          <w:marTop w:val="0"/>
                          <w:marBottom w:val="0"/>
                          <w:divBdr>
                            <w:top w:val="none" w:sz="0" w:space="0" w:color="auto"/>
                            <w:left w:val="none" w:sz="0" w:space="0" w:color="auto"/>
                            <w:bottom w:val="none" w:sz="0" w:space="0" w:color="auto"/>
                            <w:right w:val="none" w:sz="0" w:space="0" w:color="auto"/>
                          </w:divBdr>
                        </w:div>
                        <w:div w:id="845822401">
                          <w:marLeft w:val="0"/>
                          <w:marRight w:val="0"/>
                          <w:marTop w:val="0"/>
                          <w:marBottom w:val="0"/>
                          <w:divBdr>
                            <w:top w:val="none" w:sz="0" w:space="0" w:color="auto"/>
                            <w:left w:val="none" w:sz="0" w:space="0" w:color="auto"/>
                            <w:bottom w:val="none" w:sz="0" w:space="0" w:color="auto"/>
                            <w:right w:val="none" w:sz="0" w:space="0" w:color="auto"/>
                          </w:divBdr>
                        </w:div>
                        <w:div w:id="964895578">
                          <w:marLeft w:val="0"/>
                          <w:marRight w:val="0"/>
                          <w:marTop w:val="0"/>
                          <w:marBottom w:val="0"/>
                          <w:divBdr>
                            <w:top w:val="none" w:sz="0" w:space="0" w:color="auto"/>
                            <w:left w:val="none" w:sz="0" w:space="0" w:color="auto"/>
                            <w:bottom w:val="none" w:sz="0" w:space="0" w:color="auto"/>
                            <w:right w:val="none" w:sz="0" w:space="0" w:color="auto"/>
                          </w:divBdr>
                        </w:div>
                        <w:div w:id="1451168013">
                          <w:marLeft w:val="0"/>
                          <w:marRight w:val="0"/>
                          <w:marTop w:val="0"/>
                          <w:marBottom w:val="0"/>
                          <w:divBdr>
                            <w:top w:val="none" w:sz="0" w:space="0" w:color="auto"/>
                            <w:left w:val="none" w:sz="0" w:space="0" w:color="auto"/>
                            <w:bottom w:val="none" w:sz="0" w:space="0" w:color="auto"/>
                            <w:right w:val="none" w:sz="0" w:space="0" w:color="auto"/>
                          </w:divBdr>
                        </w:div>
                        <w:div w:id="799230709">
                          <w:marLeft w:val="0"/>
                          <w:marRight w:val="0"/>
                          <w:marTop w:val="0"/>
                          <w:marBottom w:val="0"/>
                          <w:divBdr>
                            <w:top w:val="none" w:sz="0" w:space="0" w:color="auto"/>
                            <w:left w:val="none" w:sz="0" w:space="0" w:color="auto"/>
                            <w:bottom w:val="none" w:sz="0" w:space="0" w:color="auto"/>
                            <w:right w:val="none" w:sz="0" w:space="0" w:color="auto"/>
                          </w:divBdr>
                        </w:div>
                        <w:div w:id="651181105">
                          <w:marLeft w:val="0"/>
                          <w:marRight w:val="0"/>
                          <w:marTop w:val="0"/>
                          <w:marBottom w:val="0"/>
                          <w:divBdr>
                            <w:top w:val="none" w:sz="0" w:space="0" w:color="auto"/>
                            <w:left w:val="none" w:sz="0" w:space="0" w:color="auto"/>
                            <w:bottom w:val="none" w:sz="0" w:space="0" w:color="auto"/>
                            <w:right w:val="none" w:sz="0" w:space="0" w:color="auto"/>
                          </w:divBdr>
                        </w:div>
                        <w:div w:id="1106773537">
                          <w:marLeft w:val="0"/>
                          <w:marRight w:val="0"/>
                          <w:marTop w:val="0"/>
                          <w:marBottom w:val="0"/>
                          <w:divBdr>
                            <w:top w:val="none" w:sz="0" w:space="0" w:color="auto"/>
                            <w:left w:val="none" w:sz="0" w:space="0" w:color="auto"/>
                            <w:bottom w:val="none" w:sz="0" w:space="0" w:color="auto"/>
                            <w:right w:val="none" w:sz="0" w:space="0" w:color="auto"/>
                          </w:divBdr>
                        </w:div>
                        <w:div w:id="684595082">
                          <w:marLeft w:val="0"/>
                          <w:marRight w:val="0"/>
                          <w:marTop w:val="0"/>
                          <w:marBottom w:val="0"/>
                          <w:divBdr>
                            <w:top w:val="none" w:sz="0" w:space="0" w:color="auto"/>
                            <w:left w:val="none" w:sz="0" w:space="0" w:color="auto"/>
                            <w:bottom w:val="none" w:sz="0" w:space="0" w:color="auto"/>
                            <w:right w:val="none" w:sz="0" w:space="0" w:color="auto"/>
                          </w:divBdr>
                        </w:div>
                        <w:div w:id="98570733">
                          <w:marLeft w:val="0"/>
                          <w:marRight w:val="0"/>
                          <w:marTop w:val="0"/>
                          <w:marBottom w:val="0"/>
                          <w:divBdr>
                            <w:top w:val="none" w:sz="0" w:space="0" w:color="auto"/>
                            <w:left w:val="none" w:sz="0" w:space="0" w:color="auto"/>
                            <w:bottom w:val="none" w:sz="0" w:space="0" w:color="auto"/>
                            <w:right w:val="none" w:sz="0" w:space="0" w:color="auto"/>
                          </w:divBdr>
                        </w:div>
                        <w:div w:id="1318221746">
                          <w:marLeft w:val="0"/>
                          <w:marRight w:val="0"/>
                          <w:marTop w:val="0"/>
                          <w:marBottom w:val="0"/>
                          <w:divBdr>
                            <w:top w:val="none" w:sz="0" w:space="0" w:color="auto"/>
                            <w:left w:val="none" w:sz="0" w:space="0" w:color="auto"/>
                            <w:bottom w:val="none" w:sz="0" w:space="0" w:color="auto"/>
                            <w:right w:val="none" w:sz="0" w:space="0" w:color="auto"/>
                          </w:divBdr>
                        </w:div>
                        <w:div w:id="643243257">
                          <w:marLeft w:val="0"/>
                          <w:marRight w:val="0"/>
                          <w:marTop w:val="0"/>
                          <w:marBottom w:val="0"/>
                          <w:divBdr>
                            <w:top w:val="none" w:sz="0" w:space="0" w:color="auto"/>
                            <w:left w:val="none" w:sz="0" w:space="0" w:color="auto"/>
                            <w:bottom w:val="none" w:sz="0" w:space="0" w:color="auto"/>
                            <w:right w:val="none" w:sz="0" w:space="0" w:color="auto"/>
                          </w:divBdr>
                        </w:div>
                        <w:div w:id="76949140">
                          <w:marLeft w:val="0"/>
                          <w:marRight w:val="0"/>
                          <w:marTop w:val="0"/>
                          <w:marBottom w:val="0"/>
                          <w:divBdr>
                            <w:top w:val="none" w:sz="0" w:space="0" w:color="auto"/>
                            <w:left w:val="none" w:sz="0" w:space="0" w:color="auto"/>
                            <w:bottom w:val="none" w:sz="0" w:space="0" w:color="auto"/>
                            <w:right w:val="none" w:sz="0" w:space="0" w:color="auto"/>
                          </w:divBdr>
                        </w:div>
                        <w:div w:id="159393550">
                          <w:marLeft w:val="0"/>
                          <w:marRight w:val="0"/>
                          <w:marTop w:val="0"/>
                          <w:marBottom w:val="0"/>
                          <w:divBdr>
                            <w:top w:val="none" w:sz="0" w:space="0" w:color="auto"/>
                            <w:left w:val="none" w:sz="0" w:space="0" w:color="auto"/>
                            <w:bottom w:val="none" w:sz="0" w:space="0" w:color="auto"/>
                            <w:right w:val="none" w:sz="0" w:space="0" w:color="auto"/>
                          </w:divBdr>
                        </w:div>
                        <w:div w:id="1469591170">
                          <w:marLeft w:val="0"/>
                          <w:marRight w:val="0"/>
                          <w:marTop w:val="0"/>
                          <w:marBottom w:val="0"/>
                          <w:divBdr>
                            <w:top w:val="none" w:sz="0" w:space="0" w:color="auto"/>
                            <w:left w:val="none" w:sz="0" w:space="0" w:color="auto"/>
                            <w:bottom w:val="none" w:sz="0" w:space="0" w:color="auto"/>
                            <w:right w:val="none" w:sz="0" w:space="0" w:color="auto"/>
                          </w:divBdr>
                        </w:div>
                        <w:div w:id="906184383">
                          <w:marLeft w:val="0"/>
                          <w:marRight w:val="0"/>
                          <w:marTop w:val="0"/>
                          <w:marBottom w:val="0"/>
                          <w:divBdr>
                            <w:top w:val="none" w:sz="0" w:space="0" w:color="auto"/>
                            <w:left w:val="none" w:sz="0" w:space="0" w:color="auto"/>
                            <w:bottom w:val="none" w:sz="0" w:space="0" w:color="auto"/>
                            <w:right w:val="none" w:sz="0" w:space="0" w:color="auto"/>
                          </w:divBdr>
                        </w:div>
                        <w:div w:id="977107402">
                          <w:marLeft w:val="0"/>
                          <w:marRight w:val="0"/>
                          <w:marTop w:val="0"/>
                          <w:marBottom w:val="0"/>
                          <w:divBdr>
                            <w:top w:val="none" w:sz="0" w:space="0" w:color="auto"/>
                            <w:left w:val="none" w:sz="0" w:space="0" w:color="auto"/>
                            <w:bottom w:val="none" w:sz="0" w:space="0" w:color="auto"/>
                            <w:right w:val="none" w:sz="0" w:space="0" w:color="auto"/>
                          </w:divBdr>
                        </w:div>
                        <w:div w:id="1466436234">
                          <w:marLeft w:val="0"/>
                          <w:marRight w:val="0"/>
                          <w:marTop w:val="0"/>
                          <w:marBottom w:val="0"/>
                          <w:divBdr>
                            <w:top w:val="none" w:sz="0" w:space="0" w:color="auto"/>
                            <w:left w:val="none" w:sz="0" w:space="0" w:color="auto"/>
                            <w:bottom w:val="none" w:sz="0" w:space="0" w:color="auto"/>
                            <w:right w:val="none" w:sz="0" w:space="0" w:color="auto"/>
                          </w:divBdr>
                        </w:div>
                        <w:div w:id="1501508083">
                          <w:marLeft w:val="0"/>
                          <w:marRight w:val="0"/>
                          <w:marTop w:val="0"/>
                          <w:marBottom w:val="0"/>
                          <w:divBdr>
                            <w:top w:val="none" w:sz="0" w:space="0" w:color="auto"/>
                            <w:left w:val="none" w:sz="0" w:space="0" w:color="auto"/>
                            <w:bottom w:val="none" w:sz="0" w:space="0" w:color="auto"/>
                            <w:right w:val="none" w:sz="0" w:space="0" w:color="auto"/>
                          </w:divBdr>
                        </w:div>
                        <w:div w:id="1024667941">
                          <w:marLeft w:val="0"/>
                          <w:marRight w:val="0"/>
                          <w:marTop w:val="0"/>
                          <w:marBottom w:val="0"/>
                          <w:divBdr>
                            <w:top w:val="none" w:sz="0" w:space="0" w:color="auto"/>
                            <w:left w:val="none" w:sz="0" w:space="0" w:color="auto"/>
                            <w:bottom w:val="none" w:sz="0" w:space="0" w:color="auto"/>
                            <w:right w:val="none" w:sz="0" w:space="0" w:color="auto"/>
                          </w:divBdr>
                        </w:div>
                        <w:div w:id="1757362472">
                          <w:marLeft w:val="0"/>
                          <w:marRight w:val="0"/>
                          <w:marTop w:val="0"/>
                          <w:marBottom w:val="0"/>
                          <w:divBdr>
                            <w:top w:val="none" w:sz="0" w:space="0" w:color="auto"/>
                            <w:left w:val="none" w:sz="0" w:space="0" w:color="auto"/>
                            <w:bottom w:val="none" w:sz="0" w:space="0" w:color="auto"/>
                            <w:right w:val="none" w:sz="0" w:space="0" w:color="auto"/>
                          </w:divBdr>
                        </w:div>
                        <w:div w:id="1311397076">
                          <w:marLeft w:val="0"/>
                          <w:marRight w:val="0"/>
                          <w:marTop w:val="0"/>
                          <w:marBottom w:val="0"/>
                          <w:divBdr>
                            <w:top w:val="none" w:sz="0" w:space="0" w:color="auto"/>
                            <w:left w:val="none" w:sz="0" w:space="0" w:color="auto"/>
                            <w:bottom w:val="none" w:sz="0" w:space="0" w:color="auto"/>
                            <w:right w:val="none" w:sz="0" w:space="0" w:color="auto"/>
                          </w:divBdr>
                        </w:div>
                        <w:div w:id="2043163006">
                          <w:marLeft w:val="0"/>
                          <w:marRight w:val="0"/>
                          <w:marTop w:val="0"/>
                          <w:marBottom w:val="0"/>
                          <w:divBdr>
                            <w:top w:val="none" w:sz="0" w:space="0" w:color="auto"/>
                            <w:left w:val="none" w:sz="0" w:space="0" w:color="auto"/>
                            <w:bottom w:val="none" w:sz="0" w:space="0" w:color="auto"/>
                            <w:right w:val="none" w:sz="0" w:space="0" w:color="auto"/>
                          </w:divBdr>
                        </w:div>
                        <w:div w:id="1299611549">
                          <w:marLeft w:val="0"/>
                          <w:marRight w:val="0"/>
                          <w:marTop w:val="0"/>
                          <w:marBottom w:val="0"/>
                          <w:divBdr>
                            <w:top w:val="none" w:sz="0" w:space="0" w:color="auto"/>
                            <w:left w:val="none" w:sz="0" w:space="0" w:color="auto"/>
                            <w:bottom w:val="none" w:sz="0" w:space="0" w:color="auto"/>
                            <w:right w:val="none" w:sz="0" w:space="0" w:color="auto"/>
                          </w:divBdr>
                        </w:div>
                        <w:div w:id="1629121534">
                          <w:marLeft w:val="0"/>
                          <w:marRight w:val="0"/>
                          <w:marTop w:val="0"/>
                          <w:marBottom w:val="0"/>
                          <w:divBdr>
                            <w:top w:val="none" w:sz="0" w:space="0" w:color="auto"/>
                            <w:left w:val="none" w:sz="0" w:space="0" w:color="auto"/>
                            <w:bottom w:val="none" w:sz="0" w:space="0" w:color="auto"/>
                            <w:right w:val="none" w:sz="0" w:space="0" w:color="auto"/>
                          </w:divBdr>
                        </w:div>
                        <w:div w:id="290867463">
                          <w:marLeft w:val="0"/>
                          <w:marRight w:val="0"/>
                          <w:marTop w:val="0"/>
                          <w:marBottom w:val="0"/>
                          <w:divBdr>
                            <w:top w:val="none" w:sz="0" w:space="0" w:color="auto"/>
                            <w:left w:val="none" w:sz="0" w:space="0" w:color="auto"/>
                            <w:bottom w:val="none" w:sz="0" w:space="0" w:color="auto"/>
                            <w:right w:val="none" w:sz="0" w:space="0" w:color="auto"/>
                          </w:divBdr>
                        </w:div>
                        <w:div w:id="580287115">
                          <w:marLeft w:val="0"/>
                          <w:marRight w:val="0"/>
                          <w:marTop w:val="0"/>
                          <w:marBottom w:val="0"/>
                          <w:divBdr>
                            <w:top w:val="none" w:sz="0" w:space="0" w:color="auto"/>
                            <w:left w:val="none" w:sz="0" w:space="0" w:color="auto"/>
                            <w:bottom w:val="none" w:sz="0" w:space="0" w:color="auto"/>
                            <w:right w:val="none" w:sz="0" w:space="0" w:color="auto"/>
                          </w:divBdr>
                        </w:div>
                        <w:div w:id="1256014659">
                          <w:marLeft w:val="0"/>
                          <w:marRight w:val="0"/>
                          <w:marTop w:val="0"/>
                          <w:marBottom w:val="0"/>
                          <w:divBdr>
                            <w:top w:val="none" w:sz="0" w:space="0" w:color="auto"/>
                            <w:left w:val="none" w:sz="0" w:space="0" w:color="auto"/>
                            <w:bottom w:val="none" w:sz="0" w:space="0" w:color="auto"/>
                            <w:right w:val="none" w:sz="0" w:space="0" w:color="auto"/>
                          </w:divBdr>
                        </w:div>
                        <w:div w:id="63458444">
                          <w:marLeft w:val="0"/>
                          <w:marRight w:val="0"/>
                          <w:marTop w:val="0"/>
                          <w:marBottom w:val="0"/>
                          <w:divBdr>
                            <w:top w:val="none" w:sz="0" w:space="0" w:color="auto"/>
                            <w:left w:val="none" w:sz="0" w:space="0" w:color="auto"/>
                            <w:bottom w:val="none" w:sz="0" w:space="0" w:color="auto"/>
                            <w:right w:val="none" w:sz="0" w:space="0" w:color="auto"/>
                          </w:divBdr>
                        </w:div>
                        <w:div w:id="922449498">
                          <w:marLeft w:val="0"/>
                          <w:marRight w:val="0"/>
                          <w:marTop w:val="0"/>
                          <w:marBottom w:val="0"/>
                          <w:divBdr>
                            <w:top w:val="none" w:sz="0" w:space="0" w:color="auto"/>
                            <w:left w:val="none" w:sz="0" w:space="0" w:color="auto"/>
                            <w:bottom w:val="none" w:sz="0" w:space="0" w:color="auto"/>
                            <w:right w:val="none" w:sz="0" w:space="0" w:color="auto"/>
                          </w:divBdr>
                        </w:div>
                        <w:div w:id="2104721013">
                          <w:marLeft w:val="0"/>
                          <w:marRight w:val="0"/>
                          <w:marTop w:val="0"/>
                          <w:marBottom w:val="0"/>
                          <w:divBdr>
                            <w:top w:val="none" w:sz="0" w:space="0" w:color="auto"/>
                            <w:left w:val="none" w:sz="0" w:space="0" w:color="auto"/>
                            <w:bottom w:val="none" w:sz="0" w:space="0" w:color="auto"/>
                            <w:right w:val="none" w:sz="0" w:space="0" w:color="auto"/>
                          </w:divBdr>
                        </w:div>
                        <w:div w:id="1936861380">
                          <w:marLeft w:val="0"/>
                          <w:marRight w:val="0"/>
                          <w:marTop w:val="0"/>
                          <w:marBottom w:val="0"/>
                          <w:divBdr>
                            <w:top w:val="none" w:sz="0" w:space="0" w:color="auto"/>
                            <w:left w:val="none" w:sz="0" w:space="0" w:color="auto"/>
                            <w:bottom w:val="none" w:sz="0" w:space="0" w:color="auto"/>
                            <w:right w:val="none" w:sz="0" w:space="0" w:color="auto"/>
                          </w:divBdr>
                        </w:div>
                        <w:div w:id="1976060397">
                          <w:marLeft w:val="0"/>
                          <w:marRight w:val="0"/>
                          <w:marTop w:val="0"/>
                          <w:marBottom w:val="0"/>
                          <w:divBdr>
                            <w:top w:val="none" w:sz="0" w:space="0" w:color="auto"/>
                            <w:left w:val="none" w:sz="0" w:space="0" w:color="auto"/>
                            <w:bottom w:val="none" w:sz="0" w:space="0" w:color="auto"/>
                            <w:right w:val="none" w:sz="0" w:space="0" w:color="auto"/>
                          </w:divBdr>
                        </w:div>
                        <w:div w:id="491607985">
                          <w:marLeft w:val="0"/>
                          <w:marRight w:val="0"/>
                          <w:marTop w:val="0"/>
                          <w:marBottom w:val="0"/>
                          <w:divBdr>
                            <w:top w:val="none" w:sz="0" w:space="0" w:color="auto"/>
                            <w:left w:val="none" w:sz="0" w:space="0" w:color="auto"/>
                            <w:bottom w:val="none" w:sz="0" w:space="0" w:color="auto"/>
                            <w:right w:val="none" w:sz="0" w:space="0" w:color="auto"/>
                          </w:divBdr>
                        </w:div>
                        <w:div w:id="1275020329">
                          <w:marLeft w:val="0"/>
                          <w:marRight w:val="0"/>
                          <w:marTop w:val="0"/>
                          <w:marBottom w:val="0"/>
                          <w:divBdr>
                            <w:top w:val="none" w:sz="0" w:space="0" w:color="auto"/>
                            <w:left w:val="none" w:sz="0" w:space="0" w:color="auto"/>
                            <w:bottom w:val="none" w:sz="0" w:space="0" w:color="auto"/>
                            <w:right w:val="none" w:sz="0" w:space="0" w:color="auto"/>
                          </w:divBdr>
                        </w:div>
                        <w:div w:id="78184695">
                          <w:marLeft w:val="0"/>
                          <w:marRight w:val="0"/>
                          <w:marTop w:val="0"/>
                          <w:marBottom w:val="0"/>
                          <w:divBdr>
                            <w:top w:val="none" w:sz="0" w:space="0" w:color="auto"/>
                            <w:left w:val="none" w:sz="0" w:space="0" w:color="auto"/>
                            <w:bottom w:val="none" w:sz="0" w:space="0" w:color="auto"/>
                            <w:right w:val="none" w:sz="0" w:space="0" w:color="auto"/>
                          </w:divBdr>
                        </w:div>
                        <w:div w:id="5333317">
                          <w:marLeft w:val="0"/>
                          <w:marRight w:val="0"/>
                          <w:marTop w:val="0"/>
                          <w:marBottom w:val="0"/>
                          <w:divBdr>
                            <w:top w:val="none" w:sz="0" w:space="0" w:color="auto"/>
                            <w:left w:val="none" w:sz="0" w:space="0" w:color="auto"/>
                            <w:bottom w:val="none" w:sz="0" w:space="0" w:color="auto"/>
                            <w:right w:val="none" w:sz="0" w:space="0" w:color="auto"/>
                          </w:divBdr>
                        </w:div>
                        <w:div w:id="1006051716">
                          <w:marLeft w:val="0"/>
                          <w:marRight w:val="0"/>
                          <w:marTop w:val="0"/>
                          <w:marBottom w:val="0"/>
                          <w:divBdr>
                            <w:top w:val="none" w:sz="0" w:space="0" w:color="auto"/>
                            <w:left w:val="none" w:sz="0" w:space="0" w:color="auto"/>
                            <w:bottom w:val="none" w:sz="0" w:space="0" w:color="auto"/>
                            <w:right w:val="none" w:sz="0" w:space="0" w:color="auto"/>
                          </w:divBdr>
                        </w:div>
                        <w:div w:id="1713770227">
                          <w:marLeft w:val="0"/>
                          <w:marRight w:val="0"/>
                          <w:marTop w:val="0"/>
                          <w:marBottom w:val="0"/>
                          <w:divBdr>
                            <w:top w:val="none" w:sz="0" w:space="0" w:color="auto"/>
                            <w:left w:val="none" w:sz="0" w:space="0" w:color="auto"/>
                            <w:bottom w:val="none" w:sz="0" w:space="0" w:color="auto"/>
                            <w:right w:val="none" w:sz="0" w:space="0" w:color="auto"/>
                          </w:divBdr>
                        </w:div>
                        <w:div w:id="235481713">
                          <w:marLeft w:val="0"/>
                          <w:marRight w:val="0"/>
                          <w:marTop w:val="0"/>
                          <w:marBottom w:val="0"/>
                          <w:divBdr>
                            <w:top w:val="none" w:sz="0" w:space="0" w:color="auto"/>
                            <w:left w:val="none" w:sz="0" w:space="0" w:color="auto"/>
                            <w:bottom w:val="none" w:sz="0" w:space="0" w:color="auto"/>
                            <w:right w:val="none" w:sz="0" w:space="0" w:color="auto"/>
                          </w:divBdr>
                        </w:div>
                        <w:div w:id="1183282227">
                          <w:marLeft w:val="0"/>
                          <w:marRight w:val="0"/>
                          <w:marTop w:val="0"/>
                          <w:marBottom w:val="0"/>
                          <w:divBdr>
                            <w:top w:val="none" w:sz="0" w:space="0" w:color="auto"/>
                            <w:left w:val="none" w:sz="0" w:space="0" w:color="auto"/>
                            <w:bottom w:val="none" w:sz="0" w:space="0" w:color="auto"/>
                            <w:right w:val="none" w:sz="0" w:space="0" w:color="auto"/>
                          </w:divBdr>
                        </w:div>
                        <w:div w:id="1875772354">
                          <w:marLeft w:val="0"/>
                          <w:marRight w:val="0"/>
                          <w:marTop w:val="0"/>
                          <w:marBottom w:val="0"/>
                          <w:divBdr>
                            <w:top w:val="none" w:sz="0" w:space="0" w:color="auto"/>
                            <w:left w:val="none" w:sz="0" w:space="0" w:color="auto"/>
                            <w:bottom w:val="none" w:sz="0" w:space="0" w:color="auto"/>
                            <w:right w:val="none" w:sz="0" w:space="0" w:color="auto"/>
                          </w:divBdr>
                        </w:div>
                        <w:div w:id="766390496">
                          <w:marLeft w:val="0"/>
                          <w:marRight w:val="0"/>
                          <w:marTop w:val="0"/>
                          <w:marBottom w:val="0"/>
                          <w:divBdr>
                            <w:top w:val="none" w:sz="0" w:space="0" w:color="auto"/>
                            <w:left w:val="none" w:sz="0" w:space="0" w:color="auto"/>
                            <w:bottom w:val="none" w:sz="0" w:space="0" w:color="auto"/>
                            <w:right w:val="none" w:sz="0" w:space="0" w:color="auto"/>
                          </w:divBdr>
                        </w:div>
                        <w:div w:id="533007424">
                          <w:marLeft w:val="0"/>
                          <w:marRight w:val="0"/>
                          <w:marTop w:val="0"/>
                          <w:marBottom w:val="0"/>
                          <w:divBdr>
                            <w:top w:val="none" w:sz="0" w:space="0" w:color="auto"/>
                            <w:left w:val="none" w:sz="0" w:space="0" w:color="auto"/>
                            <w:bottom w:val="none" w:sz="0" w:space="0" w:color="auto"/>
                            <w:right w:val="none" w:sz="0" w:space="0" w:color="auto"/>
                          </w:divBdr>
                        </w:div>
                        <w:div w:id="293147129">
                          <w:marLeft w:val="0"/>
                          <w:marRight w:val="0"/>
                          <w:marTop w:val="0"/>
                          <w:marBottom w:val="0"/>
                          <w:divBdr>
                            <w:top w:val="none" w:sz="0" w:space="0" w:color="auto"/>
                            <w:left w:val="none" w:sz="0" w:space="0" w:color="auto"/>
                            <w:bottom w:val="none" w:sz="0" w:space="0" w:color="auto"/>
                            <w:right w:val="none" w:sz="0" w:space="0" w:color="auto"/>
                          </w:divBdr>
                        </w:div>
                        <w:div w:id="286739013">
                          <w:marLeft w:val="0"/>
                          <w:marRight w:val="0"/>
                          <w:marTop w:val="0"/>
                          <w:marBottom w:val="0"/>
                          <w:divBdr>
                            <w:top w:val="none" w:sz="0" w:space="0" w:color="auto"/>
                            <w:left w:val="none" w:sz="0" w:space="0" w:color="auto"/>
                            <w:bottom w:val="none" w:sz="0" w:space="0" w:color="auto"/>
                            <w:right w:val="none" w:sz="0" w:space="0" w:color="auto"/>
                          </w:divBdr>
                        </w:div>
                        <w:div w:id="1291672600">
                          <w:marLeft w:val="0"/>
                          <w:marRight w:val="0"/>
                          <w:marTop w:val="0"/>
                          <w:marBottom w:val="0"/>
                          <w:divBdr>
                            <w:top w:val="none" w:sz="0" w:space="0" w:color="auto"/>
                            <w:left w:val="none" w:sz="0" w:space="0" w:color="auto"/>
                            <w:bottom w:val="none" w:sz="0" w:space="0" w:color="auto"/>
                            <w:right w:val="none" w:sz="0" w:space="0" w:color="auto"/>
                          </w:divBdr>
                        </w:div>
                        <w:div w:id="464734396">
                          <w:marLeft w:val="0"/>
                          <w:marRight w:val="0"/>
                          <w:marTop w:val="0"/>
                          <w:marBottom w:val="0"/>
                          <w:divBdr>
                            <w:top w:val="none" w:sz="0" w:space="0" w:color="auto"/>
                            <w:left w:val="none" w:sz="0" w:space="0" w:color="auto"/>
                            <w:bottom w:val="none" w:sz="0" w:space="0" w:color="auto"/>
                            <w:right w:val="none" w:sz="0" w:space="0" w:color="auto"/>
                          </w:divBdr>
                        </w:div>
                        <w:div w:id="2077580785">
                          <w:marLeft w:val="0"/>
                          <w:marRight w:val="0"/>
                          <w:marTop w:val="0"/>
                          <w:marBottom w:val="0"/>
                          <w:divBdr>
                            <w:top w:val="none" w:sz="0" w:space="0" w:color="auto"/>
                            <w:left w:val="none" w:sz="0" w:space="0" w:color="auto"/>
                            <w:bottom w:val="none" w:sz="0" w:space="0" w:color="auto"/>
                            <w:right w:val="none" w:sz="0" w:space="0" w:color="auto"/>
                          </w:divBdr>
                        </w:div>
                        <w:div w:id="32774401">
                          <w:marLeft w:val="0"/>
                          <w:marRight w:val="0"/>
                          <w:marTop w:val="0"/>
                          <w:marBottom w:val="0"/>
                          <w:divBdr>
                            <w:top w:val="none" w:sz="0" w:space="0" w:color="auto"/>
                            <w:left w:val="none" w:sz="0" w:space="0" w:color="auto"/>
                            <w:bottom w:val="none" w:sz="0" w:space="0" w:color="auto"/>
                            <w:right w:val="none" w:sz="0" w:space="0" w:color="auto"/>
                          </w:divBdr>
                        </w:div>
                        <w:div w:id="1153333513">
                          <w:marLeft w:val="0"/>
                          <w:marRight w:val="0"/>
                          <w:marTop w:val="0"/>
                          <w:marBottom w:val="0"/>
                          <w:divBdr>
                            <w:top w:val="none" w:sz="0" w:space="0" w:color="auto"/>
                            <w:left w:val="none" w:sz="0" w:space="0" w:color="auto"/>
                            <w:bottom w:val="none" w:sz="0" w:space="0" w:color="auto"/>
                            <w:right w:val="none" w:sz="0" w:space="0" w:color="auto"/>
                          </w:divBdr>
                        </w:div>
                        <w:div w:id="39524645">
                          <w:marLeft w:val="0"/>
                          <w:marRight w:val="0"/>
                          <w:marTop w:val="0"/>
                          <w:marBottom w:val="0"/>
                          <w:divBdr>
                            <w:top w:val="none" w:sz="0" w:space="0" w:color="auto"/>
                            <w:left w:val="none" w:sz="0" w:space="0" w:color="auto"/>
                            <w:bottom w:val="none" w:sz="0" w:space="0" w:color="auto"/>
                            <w:right w:val="none" w:sz="0" w:space="0" w:color="auto"/>
                          </w:divBdr>
                        </w:div>
                        <w:div w:id="900404336">
                          <w:marLeft w:val="0"/>
                          <w:marRight w:val="0"/>
                          <w:marTop w:val="0"/>
                          <w:marBottom w:val="0"/>
                          <w:divBdr>
                            <w:top w:val="none" w:sz="0" w:space="0" w:color="auto"/>
                            <w:left w:val="none" w:sz="0" w:space="0" w:color="auto"/>
                            <w:bottom w:val="none" w:sz="0" w:space="0" w:color="auto"/>
                            <w:right w:val="none" w:sz="0" w:space="0" w:color="auto"/>
                          </w:divBdr>
                        </w:div>
                        <w:div w:id="148644124">
                          <w:marLeft w:val="0"/>
                          <w:marRight w:val="0"/>
                          <w:marTop w:val="0"/>
                          <w:marBottom w:val="0"/>
                          <w:divBdr>
                            <w:top w:val="none" w:sz="0" w:space="0" w:color="auto"/>
                            <w:left w:val="none" w:sz="0" w:space="0" w:color="auto"/>
                            <w:bottom w:val="none" w:sz="0" w:space="0" w:color="auto"/>
                            <w:right w:val="none" w:sz="0" w:space="0" w:color="auto"/>
                          </w:divBdr>
                        </w:div>
                        <w:div w:id="1174422515">
                          <w:marLeft w:val="0"/>
                          <w:marRight w:val="0"/>
                          <w:marTop w:val="0"/>
                          <w:marBottom w:val="0"/>
                          <w:divBdr>
                            <w:top w:val="none" w:sz="0" w:space="0" w:color="auto"/>
                            <w:left w:val="none" w:sz="0" w:space="0" w:color="auto"/>
                            <w:bottom w:val="none" w:sz="0" w:space="0" w:color="auto"/>
                            <w:right w:val="none" w:sz="0" w:space="0" w:color="auto"/>
                          </w:divBdr>
                        </w:div>
                        <w:div w:id="1879662474">
                          <w:marLeft w:val="0"/>
                          <w:marRight w:val="0"/>
                          <w:marTop w:val="0"/>
                          <w:marBottom w:val="0"/>
                          <w:divBdr>
                            <w:top w:val="none" w:sz="0" w:space="0" w:color="auto"/>
                            <w:left w:val="none" w:sz="0" w:space="0" w:color="auto"/>
                            <w:bottom w:val="none" w:sz="0" w:space="0" w:color="auto"/>
                            <w:right w:val="none" w:sz="0" w:space="0" w:color="auto"/>
                          </w:divBdr>
                        </w:div>
                        <w:div w:id="1150827592">
                          <w:marLeft w:val="0"/>
                          <w:marRight w:val="0"/>
                          <w:marTop w:val="0"/>
                          <w:marBottom w:val="0"/>
                          <w:divBdr>
                            <w:top w:val="none" w:sz="0" w:space="0" w:color="auto"/>
                            <w:left w:val="none" w:sz="0" w:space="0" w:color="auto"/>
                            <w:bottom w:val="none" w:sz="0" w:space="0" w:color="auto"/>
                            <w:right w:val="none" w:sz="0" w:space="0" w:color="auto"/>
                          </w:divBdr>
                        </w:div>
                        <w:div w:id="511259426">
                          <w:marLeft w:val="0"/>
                          <w:marRight w:val="0"/>
                          <w:marTop w:val="0"/>
                          <w:marBottom w:val="0"/>
                          <w:divBdr>
                            <w:top w:val="none" w:sz="0" w:space="0" w:color="auto"/>
                            <w:left w:val="none" w:sz="0" w:space="0" w:color="auto"/>
                            <w:bottom w:val="none" w:sz="0" w:space="0" w:color="auto"/>
                            <w:right w:val="none" w:sz="0" w:space="0" w:color="auto"/>
                          </w:divBdr>
                        </w:div>
                        <w:div w:id="665091339">
                          <w:marLeft w:val="0"/>
                          <w:marRight w:val="0"/>
                          <w:marTop w:val="0"/>
                          <w:marBottom w:val="0"/>
                          <w:divBdr>
                            <w:top w:val="none" w:sz="0" w:space="0" w:color="auto"/>
                            <w:left w:val="none" w:sz="0" w:space="0" w:color="auto"/>
                            <w:bottom w:val="none" w:sz="0" w:space="0" w:color="auto"/>
                            <w:right w:val="none" w:sz="0" w:space="0" w:color="auto"/>
                          </w:divBdr>
                        </w:div>
                        <w:div w:id="1011105747">
                          <w:marLeft w:val="0"/>
                          <w:marRight w:val="0"/>
                          <w:marTop w:val="0"/>
                          <w:marBottom w:val="0"/>
                          <w:divBdr>
                            <w:top w:val="none" w:sz="0" w:space="0" w:color="auto"/>
                            <w:left w:val="none" w:sz="0" w:space="0" w:color="auto"/>
                            <w:bottom w:val="none" w:sz="0" w:space="0" w:color="auto"/>
                            <w:right w:val="none" w:sz="0" w:space="0" w:color="auto"/>
                          </w:divBdr>
                        </w:div>
                        <w:div w:id="493229622">
                          <w:marLeft w:val="0"/>
                          <w:marRight w:val="0"/>
                          <w:marTop w:val="0"/>
                          <w:marBottom w:val="0"/>
                          <w:divBdr>
                            <w:top w:val="none" w:sz="0" w:space="0" w:color="auto"/>
                            <w:left w:val="none" w:sz="0" w:space="0" w:color="auto"/>
                            <w:bottom w:val="none" w:sz="0" w:space="0" w:color="auto"/>
                            <w:right w:val="none" w:sz="0" w:space="0" w:color="auto"/>
                          </w:divBdr>
                        </w:div>
                        <w:div w:id="759446638">
                          <w:marLeft w:val="0"/>
                          <w:marRight w:val="0"/>
                          <w:marTop w:val="0"/>
                          <w:marBottom w:val="0"/>
                          <w:divBdr>
                            <w:top w:val="none" w:sz="0" w:space="0" w:color="auto"/>
                            <w:left w:val="none" w:sz="0" w:space="0" w:color="auto"/>
                            <w:bottom w:val="none" w:sz="0" w:space="0" w:color="auto"/>
                            <w:right w:val="none" w:sz="0" w:space="0" w:color="auto"/>
                          </w:divBdr>
                        </w:div>
                        <w:div w:id="1670449496">
                          <w:marLeft w:val="0"/>
                          <w:marRight w:val="0"/>
                          <w:marTop w:val="0"/>
                          <w:marBottom w:val="0"/>
                          <w:divBdr>
                            <w:top w:val="none" w:sz="0" w:space="0" w:color="auto"/>
                            <w:left w:val="none" w:sz="0" w:space="0" w:color="auto"/>
                            <w:bottom w:val="none" w:sz="0" w:space="0" w:color="auto"/>
                            <w:right w:val="none" w:sz="0" w:space="0" w:color="auto"/>
                          </w:divBdr>
                        </w:div>
                        <w:div w:id="55975043">
                          <w:marLeft w:val="0"/>
                          <w:marRight w:val="0"/>
                          <w:marTop w:val="0"/>
                          <w:marBottom w:val="0"/>
                          <w:divBdr>
                            <w:top w:val="none" w:sz="0" w:space="0" w:color="auto"/>
                            <w:left w:val="none" w:sz="0" w:space="0" w:color="auto"/>
                            <w:bottom w:val="none" w:sz="0" w:space="0" w:color="auto"/>
                            <w:right w:val="none" w:sz="0" w:space="0" w:color="auto"/>
                          </w:divBdr>
                        </w:div>
                        <w:div w:id="1897008679">
                          <w:marLeft w:val="0"/>
                          <w:marRight w:val="0"/>
                          <w:marTop w:val="0"/>
                          <w:marBottom w:val="0"/>
                          <w:divBdr>
                            <w:top w:val="none" w:sz="0" w:space="0" w:color="auto"/>
                            <w:left w:val="none" w:sz="0" w:space="0" w:color="auto"/>
                            <w:bottom w:val="none" w:sz="0" w:space="0" w:color="auto"/>
                            <w:right w:val="none" w:sz="0" w:space="0" w:color="auto"/>
                          </w:divBdr>
                        </w:div>
                        <w:div w:id="135421176">
                          <w:marLeft w:val="0"/>
                          <w:marRight w:val="0"/>
                          <w:marTop w:val="0"/>
                          <w:marBottom w:val="0"/>
                          <w:divBdr>
                            <w:top w:val="none" w:sz="0" w:space="0" w:color="auto"/>
                            <w:left w:val="none" w:sz="0" w:space="0" w:color="auto"/>
                            <w:bottom w:val="none" w:sz="0" w:space="0" w:color="auto"/>
                            <w:right w:val="none" w:sz="0" w:space="0" w:color="auto"/>
                          </w:divBdr>
                        </w:div>
                        <w:div w:id="1007098252">
                          <w:marLeft w:val="0"/>
                          <w:marRight w:val="0"/>
                          <w:marTop w:val="0"/>
                          <w:marBottom w:val="0"/>
                          <w:divBdr>
                            <w:top w:val="none" w:sz="0" w:space="0" w:color="auto"/>
                            <w:left w:val="none" w:sz="0" w:space="0" w:color="auto"/>
                            <w:bottom w:val="none" w:sz="0" w:space="0" w:color="auto"/>
                            <w:right w:val="none" w:sz="0" w:space="0" w:color="auto"/>
                          </w:divBdr>
                        </w:div>
                        <w:div w:id="74071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4987816">
      <w:bodyDiv w:val="1"/>
      <w:marLeft w:val="0"/>
      <w:marRight w:val="0"/>
      <w:marTop w:val="0"/>
      <w:marBottom w:val="0"/>
      <w:divBdr>
        <w:top w:val="none" w:sz="0" w:space="0" w:color="auto"/>
        <w:left w:val="none" w:sz="0" w:space="0" w:color="auto"/>
        <w:bottom w:val="none" w:sz="0" w:space="0" w:color="auto"/>
        <w:right w:val="none" w:sz="0" w:space="0" w:color="auto"/>
      </w:divBdr>
    </w:div>
    <w:div w:id="346058761">
      <w:bodyDiv w:val="1"/>
      <w:marLeft w:val="0"/>
      <w:marRight w:val="0"/>
      <w:marTop w:val="0"/>
      <w:marBottom w:val="0"/>
      <w:divBdr>
        <w:top w:val="none" w:sz="0" w:space="0" w:color="auto"/>
        <w:left w:val="none" w:sz="0" w:space="0" w:color="auto"/>
        <w:bottom w:val="none" w:sz="0" w:space="0" w:color="auto"/>
        <w:right w:val="none" w:sz="0" w:space="0" w:color="auto"/>
      </w:divBdr>
    </w:div>
    <w:div w:id="349963144">
      <w:bodyDiv w:val="1"/>
      <w:marLeft w:val="0"/>
      <w:marRight w:val="0"/>
      <w:marTop w:val="0"/>
      <w:marBottom w:val="0"/>
      <w:divBdr>
        <w:top w:val="none" w:sz="0" w:space="0" w:color="auto"/>
        <w:left w:val="none" w:sz="0" w:space="0" w:color="auto"/>
        <w:bottom w:val="none" w:sz="0" w:space="0" w:color="auto"/>
        <w:right w:val="none" w:sz="0" w:space="0" w:color="auto"/>
      </w:divBdr>
    </w:div>
    <w:div w:id="352074282">
      <w:bodyDiv w:val="1"/>
      <w:marLeft w:val="0"/>
      <w:marRight w:val="0"/>
      <w:marTop w:val="0"/>
      <w:marBottom w:val="0"/>
      <w:divBdr>
        <w:top w:val="none" w:sz="0" w:space="0" w:color="auto"/>
        <w:left w:val="none" w:sz="0" w:space="0" w:color="auto"/>
        <w:bottom w:val="none" w:sz="0" w:space="0" w:color="auto"/>
        <w:right w:val="none" w:sz="0" w:space="0" w:color="auto"/>
      </w:divBdr>
    </w:div>
    <w:div w:id="359940020">
      <w:bodyDiv w:val="1"/>
      <w:marLeft w:val="0"/>
      <w:marRight w:val="0"/>
      <w:marTop w:val="0"/>
      <w:marBottom w:val="0"/>
      <w:divBdr>
        <w:top w:val="none" w:sz="0" w:space="0" w:color="auto"/>
        <w:left w:val="none" w:sz="0" w:space="0" w:color="auto"/>
        <w:bottom w:val="none" w:sz="0" w:space="0" w:color="auto"/>
        <w:right w:val="none" w:sz="0" w:space="0" w:color="auto"/>
      </w:divBdr>
    </w:div>
    <w:div w:id="371613619">
      <w:bodyDiv w:val="1"/>
      <w:marLeft w:val="0"/>
      <w:marRight w:val="0"/>
      <w:marTop w:val="0"/>
      <w:marBottom w:val="0"/>
      <w:divBdr>
        <w:top w:val="none" w:sz="0" w:space="0" w:color="auto"/>
        <w:left w:val="none" w:sz="0" w:space="0" w:color="auto"/>
        <w:bottom w:val="none" w:sz="0" w:space="0" w:color="auto"/>
        <w:right w:val="none" w:sz="0" w:space="0" w:color="auto"/>
      </w:divBdr>
    </w:div>
    <w:div w:id="382339937">
      <w:bodyDiv w:val="1"/>
      <w:marLeft w:val="0"/>
      <w:marRight w:val="0"/>
      <w:marTop w:val="0"/>
      <w:marBottom w:val="0"/>
      <w:divBdr>
        <w:top w:val="none" w:sz="0" w:space="0" w:color="auto"/>
        <w:left w:val="none" w:sz="0" w:space="0" w:color="auto"/>
        <w:bottom w:val="none" w:sz="0" w:space="0" w:color="auto"/>
        <w:right w:val="none" w:sz="0" w:space="0" w:color="auto"/>
      </w:divBdr>
    </w:div>
    <w:div w:id="391388796">
      <w:bodyDiv w:val="1"/>
      <w:marLeft w:val="0"/>
      <w:marRight w:val="0"/>
      <w:marTop w:val="0"/>
      <w:marBottom w:val="0"/>
      <w:divBdr>
        <w:top w:val="none" w:sz="0" w:space="0" w:color="auto"/>
        <w:left w:val="none" w:sz="0" w:space="0" w:color="auto"/>
        <w:bottom w:val="none" w:sz="0" w:space="0" w:color="auto"/>
        <w:right w:val="none" w:sz="0" w:space="0" w:color="auto"/>
      </w:divBdr>
    </w:div>
    <w:div w:id="401566903">
      <w:bodyDiv w:val="1"/>
      <w:marLeft w:val="0"/>
      <w:marRight w:val="0"/>
      <w:marTop w:val="0"/>
      <w:marBottom w:val="0"/>
      <w:divBdr>
        <w:top w:val="none" w:sz="0" w:space="0" w:color="auto"/>
        <w:left w:val="none" w:sz="0" w:space="0" w:color="auto"/>
        <w:bottom w:val="none" w:sz="0" w:space="0" w:color="auto"/>
        <w:right w:val="none" w:sz="0" w:space="0" w:color="auto"/>
      </w:divBdr>
    </w:div>
    <w:div w:id="409546945">
      <w:bodyDiv w:val="1"/>
      <w:marLeft w:val="0"/>
      <w:marRight w:val="0"/>
      <w:marTop w:val="0"/>
      <w:marBottom w:val="0"/>
      <w:divBdr>
        <w:top w:val="none" w:sz="0" w:space="0" w:color="auto"/>
        <w:left w:val="none" w:sz="0" w:space="0" w:color="auto"/>
        <w:bottom w:val="none" w:sz="0" w:space="0" w:color="auto"/>
        <w:right w:val="none" w:sz="0" w:space="0" w:color="auto"/>
      </w:divBdr>
    </w:div>
    <w:div w:id="412122430">
      <w:bodyDiv w:val="1"/>
      <w:marLeft w:val="0"/>
      <w:marRight w:val="0"/>
      <w:marTop w:val="0"/>
      <w:marBottom w:val="0"/>
      <w:divBdr>
        <w:top w:val="none" w:sz="0" w:space="0" w:color="auto"/>
        <w:left w:val="none" w:sz="0" w:space="0" w:color="auto"/>
        <w:bottom w:val="none" w:sz="0" w:space="0" w:color="auto"/>
        <w:right w:val="none" w:sz="0" w:space="0" w:color="auto"/>
      </w:divBdr>
    </w:div>
    <w:div w:id="416441346">
      <w:bodyDiv w:val="1"/>
      <w:marLeft w:val="0"/>
      <w:marRight w:val="0"/>
      <w:marTop w:val="0"/>
      <w:marBottom w:val="0"/>
      <w:divBdr>
        <w:top w:val="none" w:sz="0" w:space="0" w:color="auto"/>
        <w:left w:val="none" w:sz="0" w:space="0" w:color="auto"/>
        <w:bottom w:val="none" w:sz="0" w:space="0" w:color="auto"/>
        <w:right w:val="none" w:sz="0" w:space="0" w:color="auto"/>
      </w:divBdr>
    </w:div>
    <w:div w:id="420764167">
      <w:bodyDiv w:val="1"/>
      <w:marLeft w:val="0"/>
      <w:marRight w:val="0"/>
      <w:marTop w:val="0"/>
      <w:marBottom w:val="0"/>
      <w:divBdr>
        <w:top w:val="none" w:sz="0" w:space="0" w:color="auto"/>
        <w:left w:val="none" w:sz="0" w:space="0" w:color="auto"/>
        <w:bottom w:val="none" w:sz="0" w:space="0" w:color="auto"/>
        <w:right w:val="none" w:sz="0" w:space="0" w:color="auto"/>
      </w:divBdr>
    </w:div>
    <w:div w:id="421146781">
      <w:bodyDiv w:val="1"/>
      <w:marLeft w:val="0"/>
      <w:marRight w:val="0"/>
      <w:marTop w:val="0"/>
      <w:marBottom w:val="0"/>
      <w:divBdr>
        <w:top w:val="none" w:sz="0" w:space="0" w:color="auto"/>
        <w:left w:val="none" w:sz="0" w:space="0" w:color="auto"/>
        <w:bottom w:val="none" w:sz="0" w:space="0" w:color="auto"/>
        <w:right w:val="none" w:sz="0" w:space="0" w:color="auto"/>
      </w:divBdr>
    </w:div>
    <w:div w:id="423919602">
      <w:bodyDiv w:val="1"/>
      <w:marLeft w:val="0"/>
      <w:marRight w:val="0"/>
      <w:marTop w:val="0"/>
      <w:marBottom w:val="0"/>
      <w:divBdr>
        <w:top w:val="none" w:sz="0" w:space="0" w:color="auto"/>
        <w:left w:val="none" w:sz="0" w:space="0" w:color="auto"/>
        <w:bottom w:val="none" w:sz="0" w:space="0" w:color="auto"/>
        <w:right w:val="none" w:sz="0" w:space="0" w:color="auto"/>
      </w:divBdr>
    </w:div>
    <w:div w:id="430200856">
      <w:bodyDiv w:val="1"/>
      <w:marLeft w:val="0"/>
      <w:marRight w:val="0"/>
      <w:marTop w:val="0"/>
      <w:marBottom w:val="0"/>
      <w:divBdr>
        <w:top w:val="none" w:sz="0" w:space="0" w:color="auto"/>
        <w:left w:val="none" w:sz="0" w:space="0" w:color="auto"/>
        <w:bottom w:val="none" w:sz="0" w:space="0" w:color="auto"/>
        <w:right w:val="none" w:sz="0" w:space="0" w:color="auto"/>
      </w:divBdr>
    </w:div>
    <w:div w:id="434635428">
      <w:bodyDiv w:val="1"/>
      <w:marLeft w:val="0"/>
      <w:marRight w:val="0"/>
      <w:marTop w:val="0"/>
      <w:marBottom w:val="0"/>
      <w:divBdr>
        <w:top w:val="none" w:sz="0" w:space="0" w:color="auto"/>
        <w:left w:val="none" w:sz="0" w:space="0" w:color="auto"/>
        <w:bottom w:val="none" w:sz="0" w:space="0" w:color="auto"/>
        <w:right w:val="none" w:sz="0" w:space="0" w:color="auto"/>
      </w:divBdr>
    </w:div>
    <w:div w:id="443115930">
      <w:bodyDiv w:val="1"/>
      <w:marLeft w:val="0"/>
      <w:marRight w:val="0"/>
      <w:marTop w:val="0"/>
      <w:marBottom w:val="0"/>
      <w:divBdr>
        <w:top w:val="none" w:sz="0" w:space="0" w:color="auto"/>
        <w:left w:val="none" w:sz="0" w:space="0" w:color="auto"/>
        <w:bottom w:val="none" w:sz="0" w:space="0" w:color="auto"/>
        <w:right w:val="none" w:sz="0" w:space="0" w:color="auto"/>
      </w:divBdr>
    </w:div>
    <w:div w:id="451706336">
      <w:bodyDiv w:val="1"/>
      <w:marLeft w:val="0"/>
      <w:marRight w:val="0"/>
      <w:marTop w:val="0"/>
      <w:marBottom w:val="0"/>
      <w:divBdr>
        <w:top w:val="none" w:sz="0" w:space="0" w:color="auto"/>
        <w:left w:val="none" w:sz="0" w:space="0" w:color="auto"/>
        <w:bottom w:val="none" w:sz="0" w:space="0" w:color="auto"/>
        <w:right w:val="none" w:sz="0" w:space="0" w:color="auto"/>
      </w:divBdr>
    </w:div>
    <w:div w:id="452864454">
      <w:bodyDiv w:val="1"/>
      <w:marLeft w:val="0"/>
      <w:marRight w:val="0"/>
      <w:marTop w:val="0"/>
      <w:marBottom w:val="0"/>
      <w:divBdr>
        <w:top w:val="none" w:sz="0" w:space="0" w:color="auto"/>
        <w:left w:val="none" w:sz="0" w:space="0" w:color="auto"/>
        <w:bottom w:val="none" w:sz="0" w:space="0" w:color="auto"/>
        <w:right w:val="none" w:sz="0" w:space="0" w:color="auto"/>
      </w:divBdr>
    </w:div>
    <w:div w:id="457377558">
      <w:bodyDiv w:val="1"/>
      <w:marLeft w:val="0"/>
      <w:marRight w:val="0"/>
      <w:marTop w:val="0"/>
      <w:marBottom w:val="0"/>
      <w:divBdr>
        <w:top w:val="none" w:sz="0" w:space="0" w:color="auto"/>
        <w:left w:val="none" w:sz="0" w:space="0" w:color="auto"/>
        <w:bottom w:val="none" w:sz="0" w:space="0" w:color="auto"/>
        <w:right w:val="none" w:sz="0" w:space="0" w:color="auto"/>
      </w:divBdr>
    </w:div>
    <w:div w:id="458378475">
      <w:bodyDiv w:val="1"/>
      <w:marLeft w:val="0"/>
      <w:marRight w:val="0"/>
      <w:marTop w:val="0"/>
      <w:marBottom w:val="0"/>
      <w:divBdr>
        <w:top w:val="none" w:sz="0" w:space="0" w:color="auto"/>
        <w:left w:val="none" w:sz="0" w:space="0" w:color="auto"/>
        <w:bottom w:val="none" w:sz="0" w:space="0" w:color="auto"/>
        <w:right w:val="none" w:sz="0" w:space="0" w:color="auto"/>
      </w:divBdr>
    </w:div>
    <w:div w:id="461582973">
      <w:bodyDiv w:val="1"/>
      <w:marLeft w:val="0"/>
      <w:marRight w:val="0"/>
      <w:marTop w:val="0"/>
      <w:marBottom w:val="0"/>
      <w:divBdr>
        <w:top w:val="none" w:sz="0" w:space="0" w:color="auto"/>
        <w:left w:val="none" w:sz="0" w:space="0" w:color="auto"/>
        <w:bottom w:val="none" w:sz="0" w:space="0" w:color="auto"/>
        <w:right w:val="none" w:sz="0" w:space="0" w:color="auto"/>
      </w:divBdr>
    </w:div>
    <w:div w:id="467625232">
      <w:bodyDiv w:val="1"/>
      <w:marLeft w:val="0"/>
      <w:marRight w:val="0"/>
      <w:marTop w:val="0"/>
      <w:marBottom w:val="0"/>
      <w:divBdr>
        <w:top w:val="none" w:sz="0" w:space="0" w:color="auto"/>
        <w:left w:val="none" w:sz="0" w:space="0" w:color="auto"/>
        <w:bottom w:val="none" w:sz="0" w:space="0" w:color="auto"/>
        <w:right w:val="none" w:sz="0" w:space="0" w:color="auto"/>
      </w:divBdr>
      <w:divsChild>
        <w:div w:id="2114010480">
          <w:marLeft w:val="0"/>
          <w:marRight w:val="0"/>
          <w:marTop w:val="0"/>
          <w:marBottom w:val="0"/>
          <w:divBdr>
            <w:top w:val="none" w:sz="0" w:space="0" w:color="auto"/>
            <w:left w:val="none" w:sz="0" w:space="0" w:color="auto"/>
            <w:bottom w:val="none" w:sz="0" w:space="0" w:color="auto"/>
            <w:right w:val="none" w:sz="0" w:space="0" w:color="auto"/>
          </w:divBdr>
        </w:div>
      </w:divsChild>
    </w:div>
    <w:div w:id="472719549">
      <w:bodyDiv w:val="1"/>
      <w:marLeft w:val="0"/>
      <w:marRight w:val="0"/>
      <w:marTop w:val="0"/>
      <w:marBottom w:val="0"/>
      <w:divBdr>
        <w:top w:val="none" w:sz="0" w:space="0" w:color="auto"/>
        <w:left w:val="none" w:sz="0" w:space="0" w:color="auto"/>
        <w:bottom w:val="none" w:sz="0" w:space="0" w:color="auto"/>
        <w:right w:val="none" w:sz="0" w:space="0" w:color="auto"/>
      </w:divBdr>
    </w:div>
    <w:div w:id="475336921">
      <w:bodyDiv w:val="1"/>
      <w:marLeft w:val="0"/>
      <w:marRight w:val="0"/>
      <w:marTop w:val="0"/>
      <w:marBottom w:val="0"/>
      <w:divBdr>
        <w:top w:val="none" w:sz="0" w:space="0" w:color="auto"/>
        <w:left w:val="none" w:sz="0" w:space="0" w:color="auto"/>
        <w:bottom w:val="none" w:sz="0" w:space="0" w:color="auto"/>
        <w:right w:val="none" w:sz="0" w:space="0" w:color="auto"/>
      </w:divBdr>
    </w:div>
    <w:div w:id="477846913">
      <w:bodyDiv w:val="1"/>
      <w:marLeft w:val="0"/>
      <w:marRight w:val="0"/>
      <w:marTop w:val="0"/>
      <w:marBottom w:val="0"/>
      <w:divBdr>
        <w:top w:val="none" w:sz="0" w:space="0" w:color="auto"/>
        <w:left w:val="none" w:sz="0" w:space="0" w:color="auto"/>
        <w:bottom w:val="none" w:sz="0" w:space="0" w:color="auto"/>
        <w:right w:val="none" w:sz="0" w:space="0" w:color="auto"/>
      </w:divBdr>
    </w:div>
    <w:div w:id="478039842">
      <w:bodyDiv w:val="1"/>
      <w:marLeft w:val="0"/>
      <w:marRight w:val="0"/>
      <w:marTop w:val="0"/>
      <w:marBottom w:val="0"/>
      <w:divBdr>
        <w:top w:val="none" w:sz="0" w:space="0" w:color="auto"/>
        <w:left w:val="none" w:sz="0" w:space="0" w:color="auto"/>
        <w:bottom w:val="none" w:sz="0" w:space="0" w:color="auto"/>
        <w:right w:val="none" w:sz="0" w:space="0" w:color="auto"/>
      </w:divBdr>
    </w:div>
    <w:div w:id="484199877">
      <w:bodyDiv w:val="1"/>
      <w:marLeft w:val="0"/>
      <w:marRight w:val="0"/>
      <w:marTop w:val="0"/>
      <w:marBottom w:val="0"/>
      <w:divBdr>
        <w:top w:val="none" w:sz="0" w:space="0" w:color="auto"/>
        <w:left w:val="none" w:sz="0" w:space="0" w:color="auto"/>
        <w:bottom w:val="none" w:sz="0" w:space="0" w:color="auto"/>
        <w:right w:val="none" w:sz="0" w:space="0" w:color="auto"/>
      </w:divBdr>
    </w:div>
    <w:div w:id="487406415">
      <w:bodyDiv w:val="1"/>
      <w:marLeft w:val="0"/>
      <w:marRight w:val="0"/>
      <w:marTop w:val="0"/>
      <w:marBottom w:val="0"/>
      <w:divBdr>
        <w:top w:val="none" w:sz="0" w:space="0" w:color="auto"/>
        <w:left w:val="none" w:sz="0" w:space="0" w:color="auto"/>
        <w:bottom w:val="none" w:sz="0" w:space="0" w:color="auto"/>
        <w:right w:val="none" w:sz="0" w:space="0" w:color="auto"/>
      </w:divBdr>
    </w:div>
    <w:div w:id="491877150">
      <w:bodyDiv w:val="1"/>
      <w:marLeft w:val="0"/>
      <w:marRight w:val="0"/>
      <w:marTop w:val="0"/>
      <w:marBottom w:val="0"/>
      <w:divBdr>
        <w:top w:val="none" w:sz="0" w:space="0" w:color="auto"/>
        <w:left w:val="none" w:sz="0" w:space="0" w:color="auto"/>
        <w:bottom w:val="none" w:sz="0" w:space="0" w:color="auto"/>
        <w:right w:val="none" w:sz="0" w:space="0" w:color="auto"/>
      </w:divBdr>
    </w:div>
    <w:div w:id="492724474">
      <w:bodyDiv w:val="1"/>
      <w:marLeft w:val="0"/>
      <w:marRight w:val="0"/>
      <w:marTop w:val="0"/>
      <w:marBottom w:val="0"/>
      <w:divBdr>
        <w:top w:val="none" w:sz="0" w:space="0" w:color="auto"/>
        <w:left w:val="none" w:sz="0" w:space="0" w:color="auto"/>
        <w:bottom w:val="none" w:sz="0" w:space="0" w:color="auto"/>
        <w:right w:val="none" w:sz="0" w:space="0" w:color="auto"/>
      </w:divBdr>
    </w:div>
    <w:div w:id="493762798">
      <w:bodyDiv w:val="1"/>
      <w:marLeft w:val="0"/>
      <w:marRight w:val="0"/>
      <w:marTop w:val="0"/>
      <w:marBottom w:val="0"/>
      <w:divBdr>
        <w:top w:val="none" w:sz="0" w:space="0" w:color="auto"/>
        <w:left w:val="none" w:sz="0" w:space="0" w:color="auto"/>
        <w:bottom w:val="none" w:sz="0" w:space="0" w:color="auto"/>
        <w:right w:val="none" w:sz="0" w:space="0" w:color="auto"/>
      </w:divBdr>
      <w:divsChild>
        <w:div w:id="449399322">
          <w:marLeft w:val="0"/>
          <w:marRight w:val="0"/>
          <w:marTop w:val="0"/>
          <w:marBottom w:val="0"/>
          <w:divBdr>
            <w:top w:val="none" w:sz="0" w:space="0" w:color="auto"/>
            <w:left w:val="none" w:sz="0" w:space="0" w:color="auto"/>
            <w:bottom w:val="none" w:sz="0" w:space="0" w:color="auto"/>
            <w:right w:val="none" w:sz="0" w:space="0" w:color="auto"/>
          </w:divBdr>
        </w:div>
        <w:div w:id="1406099961">
          <w:marLeft w:val="0"/>
          <w:marRight w:val="0"/>
          <w:marTop w:val="0"/>
          <w:marBottom w:val="0"/>
          <w:divBdr>
            <w:top w:val="none" w:sz="0" w:space="0" w:color="auto"/>
            <w:left w:val="none" w:sz="0" w:space="0" w:color="auto"/>
            <w:bottom w:val="none" w:sz="0" w:space="0" w:color="auto"/>
            <w:right w:val="none" w:sz="0" w:space="0" w:color="auto"/>
          </w:divBdr>
        </w:div>
        <w:div w:id="778061005">
          <w:marLeft w:val="0"/>
          <w:marRight w:val="0"/>
          <w:marTop w:val="0"/>
          <w:marBottom w:val="0"/>
          <w:divBdr>
            <w:top w:val="none" w:sz="0" w:space="0" w:color="auto"/>
            <w:left w:val="none" w:sz="0" w:space="0" w:color="auto"/>
            <w:bottom w:val="none" w:sz="0" w:space="0" w:color="auto"/>
            <w:right w:val="none" w:sz="0" w:space="0" w:color="auto"/>
          </w:divBdr>
        </w:div>
        <w:div w:id="228344989">
          <w:marLeft w:val="0"/>
          <w:marRight w:val="0"/>
          <w:marTop w:val="0"/>
          <w:marBottom w:val="0"/>
          <w:divBdr>
            <w:top w:val="none" w:sz="0" w:space="0" w:color="auto"/>
            <w:left w:val="none" w:sz="0" w:space="0" w:color="auto"/>
            <w:bottom w:val="none" w:sz="0" w:space="0" w:color="auto"/>
            <w:right w:val="none" w:sz="0" w:space="0" w:color="auto"/>
          </w:divBdr>
        </w:div>
        <w:div w:id="1635520180">
          <w:marLeft w:val="0"/>
          <w:marRight w:val="0"/>
          <w:marTop w:val="0"/>
          <w:marBottom w:val="0"/>
          <w:divBdr>
            <w:top w:val="none" w:sz="0" w:space="0" w:color="auto"/>
            <w:left w:val="none" w:sz="0" w:space="0" w:color="auto"/>
            <w:bottom w:val="none" w:sz="0" w:space="0" w:color="auto"/>
            <w:right w:val="none" w:sz="0" w:space="0" w:color="auto"/>
          </w:divBdr>
        </w:div>
        <w:div w:id="645476002">
          <w:marLeft w:val="0"/>
          <w:marRight w:val="0"/>
          <w:marTop w:val="0"/>
          <w:marBottom w:val="0"/>
          <w:divBdr>
            <w:top w:val="none" w:sz="0" w:space="0" w:color="auto"/>
            <w:left w:val="none" w:sz="0" w:space="0" w:color="auto"/>
            <w:bottom w:val="none" w:sz="0" w:space="0" w:color="auto"/>
            <w:right w:val="none" w:sz="0" w:space="0" w:color="auto"/>
          </w:divBdr>
        </w:div>
        <w:div w:id="157311528">
          <w:marLeft w:val="0"/>
          <w:marRight w:val="0"/>
          <w:marTop w:val="0"/>
          <w:marBottom w:val="0"/>
          <w:divBdr>
            <w:top w:val="none" w:sz="0" w:space="0" w:color="auto"/>
            <w:left w:val="none" w:sz="0" w:space="0" w:color="auto"/>
            <w:bottom w:val="none" w:sz="0" w:space="0" w:color="auto"/>
            <w:right w:val="none" w:sz="0" w:space="0" w:color="auto"/>
          </w:divBdr>
        </w:div>
        <w:div w:id="823159641">
          <w:marLeft w:val="0"/>
          <w:marRight w:val="0"/>
          <w:marTop w:val="0"/>
          <w:marBottom w:val="0"/>
          <w:divBdr>
            <w:top w:val="none" w:sz="0" w:space="0" w:color="auto"/>
            <w:left w:val="none" w:sz="0" w:space="0" w:color="auto"/>
            <w:bottom w:val="none" w:sz="0" w:space="0" w:color="auto"/>
            <w:right w:val="none" w:sz="0" w:space="0" w:color="auto"/>
          </w:divBdr>
        </w:div>
        <w:div w:id="1382898333">
          <w:marLeft w:val="0"/>
          <w:marRight w:val="0"/>
          <w:marTop w:val="0"/>
          <w:marBottom w:val="0"/>
          <w:divBdr>
            <w:top w:val="none" w:sz="0" w:space="0" w:color="auto"/>
            <w:left w:val="none" w:sz="0" w:space="0" w:color="auto"/>
            <w:bottom w:val="none" w:sz="0" w:space="0" w:color="auto"/>
            <w:right w:val="none" w:sz="0" w:space="0" w:color="auto"/>
          </w:divBdr>
        </w:div>
        <w:div w:id="1236625037">
          <w:marLeft w:val="0"/>
          <w:marRight w:val="0"/>
          <w:marTop w:val="0"/>
          <w:marBottom w:val="0"/>
          <w:divBdr>
            <w:top w:val="none" w:sz="0" w:space="0" w:color="auto"/>
            <w:left w:val="none" w:sz="0" w:space="0" w:color="auto"/>
            <w:bottom w:val="none" w:sz="0" w:space="0" w:color="auto"/>
            <w:right w:val="none" w:sz="0" w:space="0" w:color="auto"/>
          </w:divBdr>
        </w:div>
        <w:div w:id="1383872336">
          <w:marLeft w:val="0"/>
          <w:marRight w:val="0"/>
          <w:marTop w:val="0"/>
          <w:marBottom w:val="0"/>
          <w:divBdr>
            <w:top w:val="none" w:sz="0" w:space="0" w:color="auto"/>
            <w:left w:val="none" w:sz="0" w:space="0" w:color="auto"/>
            <w:bottom w:val="none" w:sz="0" w:space="0" w:color="auto"/>
            <w:right w:val="none" w:sz="0" w:space="0" w:color="auto"/>
          </w:divBdr>
        </w:div>
        <w:div w:id="283080766">
          <w:marLeft w:val="0"/>
          <w:marRight w:val="0"/>
          <w:marTop w:val="0"/>
          <w:marBottom w:val="0"/>
          <w:divBdr>
            <w:top w:val="none" w:sz="0" w:space="0" w:color="auto"/>
            <w:left w:val="none" w:sz="0" w:space="0" w:color="auto"/>
            <w:bottom w:val="none" w:sz="0" w:space="0" w:color="auto"/>
            <w:right w:val="none" w:sz="0" w:space="0" w:color="auto"/>
          </w:divBdr>
        </w:div>
        <w:div w:id="391318626">
          <w:marLeft w:val="0"/>
          <w:marRight w:val="0"/>
          <w:marTop w:val="0"/>
          <w:marBottom w:val="0"/>
          <w:divBdr>
            <w:top w:val="none" w:sz="0" w:space="0" w:color="auto"/>
            <w:left w:val="none" w:sz="0" w:space="0" w:color="auto"/>
            <w:bottom w:val="none" w:sz="0" w:space="0" w:color="auto"/>
            <w:right w:val="none" w:sz="0" w:space="0" w:color="auto"/>
          </w:divBdr>
        </w:div>
      </w:divsChild>
    </w:div>
    <w:div w:id="495465533">
      <w:bodyDiv w:val="1"/>
      <w:marLeft w:val="0"/>
      <w:marRight w:val="0"/>
      <w:marTop w:val="0"/>
      <w:marBottom w:val="0"/>
      <w:divBdr>
        <w:top w:val="none" w:sz="0" w:space="0" w:color="auto"/>
        <w:left w:val="none" w:sz="0" w:space="0" w:color="auto"/>
        <w:bottom w:val="none" w:sz="0" w:space="0" w:color="auto"/>
        <w:right w:val="none" w:sz="0" w:space="0" w:color="auto"/>
      </w:divBdr>
    </w:div>
    <w:div w:id="498618934">
      <w:bodyDiv w:val="1"/>
      <w:marLeft w:val="0"/>
      <w:marRight w:val="0"/>
      <w:marTop w:val="0"/>
      <w:marBottom w:val="0"/>
      <w:divBdr>
        <w:top w:val="none" w:sz="0" w:space="0" w:color="auto"/>
        <w:left w:val="none" w:sz="0" w:space="0" w:color="auto"/>
        <w:bottom w:val="none" w:sz="0" w:space="0" w:color="auto"/>
        <w:right w:val="none" w:sz="0" w:space="0" w:color="auto"/>
      </w:divBdr>
    </w:div>
    <w:div w:id="503738575">
      <w:bodyDiv w:val="1"/>
      <w:marLeft w:val="0"/>
      <w:marRight w:val="0"/>
      <w:marTop w:val="0"/>
      <w:marBottom w:val="0"/>
      <w:divBdr>
        <w:top w:val="none" w:sz="0" w:space="0" w:color="auto"/>
        <w:left w:val="none" w:sz="0" w:space="0" w:color="auto"/>
        <w:bottom w:val="none" w:sz="0" w:space="0" w:color="auto"/>
        <w:right w:val="none" w:sz="0" w:space="0" w:color="auto"/>
      </w:divBdr>
    </w:div>
    <w:div w:id="504059359">
      <w:bodyDiv w:val="1"/>
      <w:marLeft w:val="0"/>
      <w:marRight w:val="0"/>
      <w:marTop w:val="0"/>
      <w:marBottom w:val="0"/>
      <w:divBdr>
        <w:top w:val="none" w:sz="0" w:space="0" w:color="auto"/>
        <w:left w:val="none" w:sz="0" w:space="0" w:color="auto"/>
        <w:bottom w:val="none" w:sz="0" w:space="0" w:color="auto"/>
        <w:right w:val="none" w:sz="0" w:space="0" w:color="auto"/>
      </w:divBdr>
    </w:div>
    <w:div w:id="504367444">
      <w:bodyDiv w:val="1"/>
      <w:marLeft w:val="0"/>
      <w:marRight w:val="0"/>
      <w:marTop w:val="0"/>
      <w:marBottom w:val="0"/>
      <w:divBdr>
        <w:top w:val="none" w:sz="0" w:space="0" w:color="auto"/>
        <w:left w:val="none" w:sz="0" w:space="0" w:color="auto"/>
        <w:bottom w:val="none" w:sz="0" w:space="0" w:color="auto"/>
        <w:right w:val="none" w:sz="0" w:space="0" w:color="auto"/>
      </w:divBdr>
    </w:div>
    <w:div w:id="509488653">
      <w:bodyDiv w:val="1"/>
      <w:marLeft w:val="0"/>
      <w:marRight w:val="0"/>
      <w:marTop w:val="0"/>
      <w:marBottom w:val="0"/>
      <w:divBdr>
        <w:top w:val="none" w:sz="0" w:space="0" w:color="auto"/>
        <w:left w:val="none" w:sz="0" w:space="0" w:color="auto"/>
        <w:bottom w:val="none" w:sz="0" w:space="0" w:color="auto"/>
        <w:right w:val="none" w:sz="0" w:space="0" w:color="auto"/>
      </w:divBdr>
    </w:div>
    <w:div w:id="514809623">
      <w:bodyDiv w:val="1"/>
      <w:marLeft w:val="0"/>
      <w:marRight w:val="0"/>
      <w:marTop w:val="0"/>
      <w:marBottom w:val="0"/>
      <w:divBdr>
        <w:top w:val="none" w:sz="0" w:space="0" w:color="auto"/>
        <w:left w:val="none" w:sz="0" w:space="0" w:color="auto"/>
        <w:bottom w:val="none" w:sz="0" w:space="0" w:color="auto"/>
        <w:right w:val="none" w:sz="0" w:space="0" w:color="auto"/>
      </w:divBdr>
    </w:div>
    <w:div w:id="516044650">
      <w:bodyDiv w:val="1"/>
      <w:marLeft w:val="0"/>
      <w:marRight w:val="0"/>
      <w:marTop w:val="0"/>
      <w:marBottom w:val="0"/>
      <w:divBdr>
        <w:top w:val="none" w:sz="0" w:space="0" w:color="auto"/>
        <w:left w:val="none" w:sz="0" w:space="0" w:color="auto"/>
        <w:bottom w:val="none" w:sz="0" w:space="0" w:color="auto"/>
        <w:right w:val="none" w:sz="0" w:space="0" w:color="auto"/>
      </w:divBdr>
    </w:div>
    <w:div w:id="516887666">
      <w:bodyDiv w:val="1"/>
      <w:marLeft w:val="0"/>
      <w:marRight w:val="0"/>
      <w:marTop w:val="0"/>
      <w:marBottom w:val="0"/>
      <w:divBdr>
        <w:top w:val="none" w:sz="0" w:space="0" w:color="auto"/>
        <w:left w:val="none" w:sz="0" w:space="0" w:color="auto"/>
        <w:bottom w:val="none" w:sz="0" w:space="0" w:color="auto"/>
        <w:right w:val="none" w:sz="0" w:space="0" w:color="auto"/>
      </w:divBdr>
    </w:div>
    <w:div w:id="521936552">
      <w:bodyDiv w:val="1"/>
      <w:marLeft w:val="0"/>
      <w:marRight w:val="0"/>
      <w:marTop w:val="0"/>
      <w:marBottom w:val="0"/>
      <w:divBdr>
        <w:top w:val="none" w:sz="0" w:space="0" w:color="auto"/>
        <w:left w:val="none" w:sz="0" w:space="0" w:color="auto"/>
        <w:bottom w:val="none" w:sz="0" w:space="0" w:color="auto"/>
        <w:right w:val="none" w:sz="0" w:space="0" w:color="auto"/>
      </w:divBdr>
    </w:div>
    <w:div w:id="524442856">
      <w:bodyDiv w:val="1"/>
      <w:marLeft w:val="0"/>
      <w:marRight w:val="0"/>
      <w:marTop w:val="0"/>
      <w:marBottom w:val="0"/>
      <w:divBdr>
        <w:top w:val="none" w:sz="0" w:space="0" w:color="auto"/>
        <w:left w:val="none" w:sz="0" w:space="0" w:color="auto"/>
        <w:bottom w:val="none" w:sz="0" w:space="0" w:color="auto"/>
        <w:right w:val="none" w:sz="0" w:space="0" w:color="auto"/>
      </w:divBdr>
    </w:div>
    <w:div w:id="524902899">
      <w:bodyDiv w:val="1"/>
      <w:marLeft w:val="0"/>
      <w:marRight w:val="0"/>
      <w:marTop w:val="0"/>
      <w:marBottom w:val="0"/>
      <w:divBdr>
        <w:top w:val="none" w:sz="0" w:space="0" w:color="auto"/>
        <w:left w:val="none" w:sz="0" w:space="0" w:color="auto"/>
        <w:bottom w:val="none" w:sz="0" w:space="0" w:color="auto"/>
        <w:right w:val="none" w:sz="0" w:space="0" w:color="auto"/>
      </w:divBdr>
    </w:div>
    <w:div w:id="527958898">
      <w:bodyDiv w:val="1"/>
      <w:marLeft w:val="0"/>
      <w:marRight w:val="0"/>
      <w:marTop w:val="0"/>
      <w:marBottom w:val="0"/>
      <w:divBdr>
        <w:top w:val="none" w:sz="0" w:space="0" w:color="auto"/>
        <w:left w:val="none" w:sz="0" w:space="0" w:color="auto"/>
        <w:bottom w:val="none" w:sz="0" w:space="0" w:color="auto"/>
        <w:right w:val="none" w:sz="0" w:space="0" w:color="auto"/>
      </w:divBdr>
    </w:div>
    <w:div w:id="529143298">
      <w:bodyDiv w:val="1"/>
      <w:marLeft w:val="0"/>
      <w:marRight w:val="0"/>
      <w:marTop w:val="0"/>
      <w:marBottom w:val="0"/>
      <w:divBdr>
        <w:top w:val="none" w:sz="0" w:space="0" w:color="auto"/>
        <w:left w:val="none" w:sz="0" w:space="0" w:color="auto"/>
        <w:bottom w:val="none" w:sz="0" w:space="0" w:color="auto"/>
        <w:right w:val="none" w:sz="0" w:space="0" w:color="auto"/>
      </w:divBdr>
    </w:div>
    <w:div w:id="541022832">
      <w:bodyDiv w:val="1"/>
      <w:marLeft w:val="0"/>
      <w:marRight w:val="0"/>
      <w:marTop w:val="0"/>
      <w:marBottom w:val="0"/>
      <w:divBdr>
        <w:top w:val="none" w:sz="0" w:space="0" w:color="auto"/>
        <w:left w:val="none" w:sz="0" w:space="0" w:color="auto"/>
        <w:bottom w:val="none" w:sz="0" w:space="0" w:color="auto"/>
        <w:right w:val="none" w:sz="0" w:space="0" w:color="auto"/>
      </w:divBdr>
    </w:div>
    <w:div w:id="544022338">
      <w:bodyDiv w:val="1"/>
      <w:marLeft w:val="0"/>
      <w:marRight w:val="0"/>
      <w:marTop w:val="0"/>
      <w:marBottom w:val="0"/>
      <w:divBdr>
        <w:top w:val="none" w:sz="0" w:space="0" w:color="auto"/>
        <w:left w:val="none" w:sz="0" w:space="0" w:color="auto"/>
        <w:bottom w:val="none" w:sz="0" w:space="0" w:color="auto"/>
        <w:right w:val="none" w:sz="0" w:space="0" w:color="auto"/>
      </w:divBdr>
    </w:div>
    <w:div w:id="544685918">
      <w:bodyDiv w:val="1"/>
      <w:marLeft w:val="0"/>
      <w:marRight w:val="0"/>
      <w:marTop w:val="0"/>
      <w:marBottom w:val="0"/>
      <w:divBdr>
        <w:top w:val="none" w:sz="0" w:space="0" w:color="auto"/>
        <w:left w:val="none" w:sz="0" w:space="0" w:color="auto"/>
        <w:bottom w:val="none" w:sz="0" w:space="0" w:color="auto"/>
        <w:right w:val="none" w:sz="0" w:space="0" w:color="auto"/>
      </w:divBdr>
    </w:div>
    <w:div w:id="546842089">
      <w:bodyDiv w:val="1"/>
      <w:marLeft w:val="0"/>
      <w:marRight w:val="0"/>
      <w:marTop w:val="0"/>
      <w:marBottom w:val="0"/>
      <w:divBdr>
        <w:top w:val="none" w:sz="0" w:space="0" w:color="auto"/>
        <w:left w:val="none" w:sz="0" w:space="0" w:color="auto"/>
        <w:bottom w:val="none" w:sz="0" w:space="0" w:color="auto"/>
        <w:right w:val="none" w:sz="0" w:space="0" w:color="auto"/>
      </w:divBdr>
      <w:divsChild>
        <w:div w:id="964963553">
          <w:marLeft w:val="0"/>
          <w:marRight w:val="83"/>
          <w:marTop w:val="0"/>
          <w:marBottom w:val="0"/>
          <w:divBdr>
            <w:top w:val="none" w:sz="0" w:space="0" w:color="auto"/>
            <w:left w:val="none" w:sz="0" w:space="0" w:color="auto"/>
            <w:bottom w:val="none" w:sz="0" w:space="0" w:color="auto"/>
            <w:right w:val="none" w:sz="0" w:space="0" w:color="auto"/>
          </w:divBdr>
        </w:div>
        <w:div w:id="385182808">
          <w:marLeft w:val="0"/>
          <w:marRight w:val="0"/>
          <w:marTop w:val="0"/>
          <w:marBottom w:val="0"/>
          <w:divBdr>
            <w:top w:val="none" w:sz="0" w:space="0" w:color="auto"/>
            <w:left w:val="none" w:sz="0" w:space="0" w:color="auto"/>
            <w:bottom w:val="none" w:sz="0" w:space="0" w:color="auto"/>
            <w:right w:val="none" w:sz="0" w:space="0" w:color="auto"/>
          </w:divBdr>
          <w:divsChild>
            <w:div w:id="440808192">
              <w:marLeft w:val="0"/>
              <w:marRight w:val="0"/>
              <w:marTop w:val="0"/>
              <w:marBottom w:val="0"/>
              <w:divBdr>
                <w:top w:val="none" w:sz="0" w:space="0" w:color="auto"/>
                <w:left w:val="none" w:sz="0" w:space="0" w:color="auto"/>
                <w:bottom w:val="none" w:sz="0" w:space="0" w:color="auto"/>
                <w:right w:val="none" w:sz="0" w:space="0" w:color="auto"/>
              </w:divBdr>
              <w:divsChild>
                <w:div w:id="270548660">
                  <w:marLeft w:val="0"/>
                  <w:marRight w:val="0"/>
                  <w:marTop w:val="0"/>
                  <w:marBottom w:val="0"/>
                  <w:divBdr>
                    <w:top w:val="none" w:sz="0" w:space="0" w:color="auto"/>
                    <w:left w:val="none" w:sz="0" w:space="0" w:color="auto"/>
                    <w:bottom w:val="none" w:sz="0" w:space="0" w:color="auto"/>
                    <w:right w:val="none" w:sz="0" w:space="0" w:color="auto"/>
                  </w:divBdr>
                  <w:divsChild>
                    <w:div w:id="1028918427">
                      <w:marLeft w:val="0"/>
                      <w:marRight w:val="0"/>
                      <w:marTop w:val="0"/>
                      <w:marBottom w:val="0"/>
                      <w:divBdr>
                        <w:top w:val="none" w:sz="0" w:space="0" w:color="auto"/>
                        <w:left w:val="none" w:sz="0" w:space="0" w:color="auto"/>
                        <w:bottom w:val="none" w:sz="0" w:space="0" w:color="auto"/>
                        <w:right w:val="none" w:sz="0" w:space="0" w:color="auto"/>
                      </w:divBdr>
                    </w:div>
                    <w:div w:id="384456507">
                      <w:marLeft w:val="0"/>
                      <w:marRight w:val="0"/>
                      <w:marTop w:val="0"/>
                      <w:marBottom w:val="0"/>
                      <w:divBdr>
                        <w:top w:val="none" w:sz="0" w:space="0" w:color="auto"/>
                        <w:left w:val="none" w:sz="0" w:space="0" w:color="auto"/>
                        <w:bottom w:val="none" w:sz="0" w:space="0" w:color="auto"/>
                        <w:right w:val="none" w:sz="0" w:space="0" w:color="auto"/>
                      </w:divBdr>
                    </w:div>
                  </w:divsChild>
                </w:div>
                <w:div w:id="26909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734638">
      <w:bodyDiv w:val="1"/>
      <w:marLeft w:val="0"/>
      <w:marRight w:val="0"/>
      <w:marTop w:val="0"/>
      <w:marBottom w:val="0"/>
      <w:divBdr>
        <w:top w:val="none" w:sz="0" w:space="0" w:color="auto"/>
        <w:left w:val="none" w:sz="0" w:space="0" w:color="auto"/>
        <w:bottom w:val="none" w:sz="0" w:space="0" w:color="auto"/>
        <w:right w:val="none" w:sz="0" w:space="0" w:color="auto"/>
      </w:divBdr>
    </w:div>
    <w:div w:id="553933637">
      <w:bodyDiv w:val="1"/>
      <w:marLeft w:val="0"/>
      <w:marRight w:val="0"/>
      <w:marTop w:val="0"/>
      <w:marBottom w:val="0"/>
      <w:divBdr>
        <w:top w:val="none" w:sz="0" w:space="0" w:color="auto"/>
        <w:left w:val="none" w:sz="0" w:space="0" w:color="auto"/>
        <w:bottom w:val="none" w:sz="0" w:space="0" w:color="auto"/>
        <w:right w:val="none" w:sz="0" w:space="0" w:color="auto"/>
      </w:divBdr>
      <w:divsChild>
        <w:div w:id="617419825">
          <w:marLeft w:val="0"/>
          <w:marRight w:val="0"/>
          <w:marTop w:val="0"/>
          <w:marBottom w:val="0"/>
          <w:divBdr>
            <w:top w:val="none" w:sz="0" w:space="0" w:color="auto"/>
            <w:left w:val="none" w:sz="0" w:space="0" w:color="auto"/>
            <w:bottom w:val="none" w:sz="0" w:space="0" w:color="auto"/>
            <w:right w:val="none" w:sz="0" w:space="0" w:color="auto"/>
          </w:divBdr>
        </w:div>
      </w:divsChild>
    </w:div>
    <w:div w:id="554586611">
      <w:bodyDiv w:val="1"/>
      <w:marLeft w:val="0"/>
      <w:marRight w:val="0"/>
      <w:marTop w:val="0"/>
      <w:marBottom w:val="0"/>
      <w:divBdr>
        <w:top w:val="none" w:sz="0" w:space="0" w:color="auto"/>
        <w:left w:val="none" w:sz="0" w:space="0" w:color="auto"/>
        <w:bottom w:val="none" w:sz="0" w:space="0" w:color="auto"/>
        <w:right w:val="none" w:sz="0" w:space="0" w:color="auto"/>
      </w:divBdr>
    </w:div>
    <w:div w:id="555899269">
      <w:bodyDiv w:val="1"/>
      <w:marLeft w:val="0"/>
      <w:marRight w:val="0"/>
      <w:marTop w:val="0"/>
      <w:marBottom w:val="0"/>
      <w:divBdr>
        <w:top w:val="none" w:sz="0" w:space="0" w:color="auto"/>
        <w:left w:val="none" w:sz="0" w:space="0" w:color="auto"/>
        <w:bottom w:val="none" w:sz="0" w:space="0" w:color="auto"/>
        <w:right w:val="none" w:sz="0" w:space="0" w:color="auto"/>
      </w:divBdr>
    </w:div>
    <w:div w:id="556354752">
      <w:bodyDiv w:val="1"/>
      <w:marLeft w:val="0"/>
      <w:marRight w:val="0"/>
      <w:marTop w:val="0"/>
      <w:marBottom w:val="0"/>
      <w:divBdr>
        <w:top w:val="none" w:sz="0" w:space="0" w:color="auto"/>
        <w:left w:val="none" w:sz="0" w:space="0" w:color="auto"/>
        <w:bottom w:val="none" w:sz="0" w:space="0" w:color="auto"/>
        <w:right w:val="none" w:sz="0" w:space="0" w:color="auto"/>
      </w:divBdr>
    </w:div>
    <w:div w:id="558172836">
      <w:bodyDiv w:val="1"/>
      <w:marLeft w:val="0"/>
      <w:marRight w:val="0"/>
      <w:marTop w:val="0"/>
      <w:marBottom w:val="0"/>
      <w:divBdr>
        <w:top w:val="none" w:sz="0" w:space="0" w:color="auto"/>
        <w:left w:val="none" w:sz="0" w:space="0" w:color="auto"/>
        <w:bottom w:val="none" w:sz="0" w:space="0" w:color="auto"/>
        <w:right w:val="none" w:sz="0" w:space="0" w:color="auto"/>
      </w:divBdr>
    </w:div>
    <w:div w:id="560098143">
      <w:bodyDiv w:val="1"/>
      <w:marLeft w:val="0"/>
      <w:marRight w:val="0"/>
      <w:marTop w:val="0"/>
      <w:marBottom w:val="0"/>
      <w:divBdr>
        <w:top w:val="none" w:sz="0" w:space="0" w:color="auto"/>
        <w:left w:val="none" w:sz="0" w:space="0" w:color="auto"/>
        <w:bottom w:val="none" w:sz="0" w:space="0" w:color="auto"/>
        <w:right w:val="none" w:sz="0" w:space="0" w:color="auto"/>
      </w:divBdr>
    </w:div>
    <w:div w:id="564293561">
      <w:bodyDiv w:val="1"/>
      <w:marLeft w:val="0"/>
      <w:marRight w:val="0"/>
      <w:marTop w:val="0"/>
      <w:marBottom w:val="0"/>
      <w:divBdr>
        <w:top w:val="none" w:sz="0" w:space="0" w:color="auto"/>
        <w:left w:val="none" w:sz="0" w:space="0" w:color="auto"/>
        <w:bottom w:val="none" w:sz="0" w:space="0" w:color="auto"/>
        <w:right w:val="none" w:sz="0" w:space="0" w:color="auto"/>
      </w:divBdr>
    </w:div>
    <w:div w:id="565334885">
      <w:bodyDiv w:val="1"/>
      <w:marLeft w:val="0"/>
      <w:marRight w:val="0"/>
      <w:marTop w:val="0"/>
      <w:marBottom w:val="0"/>
      <w:divBdr>
        <w:top w:val="none" w:sz="0" w:space="0" w:color="auto"/>
        <w:left w:val="none" w:sz="0" w:space="0" w:color="auto"/>
        <w:bottom w:val="none" w:sz="0" w:space="0" w:color="auto"/>
        <w:right w:val="none" w:sz="0" w:space="0" w:color="auto"/>
      </w:divBdr>
    </w:div>
    <w:div w:id="565452585">
      <w:bodyDiv w:val="1"/>
      <w:marLeft w:val="0"/>
      <w:marRight w:val="0"/>
      <w:marTop w:val="0"/>
      <w:marBottom w:val="0"/>
      <w:divBdr>
        <w:top w:val="none" w:sz="0" w:space="0" w:color="auto"/>
        <w:left w:val="none" w:sz="0" w:space="0" w:color="auto"/>
        <w:bottom w:val="none" w:sz="0" w:space="0" w:color="auto"/>
        <w:right w:val="none" w:sz="0" w:space="0" w:color="auto"/>
      </w:divBdr>
    </w:div>
    <w:div w:id="566260426">
      <w:bodyDiv w:val="1"/>
      <w:marLeft w:val="0"/>
      <w:marRight w:val="0"/>
      <w:marTop w:val="0"/>
      <w:marBottom w:val="0"/>
      <w:divBdr>
        <w:top w:val="none" w:sz="0" w:space="0" w:color="auto"/>
        <w:left w:val="none" w:sz="0" w:space="0" w:color="auto"/>
        <w:bottom w:val="none" w:sz="0" w:space="0" w:color="auto"/>
        <w:right w:val="none" w:sz="0" w:space="0" w:color="auto"/>
      </w:divBdr>
    </w:div>
    <w:div w:id="568662156">
      <w:bodyDiv w:val="1"/>
      <w:marLeft w:val="0"/>
      <w:marRight w:val="0"/>
      <w:marTop w:val="0"/>
      <w:marBottom w:val="0"/>
      <w:divBdr>
        <w:top w:val="none" w:sz="0" w:space="0" w:color="auto"/>
        <w:left w:val="none" w:sz="0" w:space="0" w:color="auto"/>
        <w:bottom w:val="none" w:sz="0" w:space="0" w:color="auto"/>
        <w:right w:val="none" w:sz="0" w:space="0" w:color="auto"/>
      </w:divBdr>
      <w:divsChild>
        <w:div w:id="2100329158">
          <w:marLeft w:val="0"/>
          <w:marRight w:val="0"/>
          <w:marTop w:val="0"/>
          <w:marBottom w:val="0"/>
          <w:divBdr>
            <w:top w:val="none" w:sz="0" w:space="0" w:color="auto"/>
            <w:left w:val="none" w:sz="0" w:space="0" w:color="auto"/>
            <w:bottom w:val="none" w:sz="0" w:space="0" w:color="auto"/>
            <w:right w:val="none" w:sz="0" w:space="0" w:color="auto"/>
          </w:divBdr>
        </w:div>
      </w:divsChild>
    </w:div>
    <w:div w:id="569537223">
      <w:bodyDiv w:val="1"/>
      <w:marLeft w:val="0"/>
      <w:marRight w:val="0"/>
      <w:marTop w:val="0"/>
      <w:marBottom w:val="0"/>
      <w:divBdr>
        <w:top w:val="none" w:sz="0" w:space="0" w:color="auto"/>
        <w:left w:val="none" w:sz="0" w:space="0" w:color="auto"/>
        <w:bottom w:val="none" w:sz="0" w:space="0" w:color="auto"/>
        <w:right w:val="none" w:sz="0" w:space="0" w:color="auto"/>
      </w:divBdr>
    </w:div>
    <w:div w:id="570702625">
      <w:bodyDiv w:val="1"/>
      <w:marLeft w:val="0"/>
      <w:marRight w:val="0"/>
      <w:marTop w:val="0"/>
      <w:marBottom w:val="0"/>
      <w:divBdr>
        <w:top w:val="none" w:sz="0" w:space="0" w:color="auto"/>
        <w:left w:val="none" w:sz="0" w:space="0" w:color="auto"/>
        <w:bottom w:val="none" w:sz="0" w:space="0" w:color="auto"/>
        <w:right w:val="none" w:sz="0" w:space="0" w:color="auto"/>
      </w:divBdr>
    </w:div>
    <w:div w:id="573008402">
      <w:bodyDiv w:val="1"/>
      <w:marLeft w:val="0"/>
      <w:marRight w:val="0"/>
      <w:marTop w:val="0"/>
      <w:marBottom w:val="0"/>
      <w:divBdr>
        <w:top w:val="none" w:sz="0" w:space="0" w:color="auto"/>
        <w:left w:val="none" w:sz="0" w:space="0" w:color="auto"/>
        <w:bottom w:val="none" w:sz="0" w:space="0" w:color="auto"/>
        <w:right w:val="none" w:sz="0" w:space="0" w:color="auto"/>
      </w:divBdr>
    </w:div>
    <w:div w:id="573011536">
      <w:bodyDiv w:val="1"/>
      <w:marLeft w:val="0"/>
      <w:marRight w:val="0"/>
      <w:marTop w:val="0"/>
      <w:marBottom w:val="0"/>
      <w:divBdr>
        <w:top w:val="none" w:sz="0" w:space="0" w:color="auto"/>
        <w:left w:val="none" w:sz="0" w:space="0" w:color="auto"/>
        <w:bottom w:val="none" w:sz="0" w:space="0" w:color="auto"/>
        <w:right w:val="none" w:sz="0" w:space="0" w:color="auto"/>
      </w:divBdr>
    </w:div>
    <w:div w:id="576475356">
      <w:bodyDiv w:val="1"/>
      <w:marLeft w:val="0"/>
      <w:marRight w:val="0"/>
      <w:marTop w:val="0"/>
      <w:marBottom w:val="0"/>
      <w:divBdr>
        <w:top w:val="none" w:sz="0" w:space="0" w:color="auto"/>
        <w:left w:val="none" w:sz="0" w:space="0" w:color="auto"/>
        <w:bottom w:val="none" w:sz="0" w:space="0" w:color="auto"/>
        <w:right w:val="none" w:sz="0" w:space="0" w:color="auto"/>
      </w:divBdr>
    </w:div>
    <w:div w:id="583606427">
      <w:bodyDiv w:val="1"/>
      <w:marLeft w:val="0"/>
      <w:marRight w:val="0"/>
      <w:marTop w:val="0"/>
      <w:marBottom w:val="0"/>
      <w:divBdr>
        <w:top w:val="none" w:sz="0" w:space="0" w:color="auto"/>
        <w:left w:val="none" w:sz="0" w:space="0" w:color="auto"/>
        <w:bottom w:val="none" w:sz="0" w:space="0" w:color="auto"/>
        <w:right w:val="none" w:sz="0" w:space="0" w:color="auto"/>
      </w:divBdr>
    </w:div>
    <w:div w:id="583687153">
      <w:bodyDiv w:val="1"/>
      <w:marLeft w:val="0"/>
      <w:marRight w:val="0"/>
      <w:marTop w:val="0"/>
      <w:marBottom w:val="0"/>
      <w:divBdr>
        <w:top w:val="none" w:sz="0" w:space="0" w:color="auto"/>
        <w:left w:val="none" w:sz="0" w:space="0" w:color="auto"/>
        <w:bottom w:val="none" w:sz="0" w:space="0" w:color="auto"/>
        <w:right w:val="none" w:sz="0" w:space="0" w:color="auto"/>
      </w:divBdr>
    </w:div>
    <w:div w:id="584194809">
      <w:bodyDiv w:val="1"/>
      <w:marLeft w:val="0"/>
      <w:marRight w:val="0"/>
      <w:marTop w:val="0"/>
      <w:marBottom w:val="0"/>
      <w:divBdr>
        <w:top w:val="none" w:sz="0" w:space="0" w:color="auto"/>
        <w:left w:val="none" w:sz="0" w:space="0" w:color="auto"/>
        <w:bottom w:val="none" w:sz="0" w:space="0" w:color="auto"/>
        <w:right w:val="none" w:sz="0" w:space="0" w:color="auto"/>
      </w:divBdr>
    </w:div>
    <w:div w:id="584263006">
      <w:bodyDiv w:val="1"/>
      <w:marLeft w:val="0"/>
      <w:marRight w:val="0"/>
      <w:marTop w:val="0"/>
      <w:marBottom w:val="0"/>
      <w:divBdr>
        <w:top w:val="none" w:sz="0" w:space="0" w:color="auto"/>
        <w:left w:val="none" w:sz="0" w:space="0" w:color="auto"/>
        <w:bottom w:val="none" w:sz="0" w:space="0" w:color="auto"/>
        <w:right w:val="none" w:sz="0" w:space="0" w:color="auto"/>
      </w:divBdr>
    </w:div>
    <w:div w:id="586572523">
      <w:bodyDiv w:val="1"/>
      <w:marLeft w:val="0"/>
      <w:marRight w:val="0"/>
      <w:marTop w:val="0"/>
      <w:marBottom w:val="0"/>
      <w:divBdr>
        <w:top w:val="none" w:sz="0" w:space="0" w:color="auto"/>
        <w:left w:val="none" w:sz="0" w:space="0" w:color="auto"/>
        <w:bottom w:val="none" w:sz="0" w:space="0" w:color="auto"/>
        <w:right w:val="none" w:sz="0" w:space="0" w:color="auto"/>
      </w:divBdr>
    </w:div>
    <w:div w:id="592052598">
      <w:bodyDiv w:val="1"/>
      <w:marLeft w:val="0"/>
      <w:marRight w:val="0"/>
      <w:marTop w:val="0"/>
      <w:marBottom w:val="0"/>
      <w:divBdr>
        <w:top w:val="none" w:sz="0" w:space="0" w:color="auto"/>
        <w:left w:val="none" w:sz="0" w:space="0" w:color="auto"/>
        <w:bottom w:val="none" w:sz="0" w:space="0" w:color="auto"/>
        <w:right w:val="none" w:sz="0" w:space="0" w:color="auto"/>
      </w:divBdr>
    </w:div>
    <w:div w:id="606885625">
      <w:bodyDiv w:val="1"/>
      <w:marLeft w:val="0"/>
      <w:marRight w:val="0"/>
      <w:marTop w:val="0"/>
      <w:marBottom w:val="0"/>
      <w:divBdr>
        <w:top w:val="none" w:sz="0" w:space="0" w:color="auto"/>
        <w:left w:val="none" w:sz="0" w:space="0" w:color="auto"/>
        <w:bottom w:val="none" w:sz="0" w:space="0" w:color="auto"/>
        <w:right w:val="none" w:sz="0" w:space="0" w:color="auto"/>
      </w:divBdr>
    </w:div>
    <w:div w:id="622229582">
      <w:bodyDiv w:val="1"/>
      <w:marLeft w:val="0"/>
      <w:marRight w:val="0"/>
      <w:marTop w:val="0"/>
      <w:marBottom w:val="0"/>
      <w:divBdr>
        <w:top w:val="none" w:sz="0" w:space="0" w:color="auto"/>
        <w:left w:val="none" w:sz="0" w:space="0" w:color="auto"/>
        <w:bottom w:val="none" w:sz="0" w:space="0" w:color="auto"/>
        <w:right w:val="none" w:sz="0" w:space="0" w:color="auto"/>
      </w:divBdr>
    </w:div>
    <w:div w:id="624232632">
      <w:bodyDiv w:val="1"/>
      <w:marLeft w:val="0"/>
      <w:marRight w:val="0"/>
      <w:marTop w:val="0"/>
      <w:marBottom w:val="0"/>
      <w:divBdr>
        <w:top w:val="none" w:sz="0" w:space="0" w:color="auto"/>
        <w:left w:val="none" w:sz="0" w:space="0" w:color="auto"/>
        <w:bottom w:val="none" w:sz="0" w:space="0" w:color="auto"/>
        <w:right w:val="none" w:sz="0" w:space="0" w:color="auto"/>
      </w:divBdr>
      <w:divsChild>
        <w:div w:id="880245609">
          <w:marLeft w:val="0"/>
          <w:marRight w:val="0"/>
          <w:marTop w:val="0"/>
          <w:marBottom w:val="0"/>
          <w:divBdr>
            <w:top w:val="none" w:sz="0" w:space="0" w:color="auto"/>
            <w:left w:val="none" w:sz="0" w:space="0" w:color="auto"/>
            <w:bottom w:val="none" w:sz="0" w:space="0" w:color="auto"/>
            <w:right w:val="none" w:sz="0" w:space="0" w:color="auto"/>
          </w:divBdr>
        </w:div>
      </w:divsChild>
    </w:div>
    <w:div w:id="634068280">
      <w:bodyDiv w:val="1"/>
      <w:marLeft w:val="0"/>
      <w:marRight w:val="0"/>
      <w:marTop w:val="0"/>
      <w:marBottom w:val="0"/>
      <w:divBdr>
        <w:top w:val="none" w:sz="0" w:space="0" w:color="auto"/>
        <w:left w:val="none" w:sz="0" w:space="0" w:color="auto"/>
        <w:bottom w:val="none" w:sz="0" w:space="0" w:color="auto"/>
        <w:right w:val="none" w:sz="0" w:space="0" w:color="auto"/>
      </w:divBdr>
      <w:divsChild>
        <w:div w:id="678242144">
          <w:marLeft w:val="0"/>
          <w:marRight w:val="0"/>
          <w:marTop w:val="15"/>
          <w:marBottom w:val="0"/>
          <w:divBdr>
            <w:top w:val="none" w:sz="0" w:space="0" w:color="auto"/>
            <w:left w:val="none" w:sz="0" w:space="0" w:color="auto"/>
            <w:bottom w:val="none" w:sz="0" w:space="0" w:color="auto"/>
            <w:right w:val="none" w:sz="0" w:space="0" w:color="auto"/>
          </w:divBdr>
          <w:divsChild>
            <w:div w:id="1013916222">
              <w:marLeft w:val="0"/>
              <w:marRight w:val="0"/>
              <w:marTop w:val="0"/>
              <w:marBottom w:val="0"/>
              <w:divBdr>
                <w:top w:val="none" w:sz="0" w:space="0" w:color="auto"/>
                <w:left w:val="none" w:sz="0" w:space="0" w:color="auto"/>
                <w:bottom w:val="none" w:sz="0" w:space="0" w:color="auto"/>
                <w:right w:val="none" w:sz="0" w:space="0" w:color="auto"/>
              </w:divBdr>
              <w:divsChild>
                <w:div w:id="147789651">
                  <w:marLeft w:val="0"/>
                  <w:marRight w:val="0"/>
                  <w:marTop w:val="0"/>
                  <w:marBottom w:val="0"/>
                  <w:divBdr>
                    <w:top w:val="none" w:sz="0" w:space="0" w:color="auto"/>
                    <w:left w:val="none" w:sz="0" w:space="0" w:color="auto"/>
                    <w:bottom w:val="none" w:sz="0" w:space="0" w:color="auto"/>
                    <w:right w:val="none" w:sz="0" w:space="0" w:color="auto"/>
                  </w:divBdr>
                </w:div>
                <w:div w:id="1455178109">
                  <w:marLeft w:val="0"/>
                  <w:marRight w:val="0"/>
                  <w:marTop w:val="0"/>
                  <w:marBottom w:val="0"/>
                  <w:divBdr>
                    <w:top w:val="none" w:sz="0" w:space="0" w:color="auto"/>
                    <w:left w:val="none" w:sz="0" w:space="0" w:color="auto"/>
                    <w:bottom w:val="none" w:sz="0" w:space="0" w:color="auto"/>
                    <w:right w:val="none" w:sz="0" w:space="0" w:color="auto"/>
                  </w:divBdr>
                </w:div>
                <w:div w:id="1839611292">
                  <w:marLeft w:val="0"/>
                  <w:marRight w:val="0"/>
                  <w:marTop w:val="0"/>
                  <w:marBottom w:val="0"/>
                  <w:divBdr>
                    <w:top w:val="none" w:sz="0" w:space="0" w:color="auto"/>
                    <w:left w:val="none" w:sz="0" w:space="0" w:color="auto"/>
                    <w:bottom w:val="none" w:sz="0" w:space="0" w:color="auto"/>
                    <w:right w:val="none" w:sz="0" w:space="0" w:color="auto"/>
                  </w:divBdr>
                </w:div>
                <w:div w:id="479544844">
                  <w:marLeft w:val="0"/>
                  <w:marRight w:val="0"/>
                  <w:marTop w:val="0"/>
                  <w:marBottom w:val="0"/>
                  <w:divBdr>
                    <w:top w:val="none" w:sz="0" w:space="0" w:color="auto"/>
                    <w:left w:val="none" w:sz="0" w:space="0" w:color="auto"/>
                    <w:bottom w:val="none" w:sz="0" w:space="0" w:color="auto"/>
                    <w:right w:val="none" w:sz="0" w:space="0" w:color="auto"/>
                  </w:divBdr>
                </w:div>
                <w:div w:id="1534882941">
                  <w:marLeft w:val="0"/>
                  <w:marRight w:val="0"/>
                  <w:marTop w:val="0"/>
                  <w:marBottom w:val="0"/>
                  <w:divBdr>
                    <w:top w:val="none" w:sz="0" w:space="0" w:color="auto"/>
                    <w:left w:val="none" w:sz="0" w:space="0" w:color="auto"/>
                    <w:bottom w:val="none" w:sz="0" w:space="0" w:color="auto"/>
                    <w:right w:val="none" w:sz="0" w:space="0" w:color="auto"/>
                  </w:divBdr>
                </w:div>
                <w:div w:id="253322822">
                  <w:marLeft w:val="0"/>
                  <w:marRight w:val="0"/>
                  <w:marTop w:val="0"/>
                  <w:marBottom w:val="0"/>
                  <w:divBdr>
                    <w:top w:val="none" w:sz="0" w:space="0" w:color="auto"/>
                    <w:left w:val="none" w:sz="0" w:space="0" w:color="auto"/>
                    <w:bottom w:val="none" w:sz="0" w:space="0" w:color="auto"/>
                    <w:right w:val="none" w:sz="0" w:space="0" w:color="auto"/>
                  </w:divBdr>
                </w:div>
                <w:div w:id="677000141">
                  <w:marLeft w:val="0"/>
                  <w:marRight w:val="0"/>
                  <w:marTop w:val="0"/>
                  <w:marBottom w:val="0"/>
                  <w:divBdr>
                    <w:top w:val="none" w:sz="0" w:space="0" w:color="auto"/>
                    <w:left w:val="none" w:sz="0" w:space="0" w:color="auto"/>
                    <w:bottom w:val="none" w:sz="0" w:space="0" w:color="auto"/>
                    <w:right w:val="none" w:sz="0" w:space="0" w:color="auto"/>
                  </w:divBdr>
                </w:div>
                <w:div w:id="1572620362">
                  <w:marLeft w:val="0"/>
                  <w:marRight w:val="0"/>
                  <w:marTop w:val="0"/>
                  <w:marBottom w:val="0"/>
                  <w:divBdr>
                    <w:top w:val="none" w:sz="0" w:space="0" w:color="auto"/>
                    <w:left w:val="none" w:sz="0" w:space="0" w:color="auto"/>
                    <w:bottom w:val="none" w:sz="0" w:space="0" w:color="auto"/>
                    <w:right w:val="none" w:sz="0" w:space="0" w:color="auto"/>
                  </w:divBdr>
                </w:div>
                <w:div w:id="1639337835">
                  <w:marLeft w:val="0"/>
                  <w:marRight w:val="0"/>
                  <w:marTop w:val="0"/>
                  <w:marBottom w:val="0"/>
                  <w:divBdr>
                    <w:top w:val="none" w:sz="0" w:space="0" w:color="auto"/>
                    <w:left w:val="none" w:sz="0" w:space="0" w:color="auto"/>
                    <w:bottom w:val="none" w:sz="0" w:space="0" w:color="auto"/>
                    <w:right w:val="none" w:sz="0" w:space="0" w:color="auto"/>
                  </w:divBdr>
                </w:div>
                <w:div w:id="1822112048">
                  <w:marLeft w:val="0"/>
                  <w:marRight w:val="0"/>
                  <w:marTop w:val="0"/>
                  <w:marBottom w:val="0"/>
                  <w:divBdr>
                    <w:top w:val="none" w:sz="0" w:space="0" w:color="auto"/>
                    <w:left w:val="none" w:sz="0" w:space="0" w:color="auto"/>
                    <w:bottom w:val="none" w:sz="0" w:space="0" w:color="auto"/>
                    <w:right w:val="none" w:sz="0" w:space="0" w:color="auto"/>
                  </w:divBdr>
                </w:div>
                <w:div w:id="151067295">
                  <w:marLeft w:val="0"/>
                  <w:marRight w:val="0"/>
                  <w:marTop w:val="0"/>
                  <w:marBottom w:val="0"/>
                  <w:divBdr>
                    <w:top w:val="none" w:sz="0" w:space="0" w:color="auto"/>
                    <w:left w:val="none" w:sz="0" w:space="0" w:color="auto"/>
                    <w:bottom w:val="none" w:sz="0" w:space="0" w:color="auto"/>
                    <w:right w:val="none" w:sz="0" w:space="0" w:color="auto"/>
                  </w:divBdr>
                </w:div>
                <w:div w:id="1552645219">
                  <w:marLeft w:val="0"/>
                  <w:marRight w:val="0"/>
                  <w:marTop w:val="0"/>
                  <w:marBottom w:val="0"/>
                  <w:divBdr>
                    <w:top w:val="none" w:sz="0" w:space="0" w:color="auto"/>
                    <w:left w:val="none" w:sz="0" w:space="0" w:color="auto"/>
                    <w:bottom w:val="none" w:sz="0" w:space="0" w:color="auto"/>
                    <w:right w:val="none" w:sz="0" w:space="0" w:color="auto"/>
                  </w:divBdr>
                </w:div>
                <w:div w:id="206188249">
                  <w:marLeft w:val="0"/>
                  <w:marRight w:val="0"/>
                  <w:marTop w:val="0"/>
                  <w:marBottom w:val="0"/>
                  <w:divBdr>
                    <w:top w:val="none" w:sz="0" w:space="0" w:color="auto"/>
                    <w:left w:val="none" w:sz="0" w:space="0" w:color="auto"/>
                    <w:bottom w:val="none" w:sz="0" w:space="0" w:color="auto"/>
                    <w:right w:val="none" w:sz="0" w:space="0" w:color="auto"/>
                  </w:divBdr>
                </w:div>
                <w:div w:id="1434787786">
                  <w:marLeft w:val="0"/>
                  <w:marRight w:val="0"/>
                  <w:marTop w:val="0"/>
                  <w:marBottom w:val="0"/>
                  <w:divBdr>
                    <w:top w:val="none" w:sz="0" w:space="0" w:color="auto"/>
                    <w:left w:val="none" w:sz="0" w:space="0" w:color="auto"/>
                    <w:bottom w:val="none" w:sz="0" w:space="0" w:color="auto"/>
                    <w:right w:val="none" w:sz="0" w:space="0" w:color="auto"/>
                  </w:divBdr>
                </w:div>
                <w:div w:id="177431031">
                  <w:marLeft w:val="0"/>
                  <w:marRight w:val="0"/>
                  <w:marTop w:val="0"/>
                  <w:marBottom w:val="0"/>
                  <w:divBdr>
                    <w:top w:val="none" w:sz="0" w:space="0" w:color="auto"/>
                    <w:left w:val="none" w:sz="0" w:space="0" w:color="auto"/>
                    <w:bottom w:val="none" w:sz="0" w:space="0" w:color="auto"/>
                    <w:right w:val="none" w:sz="0" w:space="0" w:color="auto"/>
                  </w:divBdr>
                </w:div>
                <w:div w:id="1471751422">
                  <w:marLeft w:val="0"/>
                  <w:marRight w:val="0"/>
                  <w:marTop w:val="0"/>
                  <w:marBottom w:val="0"/>
                  <w:divBdr>
                    <w:top w:val="none" w:sz="0" w:space="0" w:color="auto"/>
                    <w:left w:val="none" w:sz="0" w:space="0" w:color="auto"/>
                    <w:bottom w:val="none" w:sz="0" w:space="0" w:color="auto"/>
                    <w:right w:val="none" w:sz="0" w:space="0" w:color="auto"/>
                  </w:divBdr>
                </w:div>
                <w:div w:id="823932285">
                  <w:marLeft w:val="0"/>
                  <w:marRight w:val="0"/>
                  <w:marTop w:val="0"/>
                  <w:marBottom w:val="0"/>
                  <w:divBdr>
                    <w:top w:val="none" w:sz="0" w:space="0" w:color="auto"/>
                    <w:left w:val="none" w:sz="0" w:space="0" w:color="auto"/>
                    <w:bottom w:val="none" w:sz="0" w:space="0" w:color="auto"/>
                    <w:right w:val="none" w:sz="0" w:space="0" w:color="auto"/>
                  </w:divBdr>
                </w:div>
                <w:div w:id="495344378">
                  <w:marLeft w:val="0"/>
                  <w:marRight w:val="0"/>
                  <w:marTop w:val="0"/>
                  <w:marBottom w:val="0"/>
                  <w:divBdr>
                    <w:top w:val="none" w:sz="0" w:space="0" w:color="auto"/>
                    <w:left w:val="none" w:sz="0" w:space="0" w:color="auto"/>
                    <w:bottom w:val="none" w:sz="0" w:space="0" w:color="auto"/>
                    <w:right w:val="none" w:sz="0" w:space="0" w:color="auto"/>
                  </w:divBdr>
                </w:div>
                <w:div w:id="1108038593">
                  <w:marLeft w:val="0"/>
                  <w:marRight w:val="0"/>
                  <w:marTop w:val="0"/>
                  <w:marBottom w:val="0"/>
                  <w:divBdr>
                    <w:top w:val="none" w:sz="0" w:space="0" w:color="auto"/>
                    <w:left w:val="none" w:sz="0" w:space="0" w:color="auto"/>
                    <w:bottom w:val="none" w:sz="0" w:space="0" w:color="auto"/>
                    <w:right w:val="none" w:sz="0" w:space="0" w:color="auto"/>
                  </w:divBdr>
                </w:div>
                <w:div w:id="1187674121">
                  <w:marLeft w:val="0"/>
                  <w:marRight w:val="0"/>
                  <w:marTop w:val="0"/>
                  <w:marBottom w:val="0"/>
                  <w:divBdr>
                    <w:top w:val="none" w:sz="0" w:space="0" w:color="auto"/>
                    <w:left w:val="none" w:sz="0" w:space="0" w:color="auto"/>
                    <w:bottom w:val="none" w:sz="0" w:space="0" w:color="auto"/>
                    <w:right w:val="none" w:sz="0" w:space="0" w:color="auto"/>
                  </w:divBdr>
                </w:div>
                <w:div w:id="330064562">
                  <w:marLeft w:val="0"/>
                  <w:marRight w:val="0"/>
                  <w:marTop w:val="0"/>
                  <w:marBottom w:val="0"/>
                  <w:divBdr>
                    <w:top w:val="none" w:sz="0" w:space="0" w:color="auto"/>
                    <w:left w:val="none" w:sz="0" w:space="0" w:color="auto"/>
                    <w:bottom w:val="none" w:sz="0" w:space="0" w:color="auto"/>
                    <w:right w:val="none" w:sz="0" w:space="0" w:color="auto"/>
                  </w:divBdr>
                </w:div>
                <w:div w:id="1631402818">
                  <w:marLeft w:val="0"/>
                  <w:marRight w:val="0"/>
                  <w:marTop w:val="0"/>
                  <w:marBottom w:val="0"/>
                  <w:divBdr>
                    <w:top w:val="none" w:sz="0" w:space="0" w:color="auto"/>
                    <w:left w:val="none" w:sz="0" w:space="0" w:color="auto"/>
                    <w:bottom w:val="none" w:sz="0" w:space="0" w:color="auto"/>
                    <w:right w:val="none" w:sz="0" w:space="0" w:color="auto"/>
                  </w:divBdr>
                </w:div>
                <w:div w:id="1828328619">
                  <w:marLeft w:val="0"/>
                  <w:marRight w:val="0"/>
                  <w:marTop w:val="0"/>
                  <w:marBottom w:val="0"/>
                  <w:divBdr>
                    <w:top w:val="none" w:sz="0" w:space="0" w:color="auto"/>
                    <w:left w:val="none" w:sz="0" w:space="0" w:color="auto"/>
                    <w:bottom w:val="none" w:sz="0" w:space="0" w:color="auto"/>
                    <w:right w:val="none" w:sz="0" w:space="0" w:color="auto"/>
                  </w:divBdr>
                </w:div>
                <w:div w:id="47464650">
                  <w:marLeft w:val="0"/>
                  <w:marRight w:val="0"/>
                  <w:marTop w:val="0"/>
                  <w:marBottom w:val="0"/>
                  <w:divBdr>
                    <w:top w:val="none" w:sz="0" w:space="0" w:color="auto"/>
                    <w:left w:val="none" w:sz="0" w:space="0" w:color="auto"/>
                    <w:bottom w:val="none" w:sz="0" w:space="0" w:color="auto"/>
                    <w:right w:val="none" w:sz="0" w:space="0" w:color="auto"/>
                  </w:divBdr>
                </w:div>
                <w:div w:id="762338758">
                  <w:marLeft w:val="0"/>
                  <w:marRight w:val="0"/>
                  <w:marTop w:val="0"/>
                  <w:marBottom w:val="0"/>
                  <w:divBdr>
                    <w:top w:val="none" w:sz="0" w:space="0" w:color="auto"/>
                    <w:left w:val="none" w:sz="0" w:space="0" w:color="auto"/>
                    <w:bottom w:val="none" w:sz="0" w:space="0" w:color="auto"/>
                    <w:right w:val="none" w:sz="0" w:space="0" w:color="auto"/>
                  </w:divBdr>
                </w:div>
                <w:div w:id="350495436">
                  <w:marLeft w:val="0"/>
                  <w:marRight w:val="0"/>
                  <w:marTop w:val="0"/>
                  <w:marBottom w:val="0"/>
                  <w:divBdr>
                    <w:top w:val="none" w:sz="0" w:space="0" w:color="auto"/>
                    <w:left w:val="none" w:sz="0" w:space="0" w:color="auto"/>
                    <w:bottom w:val="none" w:sz="0" w:space="0" w:color="auto"/>
                    <w:right w:val="none" w:sz="0" w:space="0" w:color="auto"/>
                  </w:divBdr>
                </w:div>
                <w:div w:id="1972007360">
                  <w:marLeft w:val="0"/>
                  <w:marRight w:val="0"/>
                  <w:marTop w:val="0"/>
                  <w:marBottom w:val="0"/>
                  <w:divBdr>
                    <w:top w:val="none" w:sz="0" w:space="0" w:color="auto"/>
                    <w:left w:val="none" w:sz="0" w:space="0" w:color="auto"/>
                    <w:bottom w:val="none" w:sz="0" w:space="0" w:color="auto"/>
                    <w:right w:val="none" w:sz="0" w:space="0" w:color="auto"/>
                  </w:divBdr>
                </w:div>
                <w:div w:id="1953199690">
                  <w:marLeft w:val="0"/>
                  <w:marRight w:val="0"/>
                  <w:marTop w:val="0"/>
                  <w:marBottom w:val="0"/>
                  <w:divBdr>
                    <w:top w:val="none" w:sz="0" w:space="0" w:color="auto"/>
                    <w:left w:val="none" w:sz="0" w:space="0" w:color="auto"/>
                    <w:bottom w:val="none" w:sz="0" w:space="0" w:color="auto"/>
                    <w:right w:val="none" w:sz="0" w:space="0" w:color="auto"/>
                  </w:divBdr>
                </w:div>
                <w:div w:id="71199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25791">
          <w:marLeft w:val="0"/>
          <w:marRight w:val="0"/>
          <w:marTop w:val="15"/>
          <w:marBottom w:val="0"/>
          <w:divBdr>
            <w:top w:val="none" w:sz="0" w:space="0" w:color="auto"/>
            <w:left w:val="none" w:sz="0" w:space="0" w:color="auto"/>
            <w:bottom w:val="none" w:sz="0" w:space="0" w:color="auto"/>
            <w:right w:val="none" w:sz="0" w:space="0" w:color="auto"/>
          </w:divBdr>
          <w:divsChild>
            <w:div w:id="586618962">
              <w:marLeft w:val="0"/>
              <w:marRight w:val="0"/>
              <w:marTop w:val="0"/>
              <w:marBottom w:val="0"/>
              <w:divBdr>
                <w:top w:val="none" w:sz="0" w:space="0" w:color="auto"/>
                <w:left w:val="none" w:sz="0" w:space="0" w:color="auto"/>
                <w:bottom w:val="none" w:sz="0" w:space="0" w:color="auto"/>
                <w:right w:val="none" w:sz="0" w:space="0" w:color="auto"/>
              </w:divBdr>
              <w:divsChild>
                <w:div w:id="450979554">
                  <w:marLeft w:val="0"/>
                  <w:marRight w:val="0"/>
                  <w:marTop w:val="0"/>
                  <w:marBottom w:val="0"/>
                  <w:divBdr>
                    <w:top w:val="none" w:sz="0" w:space="0" w:color="auto"/>
                    <w:left w:val="none" w:sz="0" w:space="0" w:color="auto"/>
                    <w:bottom w:val="none" w:sz="0" w:space="0" w:color="auto"/>
                    <w:right w:val="none" w:sz="0" w:space="0" w:color="auto"/>
                  </w:divBdr>
                </w:div>
                <w:div w:id="366561565">
                  <w:marLeft w:val="0"/>
                  <w:marRight w:val="0"/>
                  <w:marTop w:val="0"/>
                  <w:marBottom w:val="0"/>
                  <w:divBdr>
                    <w:top w:val="none" w:sz="0" w:space="0" w:color="auto"/>
                    <w:left w:val="none" w:sz="0" w:space="0" w:color="auto"/>
                    <w:bottom w:val="none" w:sz="0" w:space="0" w:color="auto"/>
                    <w:right w:val="none" w:sz="0" w:space="0" w:color="auto"/>
                  </w:divBdr>
                </w:div>
                <w:div w:id="147943483">
                  <w:marLeft w:val="0"/>
                  <w:marRight w:val="0"/>
                  <w:marTop w:val="0"/>
                  <w:marBottom w:val="0"/>
                  <w:divBdr>
                    <w:top w:val="none" w:sz="0" w:space="0" w:color="auto"/>
                    <w:left w:val="none" w:sz="0" w:space="0" w:color="auto"/>
                    <w:bottom w:val="none" w:sz="0" w:space="0" w:color="auto"/>
                    <w:right w:val="none" w:sz="0" w:space="0" w:color="auto"/>
                  </w:divBdr>
                </w:div>
                <w:div w:id="579290825">
                  <w:marLeft w:val="0"/>
                  <w:marRight w:val="0"/>
                  <w:marTop w:val="0"/>
                  <w:marBottom w:val="0"/>
                  <w:divBdr>
                    <w:top w:val="none" w:sz="0" w:space="0" w:color="auto"/>
                    <w:left w:val="none" w:sz="0" w:space="0" w:color="auto"/>
                    <w:bottom w:val="none" w:sz="0" w:space="0" w:color="auto"/>
                    <w:right w:val="none" w:sz="0" w:space="0" w:color="auto"/>
                  </w:divBdr>
                </w:div>
                <w:div w:id="981806497">
                  <w:marLeft w:val="0"/>
                  <w:marRight w:val="0"/>
                  <w:marTop w:val="0"/>
                  <w:marBottom w:val="0"/>
                  <w:divBdr>
                    <w:top w:val="none" w:sz="0" w:space="0" w:color="auto"/>
                    <w:left w:val="none" w:sz="0" w:space="0" w:color="auto"/>
                    <w:bottom w:val="none" w:sz="0" w:space="0" w:color="auto"/>
                    <w:right w:val="none" w:sz="0" w:space="0" w:color="auto"/>
                  </w:divBdr>
                </w:div>
                <w:div w:id="48841882">
                  <w:marLeft w:val="0"/>
                  <w:marRight w:val="0"/>
                  <w:marTop w:val="0"/>
                  <w:marBottom w:val="0"/>
                  <w:divBdr>
                    <w:top w:val="none" w:sz="0" w:space="0" w:color="auto"/>
                    <w:left w:val="none" w:sz="0" w:space="0" w:color="auto"/>
                    <w:bottom w:val="none" w:sz="0" w:space="0" w:color="auto"/>
                    <w:right w:val="none" w:sz="0" w:space="0" w:color="auto"/>
                  </w:divBdr>
                </w:div>
                <w:div w:id="1779250185">
                  <w:marLeft w:val="0"/>
                  <w:marRight w:val="0"/>
                  <w:marTop w:val="0"/>
                  <w:marBottom w:val="0"/>
                  <w:divBdr>
                    <w:top w:val="none" w:sz="0" w:space="0" w:color="auto"/>
                    <w:left w:val="none" w:sz="0" w:space="0" w:color="auto"/>
                    <w:bottom w:val="none" w:sz="0" w:space="0" w:color="auto"/>
                    <w:right w:val="none" w:sz="0" w:space="0" w:color="auto"/>
                  </w:divBdr>
                </w:div>
                <w:div w:id="1513104496">
                  <w:marLeft w:val="0"/>
                  <w:marRight w:val="0"/>
                  <w:marTop w:val="0"/>
                  <w:marBottom w:val="0"/>
                  <w:divBdr>
                    <w:top w:val="none" w:sz="0" w:space="0" w:color="auto"/>
                    <w:left w:val="none" w:sz="0" w:space="0" w:color="auto"/>
                    <w:bottom w:val="none" w:sz="0" w:space="0" w:color="auto"/>
                    <w:right w:val="none" w:sz="0" w:space="0" w:color="auto"/>
                  </w:divBdr>
                </w:div>
                <w:div w:id="1931427086">
                  <w:marLeft w:val="0"/>
                  <w:marRight w:val="0"/>
                  <w:marTop w:val="0"/>
                  <w:marBottom w:val="0"/>
                  <w:divBdr>
                    <w:top w:val="none" w:sz="0" w:space="0" w:color="auto"/>
                    <w:left w:val="none" w:sz="0" w:space="0" w:color="auto"/>
                    <w:bottom w:val="none" w:sz="0" w:space="0" w:color="auto"/>
                    <w:right w:val="none" w:sz="0" w:space="0" w:color="auto"/>
                  </w:divBdr>
                </w:div>
                <w:div w:id="1608468288">
                  <w:marLeft w:val="0"/>
                  <w:marRight w:val="0"/>
                  <w:marTop w:val="0"/>
                  <w:marBottom w:val="0"/>
                  <w:divBdr>
                    <w:top w:val="none" w:sz="0" w:space="0" w:color="auto"/>
                    <w:left w:val="none" w:sz="0" w:space="0" w:color="auto"/>
                    <w:bottom w:val="none" w:sz="0" w:space="0" w:color="auto"/>
                    <w:right w:val="none" w:sz="0" w:space="0" w:color="auto"/>
                  </w:divBdr>
                </w:div>
                <w:div w:id="30811187">
                  <w:marLeft w:val="0"/>
                  <w:marRight w:val="0"/>
                  <w:marTop w:val="0"/>
                  <w:marBottom w:val="0"/>
                  <w:divBdr>
                    <w:top w:val="none" w:sz="0" w:space="0" w:color="auto"/>
                    <w:left w:val="none" w:sz="0" w:space="0" w:color="auto"/>
                    <w:bottom w:val="none" w:sz="0" w:space="0" w:color="auto"/>
                    <w:right w:val="none" w:sz="0" w:space="0" w:color="auto"/>
                  </w:divBdr>
                </w:div>
                <w:div w:id="1269775970">
                  <w:marLeft w:val="0"/>
                  <w:marRight w:val="0"/>
                  <w:marTop w:val="0"/>
                  <w:marBottom w:val="0"/>
                  <w:divBdr>
                    <w:top w:val="none" w:sz="0" w:space="0" w:color="auto"/>
                    <w:left w:val="none" w:sz="0" w:space="0" w:color="auto"/>
                    <w:bottom w:val="none" w:sz="0" w:space="0" w:color="auto"/>
                    <w:right w:val="none" w:sz="0" w:space="0" w:color="auto"/>
                  </w:divBdr>
                </w:div>
                <w:div w:id="1363092173">
                  <w:marLeft w:val="0"/>
                  <w:marRight w:val="0"/>
                  <w:marTop w:val="0"/>
                  <w:marBottom w:val="0"/>
                  <w:divBdr>
                    <w:top w:val="none" w:sz="0" w:space="0" w:color="auto"/>
                    <w:left w:val="none" w:sz="0" w:space="0" w:color="auto"/>
                    <w:bottom w:val="none" w:sz="0" w:space="0" w:color="auto"/>
                    <w:right w:val="none" w:sz="0" w:space="0" w:color="auto"/>
                  </w:divBdr>
                </w:div>
                <w:div w:id="926615484">
                  <w:marLeft w:val="0"/>
                  <w:marRight w:val="0"/>
                  <w:marTop w:val="0"/>
                  <w:marBottom w:val="0"/>
                  <w:divBdr>
                    <w:top w:val="none" w:sz="0" w:space="0" w:color="auto"/>
                    <w:left w:val="none" w:sz="0" w:space="0" w:color="auto"/>
                    <w:bottom w:val="none" w:sz="0" w:space="0" w:color="auto"/>
                    <w:right w:val="none" w:sz="0" w:space="0" w:color="auto"/>
                  </w:divBdr>
                </w:div>
                <w:div w:id="1354838984">
                  <w:marLeft w:val="0"/>
                  <w:marRight w:val="0"/>
                  <w:marTop w:val="0"/>
                  <w:marBottom w:val="0"/>
                  <w:divBdr>
                    <w:top w:val="none" w:sz="0" w:space="0" w:color="auto"/>
                    <w:left w:val="none" w:sz="0" w:space="0" w:color="auto"/>
                    <w:bottom w:val="none" w:sz="0" w:space="0" w:color="auto"/>
                    <w:right w:val="none" w:sz="0" w:space="0" w:color="auto"/>
                  </w:divBdr>
                </w:div>
                <w:div w:id="387845432">
                  <w:marLeft w:val="0"/>
                  <w:marRight w:val="0"/>
                  <w:marTop w:val="0"/>
                  <w:marBottom w:val="0"/>
                  <w:divBdr>
                    <w:top w:val="none" w:sz="0" w:space="0" w:color="auto"/>
                    <w:left w:val="none" w:sz="0" w:space="0" w:color="auto"/>
                    <w:bottom w:val="none" w:sz="0" w:space="0" w:color="auto"/>
                    <w:right w:val="none" w:sz="0" w:space="0" w:color="auto"/>
                  </w:divBdr>
                </w:div>
                <w:div w:id="840387591">
                  <w:marLeft w:val="0"/>
                  <w:marRight w:val="0"/>
                  <w:marTop w:val="0"/>
                  <w:marBottom w:val="0"/>
                  <w:divBdr>
                    <w:top w:val="none" w:sz="0" w:space="0" w:color="auto"/>
                    <w:left w:val="none" w:sz="0" w:space="0" w:color="auto"/>
                    <w:bottom w:val="none" w:sz="0" w:space="0" w:color="auto"/>
                    <w:right w:val="none" w:sz="0" w:space="0" w:color="auto"/>
                  </w:divBdr>
                </w:div>
                <w:div w:id="1337659126">
                  <w:marLeft w:val="0"/>
                  <w:marRight w:val="0"/>
                  <w:marTop w:val="0"/>
                  <w:marBottom w:val="0"/>
                  <w:divBdr>
                    <w:top w:val="none" w:sz="0" w:space="0" w:color="auto"/>
                    <w:left w:val="none" w:sz="0" w:space="0" w:color="auto"/>
                    <w:bottom w:val="none" w:sz="0" w:space="0" w:color="auto"/>
                    <w:right w:val="none" w:sz="0" w:space="0" w:color="auto"/>
                  </w:divBdr>
                </w:div>
                <w:div w:id="188491852">
                  <w:marLeft w:val="0"/>
                  <w:marRight w:val="0"/>
                  <w:marTop w:val="0"/>
                  <w:marBottom w:val="0"/>
                  <w:divBdr>
                    <w:top w:val="none" w:sz="0" w:space="0" w:color="auto"/>
                    <w:left w:val="none" w:sz="0" w:space="0" w:color="auto"/>
                    <w:bottom w:val="none" w:sz="0" w:space="0" w:color="auto"/>
                    <w:right w:val="none" w:sz="0" w:space="0" w:color="auto"/>
                  </w:divBdr>
                </w:div>
                <w:div w:id="69272413">
                  <w:marLeft w:val="0"/>
                  <w:marRight w:val="0"/>
                  <w:marTop w:val="0"/>
                  <w:marBottom w:val="0"/>
                  <w:divBdr>
                    <w:top w:val="none" w:sz="0" w:space="0" w:color="auto"/>
                    <w:left w:val="none" w:sz="0" w:space="0" w:color="auto"/>
                    <w:bottom w:val="none" w:sz="0" w:space="0" w:color="auto"/>
                    <w:right w:val="none" w:sz="0" w:space="0" w:color="auto"/>
                  </w:divBdr>
                </w:div>
                <w:div w:id="2121949795">
                  <w:marLeft w:val="0"/>
                  <w:marRight w:val="0"/>
                  <w:marTop w:val="0"/>
                  <w:marBottom w:val="0"/>
                  <w:divBdr>
                    <w:top w:val="none" w:sz="0" w:space="0" w:color="auto"/>
                    <w:left w:val="none" w:sz="0" w:space="0" w:color="auto"/>
                    <w:bottom w:val="none" w:sz="0" w:space="0" w:color="auto"/>
                    <w:right w:val="none" w:sz="0" w:space="0" w:color="auto"/>
                  </w:divBdr>
                </w:div>
                <w:div w:id="591668497">
                  <w:marLeft w:val="0"/>
                  <w:marRight w:val="0"/>
                  <w:marTop w:val="0"/>
                  <w:marBottom w:val="0"/>
                  <w:divBdr>
                    <w:top w:val="none" w:sz="0" w:space="0" w:color="auto"/>
                    <w:left w:val="none" w:sz="0" w:space="0" w:color="auto"/>
                    <w:bottom w:val="none" w:sz="0" w:space="0" w:color="auto"/>
                    <w:right w:val="none" w:sz="0" w:space="0" w:color="auto"/>
                  </w:divBdr>
                </w:div>
                <w:div w:id="142739935">
                  <w:marLeft w:val="0"/>
                  <w:marRight w:val="0"/>
                  <w:marTop w:val="0"/>
                  <w:marBottom w:val="0"/>
                  <w:divBdr>
                    <w:top w:val="none" w:sz="0" w:space="0" w:color="auto"/>
                    <w:left w:val="none" w:sz="0" w:space="0" w:color="auto"/>
                    <w:bottom w:val="none" w:sz="0" w:space="0" w:color="auto"/>
                    <w:right w:val="none" w:sz="0" w:space="0" w:color="auto"/>
                  </w:divBdr>
                </w:div>
                <w:div w:id="1096098270">
                  <w:marLeft w:val="0"/>
                  <w:marRight w:val="0"/>
                  <w:marTop w:val="0"/>
                  <w:marBottom w:val="0"/>
                  <w:divBdr>
                    <w:top w:val="none" w:sz="0" w:space="0" w:color="auto"/>
                    <w:left w:val="none" w:sz="0" w:space="0" w:color="auto"/>
                    <w:bottom w:val="none" w:sz="0" w:space="0" w:color="auto"/>
                    <w:right w:val="none" w:sz="0" w:space="0" w:color="auto"/>
                  </w:divBdr>
                </w:div>
                <w:div w:id="1584413688">
                  <w:marLeft w:val="0"/>
                  <w:marRight w:val="0"/>
                  <w:marTop w:val="0"/>
                  <w:marBottom w:val="0"/>
                  <w:divBdr>
                    <w:top w:val="none" w:sz="0" w:space="0" w:color="auto"/>
                    <w:left w:val="none" w:sz="0" w:space="0" w:color="auto"/>
                    <w:bottom w:val="none" w:sz="0" w:space="0" w:color="auto"/>
                    <w:right w:val="none" w:sz="0" w:space="0" w:color="auto"/>
                  </w:divBdr>
                </w:div>
                <w:div w:id="897328391">
                  <w:marLeft w:val="0"/>
                  <w:marRight w:val="0"/>
                  <w:marTop w:val="0"/>
                  <w:marBottom w:val="0"/>
                  <w:divBdr>
                    <w:top w:val="none" w:sz="0" w:space="0" w:color="auto"/>
                    <w:left w:val="none" w:sz="0" w:space="0" w:color="auto"/>
                    <w:bottom w:val="none" w:sz="0" w:space="0" w:color="auto"/>
                    <w:right w:val="none" w:sz="0" w:space="0" w:color="auto"/>
                  </w:divBdr>
                </w:div>
                <w:div w:id="25822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4797">
          <w:marLeft w:val="0"/>
          <w:marRight w:val="0"/>
          <w:marTop w:val="15"/>
          <w:marBottom w:val="0"/>
          <w:divBdr>
            <w:top w:val="none" w:sz="0" w:space="0" w:color="auto"/>
            <w:left w:val="none" w:sz="0" w:space="0" w:color="auto"/>
            <w:bottom w:val="none" w:sz="0" w:space="0" w:color="auto"/>
            <w:right w:val="none" w:sz="0" w:space="0" w:color="auto"/>
          </w:divBdr>
          <w:divsChild>
            <w:div w:id="1783918785">
              <w:marLeft w:val="0"/>
              <w:marRight w:val="0"/>
              <w:marTop w:val="0"/>
              <w:marBottom w:val="0"/>
              <w:divBdr>
                <w:top w:val="none" w:sz="0" w:space="0" w:color="auto"/>
                <w:left w:val="none" w:sz="0" w:space="0" w:color="auto"/>
                <w:bottom w:val="none" w:sz="0" w:space="0" w:color="auto"/>
                <w:right w:val="none" w:sz="0" w:space="0" w:color="auto"/>
              </w:divBdr>
              <w:divsChild>
                <w:div w:id="1734280448">
                  <w:marLeft w:val="0"/>
                  <w:marRight w:val="0"/>
                  <w:marTop w:val="0"/>
                  <w:marBottom w:val="0"/>
                  <w:divBdr>
                    <w:top w:val="none" w:sz="0" w:space="0" w:color="auto"/>
                    <w:left w:val="none" w:sz="0" w:space="0" w:color="auto"/>
                    <w:bottom w:val="none" w:sz="0" w:space="0" w:color="auto"/>
                    <w:right w:val="none" w:sz="0" w:space="0" w:color="auto"/>
                  </w:divBdr>
                </w:div>
                <w:div w:id="1405641972">
                  <w:marLeft w:val="0"/>
                  <w:marRight w:val="0"/>
                  <w:marTop w:val="0"/>
                  <w:marBottom w:val="0"/>
                  <w:divBdr>
                    <w:top w:val="none" w:sz="0" w:space="0" w:color="auto"/>
                    <w:left w:val="none" w:sz="0" w:space="0" w:color="auto"/>
                    <w:bottom w:val="none" w:sz="0" w:space="0" w:color="auto"/>
                    <w:right w:val="none" w:sz="0" w:space="0" w:color="auto"/>
                  </w:divBdr>
                </w:div>
                <w:div w:id="362292321">
                  <w:marLeft w:val="0"/>
                  <w:marRight w:val="0"/>
                  <w:marTop w:val="0"/>
                  <w:marBottom w:val="0"/>
                  <w:divBdr>
                    <w:top w:val="none" w:sz="0" w:space="0" w:color="auto"/>
                    <w:left w:val="none" w:sz="0" w:space="0" w:color="auto"/>
                    <w:bottom w:val="none" w:sz="0" w:space="0" w:color="auto"/>
                    <w:right w:val="none" w:sz="0" w:space="0" w:color="auto"/>
                  </w:divBdr>
                </w:div>
                <w:div w:id="601688100">
                  <w:marLeft w:val="0"/>
                  <w:marRight w:val="0"/>
                  <w:marTop w:val="0"/>
                  <w:marBottom w:val="0"/>
                  <w:divBdr>
                    <w:top w:val="none" w:sz="0" w:space="0" w:color="auto"/>
                    <w:left w:val="none" w:sz="0" w:space="0" w:color="auto"/>
                    <w:bottom w:val="none" w:sz="0" w:space="0" w:color="auto"/>
                    <w:right w:val="none" w:sz="0" w:space="0" w:color="auto"/>
                  </w:divBdr>
                </w:div>
                <w:div w:id="1438914707">
                  <w:marLeft w:val="0"/>
                  <w:marRight w:val="0"/>
                  <w:marTop w:val="0"/>
                  <w:marBottom w:val="0"/>
                  <w:divBdr>
                    <w:top w:val="none" w:sz="0" w:space="0" w:color="auto"/>
                    <w:left w:val="none" w:sz="0" w:space="0" w:color="auto"/>
                    <w:bottom w:val="none" w:sz="0" w:space="0" w:color="auto"/>
                    <w:right w:val="none" w:sz="0" w:space="0" w:color="auto"/>
                  </w:divBdr>
                </w:div>
                <w:div w:id="1040015748">
                  <w:marLeft w:val="0"/>
                  <w:marRight w:val="0"/>
                  <w:marTop w:val="0"/>
                  <w:marBottom w:val="0"/>
                  <w:divBdr>
                    <w:top w:val="none" w:sz="0" w:space="0" w:color="auto"/>
                    <w:left w:val="none" w:sz="0" w:space="0" w:color="auto"/>
                    <w:bottom w:val="none" w:sz="0" w:space="0" w:color="auto"/>
                    <w:right w:val="none" w:sz="0" w:space="0" w:color="auto"/>
                  </w:divBdr>
                </w:div>
                <w:div w:id="454063908">
                  <w:marLeft w:val="0"/>
                  <w:marRight w:val="0"/>
                  <w:marTop w:val="0"/>
                  <w:marBottom w:val="0"/>
                  <w:divBdr>
                    <w:top w:val="none" w:sz="0" w:space="0" w:color="auto"/>
                    <w:left w:val="none" w:sz="0" w:space="0" w:color="auto"/>
                    <w:bottom w:val="none" w:sz="0" w:space="0" w:color="auto"/>
                    <w:right w:val="none" w:sz="0" w:space="0" w:color="auto"/>
                  </w:divBdr>
                </w:div>
                <w:div w:id="1139881054">
                  <w:marLeft w:val="0"/>
                  <w:marRight w:val="0"/>
                  <w:marTop w:val="0"/>
                  <w:marBottom w:val="0"/>
                  <w:divBdr>
                    <w:top w:val="none" w:sz="0" w:space="0" w:color="auto"/>
                    <w:left w:val="none" w:sz="0" w:space="0" w:color="auto"/>
                    <w:bottom w:val="none" w:sz="0" w:space="0" w:color="auto"/>
                    <w:right w:val="none" w:sz="0" w:space="0" w:color="auto"/>
                  </w:divBdr>
                </w:div>
                <w:div w:id="267860303">
                  <w:marLeft w:val="0"/>
                  <w:marRight w:val="0"/>
                  <w:marTop w:val="0"/>
                  <w:marBottom w:val="0"/>
                  <w:divBdr>
                    <w:top w:val="none" w:sz="0" w:space="0" w:color="auto"/>
                    <w:left w:val="none" w:sz="0" w:space="0" w:color="auto"/>
                    <w:bottom w:val="none" w:sz="0" w:space="0" w:color="auto"/>
                    <w:right w:val="none" w:sz="0" w:space="0" w:color="auto"/>
                  </w:divBdr>
                </w:div>
                <w:div w:id="356128148">
                  <w:marLeft w:val="0"/>
                  <w:marRight w:val="0"/>
                  <w:marTop w:val="0"/>
                  <w:marBottom w:val="0"/>
                  <w:divBdr>
                    <w:top w:val="none" w:sz="0" w:space="0" w:color="auto"/>
                    <w:left w:val="none" w:sz="0" w:space="0" w:color="auto"/>
                    <w:bottom w:val="none" w:sz="0" w:space="0" w:color="auto"/>
                    <w:right w:val="none" w:sz="0" w:space="0" w:color="auto"/>
                  </w:divBdr>
                </w:div>
                <w:div w:id="1281457123">
                  <w:marLeft w:val="0"/>
                  <w:marRight w:val="0"/>
                  <w:marTop w:val="0"/>
                  <w:marBottom w:val="0"/>
                  <w:divBdr>
                    <w:top w:val="none" w:sz="0" w:space="0" w:color="auto"/>
                    <w:left w:val="none" w:sz="0" w:space="0" w:color="auto"/>
                    <w:bottom w:val="none" w:sz="0" w:space="0" w:color="auto"/>
                    <w:right w:val="none" w:sz="0" w:space="0" w:color="auto"/>
                  </w:divBdr>
                </w:div>
                <w:div w:id="1579318249">
                  <w:marLeft w:val="0"/>
                  <w:marRight w:val="0"/>
                  <w:marTop w:val="0"/>
                  <w:marBottom w:val="0"/>
                  <w:divBdr>
                    <w:top w:val="none" w:sz="0" w:space="0" w:color="auto"/>
                    <w:left w:val="none" w:sz="0" w:space="0" w:color="auto"/>
                    <w:bottom w:val="none" w:sz="0" w:space="0" w:color="auto"/>
                    <w:right w:val="none" w:sz="0" w:space="0" w:color="auto"/>
                  </w:divBdr>
                </w:div>
                <w:div w:id="1306620819">
                  <w:marLeft w:val="0"/>
                  <w:marRight w:val="0"/>
                  <w:marTop w:val="0"/>
                  <w:marBottom w:val="0"/>
                  <w:divBdr>
                    <w:top w:val="none" w:sz="0" w:space="0" w:color="auto"/>
                    <w:left w:val="none" w:sz="0" w:space="0" w:color="auto"/>
                    <w:bottom w:val="none" w:sz="0" w:space="0" w:color="auto"/>
                    <w:right w:val="none" w:sz="0" w:space="0" w:color="auto"/>
                  </w:divBdr>
                </w:div>
                <w:div w:id="1741319918">
                  <w:marLeft w:val="0"/>
                  <w:marRight w:val="0"/>
                  <w:marTop w:val="0"/>
                  <w:marBottom w:val="0"/>
                  <w:divBdr>
                    <w:top w:val="none" w:sz="0" w:space="0" w:color="auto"/>
                    <w:left w:val="none" w:sz="0" w:space="0" w:color="auto"/>
                    <w:bottom w:val="none" w:sz="0" w:space="0" w:color="auto"/>
                    <w:right w:val="none" w:sz="0" w:space="0" w:color="auto"/>
                  </w:divBdr>
                </w:div>
                <w:div w:id="1265765697">
                  <w:marLeft w:val="0"/>
                  <w:marRight w:val="0"/>
                  <w:marTop w:val="0"/>
                  <w:marBottom w:val="0"/>
                  <w:divBdr>
                    <w:top w:val="none" w:sz="0" w:space="0" w:color="auto"/>
                    <w:left w:val="none" w:sz="0" w:space="0" w:color="auto"/>
                    <w:bottom w:val="none" w:sz="0" w:space="0" w:color="auto"/>
                    <w:right w:val="none" w:sz="0" w:space="0" w:color="auto"/>
                  </w:divBdr>
                </w:div>
                <w:div w:id="15350888">
                  <w:marLeft w:val="0"/>
                  <w:marRight w:val="0"/>
                  <w:marTop w:val="0"/>
                  <w:marBottom w:val="0"/>
                  <w:divBdr>
                    <w:top w:val="none" w:sz="0" w:space="0" w:color="auto"/>
                    <w:left w:val="none" w:sz="0" w:space="0" w:color="auto"/>
                    <w:bottom w:val="none" w:sz="0" w:space="0" w:color="auto"/>
                    <w:right w:val="none" w:sz="0" w:space="0" w:color="auto"/>
                  </w:divBdr>
                </w:div>
                <w:div w:id="2139490919">
                  <w:marLeft w:val="0"/>
                  <w:marRight w:val="0"/>
                  <w:marTop w:val="0"/>
                  <w:marBottom w:val="0"/>
                  <w:divBdr>
                    <w:top w:val="none" w:sz="0" w:space="0" w:color="auto"/>
                    <w:left w:val="none" w:sz="0" w:space="0" w:color="auto"/>
                    <w:bottom w:val="none" w:sz="0" w:space="0" w:color="auto"/>
                    <w:right w:val="none" w:sz="0" w:space="0" w:color="auto"/>
                  </w:divBdr>
                </w:div>
                <w:div w:id="628363626">
                  <w:marLeft w:val="0"/>
                  <w:marRight w:val="0"/>
                  <w:marTop w:val="0"/>
                  <w:marBottom w:val="0"/>
                  <w:divBdr>
                    <w:top w:val="none" w:sz="0" w:space="0" w:color="auto"/>
                    <w:left w:val="none" w:sz="0" w:space="0" w:color="auto"/>
                    <w:bottom w:val="none" w:sz="0" w:space="0" w:color="auto"/>
                    <w:right w:val="none" w:sz="0" w:space="0" w:color="auto"/>
                  </w:divBdr>
                </w:div>
                <w:div w:id="659775428">
                  <w:marLeft w:val="0"/>
                  <w:marRight w:val="0"/>
                  <w:marTop w:val="0"/>
                  <w:marBottom w:val="0"/>
                  <w:divBdr>
                    <w:top w:val="none" w:sz="0" w:space="0" w:color="auto"/>
                    <w:left w:val="none" w:sz="0" w:space="0" w:color="auto"/>
                    <w:bottom w:val="none" w:sz="0" w:space="0" w:color="auto"/>
                    <w:right w:val="none" w:sz="0" w:space="0" w:color="auto"/>
                  </w:divBdr>
                </w:div>
                <w:div w:id="351029646">
                  <w:marLeft w:val="0"/>
                  <w:marRight w:val="0"/>
                  <w:marTop w:val="0"/>
                  <w:marBottom w:val="0"/>
                  <w:divBdr>
                    <w:top w:val="none" w:sz="0" w:space="0" w:color="auto"/>
                    <w:left w:val="none" w:sz="0" w:space="0" w:color="auto"/>
                    <w:bottom w:val="none" w:sz="0" w:space="0" w:color="auto"/>
                    <w:right w:val="none" w:sz="0" w:space="0" w:color="auto"/>
                  </w:divBdr>
                </w:div>
                <w:div w:id="1566717686">
                  <w:marLeft w:val="0"/>
                  <w:marRight w:val="0"/>
                  <w:marTop w:val="0"/>
                  <w:marBottom w:val="0"/>
                  <w:divBdr>
                    <w:top w:val="none" w:sz="0" w:space="0" w:color="auto"/>
                    <w:left w:val="none" w:sz="0" w:space="0" w:color="auto"/>
                    <w:bottom w:val="none" w:sz="0" w:space="0" w:color="auto"/>
                    <w:right w:val="none" w:sz="0" w:space="0" w:color="auto"/>
                  </w:divBdr>
                </w:div>
                <w:div w:id="383866953">
                  <w:marLeft w:val="0"/>
                  <w:marRight w:val="0"/>
                  <w:marTop w:val="0"/>
                  <w:marBottom w:val="0"/>
                  <w:divBdr>
                    <w:top w:val="none" w:sz="0" w:space="0" w:color="auto"/>
                    <w:left w:val="none" w:sz="0" w:space="0" w:color="auto"/>
                    <w:bottom w:val="none" w:sz="0" w:space="0" w:color="auto"/>
                    <w:right w:val="none" w:sz="0" w:space="0" w:color="auto"/>
                  </w:divBdr>
                </w:div>
                <w:div w:id="451216572">
                  <w:marLeft w:val="0"/>
                  <w:marRight w:val="0"/>
                  <w:marTop w:val="0"/>
                  <w:marBottom w:val="0"/>
                  <w:divBdr>
                    <w:top w:val="none" w:sz="0" w:space="0" w:color="auto"/>
                    <w:left w:val="none" w:sz="0" w:space="0" w:color="auto"/>
                    <w:bottom w:val="none" w:sz="0" w:space="0" w:color="auto"/>
                    <w:right w:val="none" w:sz="0" w:space="0" w:color="auto"/>
                  </w:divBdr>
                </w:div>
                <w:div w:id="811018446">
                  <w:marLeft w:val="0"/>
                  <w:marRight w:val="0"/>
                  <w:marTop w:val="0"/>
                  <w:marBottom w:val="0"/>
                  <w:divBdr>
                    <w:top w:val="none" w:sz="0" w:space="0" w:color="auto"/>
                    <w:left w:val="none" w:sz="0" w:space="0" w:color="auto"/>
                    <w:bottom w:val="none" w:sz="0" w:space="0" w:color="auto"/>
                    <w:right w:val="none" w:sz="0" w:space="0" w:color="auto"/>
                  </w:divBdr>
                </w:div>
                <w:div w:id="70978271">
                  <w:marLeft w:val="0"/>
                  <w:marRight w:val="0"/>
                  <w:marTop w:val="0"/>
                  <w:marBottom w:val="0"/>
                  <w:divBdr>
                    <w:top w:val="none" w:sz="0" w:space="0" w:color="auto"/>
                    <w:left w:val="none" w:sz="0" w:space="0" w:color="auto"/>
                    <w:bottom w:val="none" w:sz="0" w:space="0" w:color="auto"/>
                    <w:right w:val="none" w:sz="0" w:space="0" w:color="auto"/>
                  </w:divBdr>
                </w:div>
                <w:div w:id="433132668">
                  <w:marLeft w:val="0"/>
                  <w:marRight w:val="0"/>
                  <w:marTop w:val="0"/>
                  <w:marBottom w:val="0"/>
                  <w:divBdr>
                    <w:top w:val="none" w:sz="0" w:space="0" w:color="auto"/>
                    <w:left w:val="none" w:sz="0" w:space="0" w:color="auto"/>
                    <w:bottom w:val="none" w:sz="0" w:space="0" w:color="auto"/>
                    <w:right w:val="none" w:sz="0" w:space="0" w:color="auto"/>
                  </w:divBdr>
                </w:div>
                <w:div w:id="161640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421174">
          <w:marLeft w:val="0"/>
          <w:marRight w:val="0"/>
          <w:marTop w:val="15"/>
          <w:marBottom w:val="0"/>
          <w:divBdr>
            <w:top w:val="none" w:sz="0" w:space="0" w:color="auto"/>
            <w:left w:val="none" w:sz="0" w:space="0" w:color="auto"/>
            <w:bottom w:val="none" w:sz="0" w:space="0" w:color="auto"/>
            <w:right w:val="none" w:sz="0" w:space="0" w:color="auto"/>
          </w:divBdr>
          <w:divsChild>
            <w:div w:id="1378629169">
              <w:marLeft w:val="0"/>
              <w:marRight w:val="0"/>
              <w:marTop w:val="0"/>
              <w:marBottom w:val="0"/>
              <w:divBdr>
                <w:top w:val="none" w:sz="0" w:space="0" w:color="auto"/>
                <w:left w:val="none" w:sz="0" w:space="0" w:color="auto"/>
                <w:bottom w:val="none" w:sz="0" w:space="0" w:color="auto"/>
                <w:right w:val="none" w:sz="0" w:space="0" w:color="auto"/>
              </w:divBdr>
              <w:divsChild>
                <w:div w:id="2027704512">
                  <w:marLeft w:val="0"/>
                  <w:marRight w:val="0"/>
                  <w:marTop w:val="0"/>
                  <w:marBottom w:val="0"/>
                  <w:divBdr>
                    <w:top w:val="none" w:sz="0" w:space="0" w:color="auto"/>
                    <w:left w:val="none" w:sz="0" w:space="0" w:color="auto"/>
                    <w:bottom w:val="none" w:sz="0" w:space="0" w:color="auto"/>
                    <w:right w:val="none" w:sz="0" w:space="0" w:color="auto"/>
                  </w:divBdr>
                </w:div>
                <w:div w:id="1664971891">
                  <w:marLeft w:val="0"/>
                  <w:marRight w:val="0"/>
                  <w:marTop w:val="0"/>
                  <w:marBottom w:val="0"/>
                  <w:divBdr>
                    <w:top w:val="none" w:sz="0" w:space="0" w:color="auto"/>
                    <w:left w:val="none" w:sz="0" w:space="0" w:color="auto"/>
                    <w:bottom w:val="none" w:sz="0" w:space="0" w:color="auto"/>
                    <w:right w:val="none" w:sz="0" w:space="0" w:color="auto"/>
                  </w:divBdr>
                </w:div>
                <w:div w:id="214699716">
                  <w:marLeft w:val="0"/>
                  <w:marRight w:val="0"/>
                  <w:marTop w:val="0"/>
                  <w:marBottom w:val="0"/>
                  <w:divBdr>
                    <w:top w:val="none" w:sz="0" w:space="0" w:color="auto"/>
                    <w:left w:val="none" w:sz="0" w:space="0" w:color="auto"/>
                    <w:bottom w:val="none" w:sz="0" w:space="0" w:color="auto"/>
                    <w:right w:val="none" w:sz="0" w:space="0" w:color="auto"/>
                  </w:divBdr>
                </w:div>
                <w:div w:id="2119257107">
                  <w:marLeft w:val="0"/>
                  <w:marRight w:val="0"/>
                  <w:marTop w:val="0"/>
                  <w:marBottom w:val="0"/>
                  <w:divBdr>
                    <w:top w:val="none" w:sz="0" w:space="0" w:color="auto"/>
                    <w:left w:val="none" w:sz="0" w:space="0" w:color="auto"/>
                    <w:bottom w:val="none" w:sz="0" w:space="0" w:color="auto"/>
                    <w:right w:val="none" w:sz="0" w:space="0" w:color="auto"/>
                  </w:divBdr>
                </w:div>
                <w:div w:id="291522786">
                  <w:marLeft w:val="0"/>
                  <w:marRight w:val="0"/>
                  <w:marTop w:val="0"/>
                  <w:marBottom w:val="0"/>
                  <w:divBdr>
                    <w:top w:val="none" w:sz="0" w:space="0" w:color="auto"/>
                    <w:left w:val="none" w:sz="0" w:space="0" w:color="auto"/>
                    <w:bottom w:val="none" w:sz="0" w:space="0" w:color="auto"/>
                    <w:right w:val="none" w:sz="0" w:space="0" w:color="auto"/>
                  </w:divBdr>
                </w:div>
                <w:div w:id="879710176">
                  <w:marLeft w:val="0"/>
                  <w:marRight w:val="0"/>
                  <w:marTop w:val="0"/>
                  <w:marBottom w:val="0"/>
                  <w:divBdr>
                    <w:top w:val="none" w:sz="0" w:space="0" w:color="auto"/>
                    <w:left w:val="none" w:sz="0" w:space="0" w:color="auto"/>
                    <w:bottom w:val="none" w:sz="0" w:space="0" w:color="auto"/>
                    <w:right w:val="none" w:sz="0" w:space="0" w:color="auto"/>
                  </w:divBdr>
                </w:div>
                <w:div w:id="1766851062">
                  <w:marLeft w:val="0"/>
                  <w:marRight w:val="0"/>
                  <w:marTop w:val="0"/>
                  <w:marBottom w:val="0"/>
                  <w:divBdr>
                    <w:top w:val="none" w:sz="0" w:space="0" w:color="auto"/>
                    <w:left w:val="none" w:sz="0" w:space="0" w:color="auto"/>
                    <w:bottom w:val="none" w:sz="0" w:space="0" w:color="auto"/>
                    <w:right w:val="none" w:sz="0" w:space="0" w:color="auto"/>
                  </w:divBdr>
                </w:div>
                <w:div w:id="803162465">
                  <w:marLeft w:val="0"/>
                  <w:marRight w:val="0"/>
                  <w:marTop w:val="0"/>
                  <w:marBottom w:val="0"/>
                  <w:divBdr>
                    <w:top w:val="none" w:sz="0" w:space="0" w:color="auto"/>
                    <w:left w:val="none" w:sz="0" w:space="0" w:color="auto"/>
                    <w:bottom w:val="none" w:sz="0" w:space="0" w:color="auto"/>
                    <w:right w:val="none" w:sz="0" w:space="0" w:color="auto"/>
                  </w:divBdr>
                </w:div>
                <w:div w:id="986134310">
                  <w:marLeft w:val="0"/>
                  <w:marRight w:val="0"/>
                  <w:marTop w:val="0"/>
                  <w:marBottom w:val="0"/>
                  <w:divBdr>
                    <w:top w:val="none" w:sz="0" w:space="0" w:color="auto"/>
                    <w:left w:val="none" w:sz="0" w:space="0" w:color="auto"/>
                    <w:bottom w:val="none" w:sz="0" w:space="0" w:color="auto"/>
                    <w:right w:val="none" w:sz="0" w:space="0" w:color="auto"/>
                  </w:divBdr>
                </w:div>
                <w:div w:id="1170800709">
                  <w:marLeft w:val="0"/>
                  <w:marRight w:val="0"/>
                  <w:marTop w:val="0"/>
                  <w:marBottom w:val="0"/>
                  <w:divBdr>
                    <w:top w:val="none" w:sz="0" w:space="0" w:color="auto"/>
                    <w:left w:val="none" w:sz="0" w:space="0" w:color="auto"/>
                    <w:bottom w:val="none" w:sz="0" w:space="0" w:color="auto"/>
                    <w:right w:val="none" w:sz="0" w:space="0" w:color="auto"/>
                  </w:divBdr>
                </w:div>
                <w:div w:id="1832063556">
                  <w:marLeft w:val="0"/>
                  <w:marRight w:val="0"/>
                  <w:marTop w:val="0"/>
                  <w:marBottom w:val="0"/>
                  <w:divBdr>
                    <w:top w:val="none" w:sz="0" w:space="0" w:color="auto"/>
                    <w:left w:val="none" w:sz="0" w:space="0" w:color="auto"/>
                    <w:bottom w:val="none" w:sz="0" w:space="0" w:color="auto"/>
                    <w:right w:val="none" w:sz="0" w:space="0" w:color="auto"/>
                  </w:divBdr>
                </w:div>
                <w:div w:id="1226650038">
                  <w:marLeft w:val="0"/>
                  <w:marRight w:val="0"/>
                  <w:marTop w:val="0"/>
                  <w:marBottom w:val="0"/>
                  <w:divBdr>
                    <w:top w:val="none" w:sz="0" w:space="0" w:color="auto"/>
                    <w:left w:val="none" w:sz="0" w:space="0" w:color="auto"/>
                    <w:bottom w:val="none" w:sz="0" w:space="0" w:color="auto"/>
                    <w:right w:val="none" w:sz="0" w:space="0" w:color="auto"/>
                  </w:divBdr>
                </w:div>
                <w:div w:id="525876230">
                  <w:marLeft w:val="0"/>
                  <w:marRight w:val="0"/>
                  <w:marTop w:val="0"/>
                  <w:marBottom w:val="0"/>
                  <w:divBdr>
                    <w:top w:val="none" w:sz="0" w:space="0" w:color="auto"/>
                    <w:left w:val="none" w:sz="0" w:space="0" w:color="auto"/>
                    <w:bottom w:val="none" w:sz="0" w:space="0" w:color="auto"/>
                    <w:right w:val="none" w:sz="0" w:space="0" w:color="auto"/>
                  </w:divBdr>
                </w:div>
                <w:div w:id="1099638795">
                  <w:marLeft w:val="0"/>
                  <w:marRight w:val="0"/>
                  <w:marTop w:val="0"/>
                  <w:marBottom w:val="0"/>
                  <w:divBdr>
                    <w:top w:val="none" w:sz="0" w:space="0" w:color="auto"/>
                    <w:left w:val="none" w:sz="0" w:space="0" w:color="auto"/>
                    <w:bottom w:val="none" w:sz="0" w:space="0" w:color="auto"/>
                    <w:right w:val="none" w:sz="0" w:space="0" w:color="auto"/>
                  </w:divBdr>
                </w:div>
                <w:div w:id="1420982549">
                  <w:marLeft w:val="0"/>
                  <w:marRight w:val="0"/>
                  <w:marTop w:val="0"/>
                  <w:marBottom w:val="0"/>
                  <w:divBdr>
                    <w:top w:val="none" w:sz="0" w:space="0" w:color="auto"/>
                    <w:left w:val="none" w:sz="0" w:space="0" w:color="auto"/>
                    <w:bottom w:val="none" w:sz="0" w:space="0" w:color="auto"/>
                    <w:right w:val="none" w:sz="0" w:space="0" w:color="auto"/>
                  </w:divBdr>
                </w:div>
                <w:div w:id="999501497">
                  <w:marLeft w:val="0"/>
                  <w:marRight w:val="0"/>
                  <w:marTop w:val="0"/>
                  <w:marBottom w:val="0"/>
                  <w:divBdr>
                    <w:top w:val="none" w:sz="0" w:space="0" w:color="auto"/>
                    <w:left w:val="none" w:sz="0" w:space="0" w:color="auto"/>
                    <w:bottom w:val="none" w:sz="0" w:space="0" w:color="auto"/>
                    <w:right w:val="none" w:sz="0" w:space="0" w:color="auto"/>
                  </w:divBdr>
                </w:div>
                <w:div w:id="184560430">
                  <w:marLeft w:val="0"/>
                  <w:marRight w:val="0"/>
                  <w:marTop w:val="0"/>
                  <w:marBottom w:val="0"/>
                  <w:divBdr>
                    <w:top w:val="none" w:sz="0" w:space="0" w:color="auto"/>
                    <w:left w:val="none" w:sz="0" w:space="0" w:color="auto"/>
                    <w:bottom w:val="none" w:sz="0" w:space="0" w:color="auto"/>
                    <w:right w:val="none" w:sz="0" w:space="0" w:color="auto"/>
                  </w:divBdr>
                </w:div>
                <w:div w:id="695009668">
                  <w:marLeft w:val="0"/>
                  <w:marRight w:val="0"/>
                  <w:marTop w:val="0"/>
                  <w:marBottom w:val="0"/>
                  <w:divBdr>
                    <w:top w:val="none" w:sz="0" w:space="0" w:color="auto"/>
                    <w:left w:val="none" w:sz="0" w:space="0" w:color="auto"/>
                    <w:bottom w:val="none" w:sz="0" w:space="0" w:color="auto"/>
                    <w:right w:val="none" w:sz="0" w:space="0" w:color="auto"/>
                  </w:divBdr>
                </w:div>
                <w:div w:id="943153755">
                  <w:marLeft w:val="0"/>
                  <w:marRight w:val="0"/>
                  <w:marTop w:val="0"/>
                  <w:marBottom w:val="0"/>
                  <w:divBdr>
                    <w:top w:val="none" w:sz="0" w:space="0" w:color="auto"/>
                    <w:left w:val="none" w:sz="0" w:space="0" w:color="auto"/>
                    <w:bottom w:val="none" w:sz="0" w:space="0" w:color="auto"/>
                    <w:right w:val="none" w:sz="0" w:space="0" w:color="auto"/>
                  </w:divBdr>
                </w:div>
                <w:div w:id="1416046749">
                  <w:marLeft w:val="0"/>
                  <w:marRight w:val="0"/>
                  <w:marTop w:val="0"/>
                  <w:marBottom w:val="0"/>
                  <w:divBdr>
                    <w:top w:val="none" w:sz="0" w:space="0" w:color="auto"/>
                    <w:left w:val="none" w:sz="0" w:space="0" w:color="auto"/>
                    <w:bottom w:val="none" w:sz="0" w:space="0" w:color="auto"/>
                    <w:right w:val="none" w:sz="0" w:space="0" w:color="auto"/>
                  </w:divBdr>
                </w:div>
                <w:div w:id="645668171">
                  <w:marLeft w:val="0"/>
                  <w:marRight w:val="0"/>
                  <w:marTop w:val="0"/>
                  <w:marBottom w:val="0"/>
                  <w:divBdr>
                    <w:top w:val="none" w:sz="0" w:space="0" w:color="auto"/>
                    <w:left w:val="none" w:sz="0" w:space="0" w:color="auto"/>
                    <w:bottom w:val="none" w:sz="0" w:space="0" w:color="auto"/>
                    <w:right w:val="none" w:sz="0" w:space="0" w:color="auto"/>
                  </w:divBdr>
                </w:div>
                <w:div w:id="1521043030">
                  <w:marLeft w:val="0"/>
                  <w:marRight w:val="0"/>
                  <w:marTop w:val="0"/>
                  <w:marBottom w:val="0"/>
                  <w:divBdr>
                    <w:top w:val="none" w:sz="0" w:space="0" w:color="auto"/>
                    <w:left w:val="none" w:sz="0" w:space="0" w:color="auto"/>
                    <w:bottom w:val="none" w:sz="0" w:space="0" w:color="auto"/>
                    <w:right w:val="none" w:sz="0" w:space="0" w:color="auto"/>
                  </w:divBdr>
                </w:div>
                <w:div w:id="2057582535">
                  <w:marLeft w:val="0"/>
                  <w:marRight w:val="0"/>
                  <w:marTop w:val="0"/>
                  <w:marBottom w:val="0"/>
                  <w:divBdr>
                    <w:top w:val="none" w:sz="0" w:space="0" w:color="auto"/>
                    <w:left w:val="none" w:sz="0" w:space="0" w:color="auto"/>
                    <w:bottom w:val="none" w:sz="0" w:space="0" w:color="auto"/>
                    <w:right w:val="none" w:sz="0" w:space="0" w:color="auto"/>
                  </w:divBdr>
                </w:div>
                <w:div w:id="1944150375">
                  <w:marLeft w:val="0"/>
                  <w:marRight w:val="0"/>
                  <w:marTop w:val="0"/>
                  <w:marBottom w:val="0"/>
                  <w:divBdr>
                    <w:top w:val="none" w:sz="0" w:space="0" w:color="auto"/>
                    <w:left w:val="none" w:sz="0" w:space="0" w:color="auto"/>
                    <w:bottom w:val="none" w:sz="0" w:space="0" w:color="auto"/>
                    <w:right w:val="none" w:sz="0" w:space="0" w:color="auto"/>
                  </w:divBdr>
                </w:div>
                <w:div w:id="1216236534">
                  <w:marLeft w:val="0"/>
                  <w:marRight w:val="0"/>
                  <w:marTop w:val="0"/>
                  <w:marBottom w:val="0"/>
                  <w:divBdr>
                    <w:top w:val="none" w:sz="0" w:space="0" w:color="auto"/>
                    <w:left w:val="none" w:sz="0" w:space="0" w:color="auto"/>
                    <w:bottom w:val="none" w:sz="0" w:space="0" w:color="auto"/>
                    <w:right w:val="none" w:sz="0" w:space="0" w:color="auto"/>
                  </w:divBdr>
                </w:div>
                <w:div w:id="698898344">
                  <w:marLeft w:val="0"/>
                  <w:marRight w:val="0"/>
                  <w:marTop w:val="0"/>
                  <w:marBottom w:val="0"/>
                  <w:divBdr>
                    <w:top w:val="none" w:sz="0" w:space="0" w:color="auto"/>
                    <w:left w:val="none" w:sz="0" w:space="0" w:color="auto"/>
                    <w:bottom w:val="none" w:sz="0" w:space="0" w:color="auto"/>
                    <w:right w:val="none" w:sz="0" w:space="0" w:color="auto"/>
                  </w:divBdr>
                </w:div>
                <w:div w:id="174525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049970">
          <w:marLeft w:val="0"/>
          <w:marRight w:val="0"/>
          <w:marTop w:val="15"/>
          <w:marBottom w:val="0"/>
          <w:divBdr>
            <w:top w:val="none" w:sz="0" w:space="0" w:color="auto"/>
            <w:left w:val="none" w:sz="0" w:space="0" w:color="auto"/>
            <w:bottom w:val="none" w:sz="0" w:space="0" w:color="auto"/>
            <w:right w:val="none" w:sz="0" w:space="0" w:color="auto"/>
          </w:divBdr>
          <w:divsChild>
            <w:div w:id="95178880">
              <w:marLeft w:val="0"/>
              <w:marRight w:val="0"/>
              <w:marTop w:val="0"/>
              <w:marBottom w:val="0"/>
              <w:divBdr>
                <w:top w:val="none" w:sz="0" w:space="0" w:color="auto"/>
                <w:left w:val="none" w:sz="0" w:space="0" w:color="auto"/>
                <w:bottom w:val="none" w:sz="0" w:space="0" w:color="auto"/>
                <w:right w:val="none" w:sz="0" w:space="0" w:color="auto"/>
              </w:divBdr>
              <w:divsChild>
                <w:div w:id="1879319389">
                  <w:marLeft w:val="0"/>
                  <w:marRight w:val="0"/>
                  <w:marTop w:val="0"/>
                  <w:marBottom w:val="0"/>
                  <w:divBdr>
                    <w:top w:val="none" w:sz="0" w:space="0" w:color="auto"/>
                    <w:left w:val="none" w:sz="0" w:space="0" w:color="auto"/>
                    <w:bottom w:val="none" w:sz="0" w:space="0" w:color="auto"/>
                    <w:right w:val="none" w:sz="0" w:space="0" w:color="auto"/>
                  </w:divBdr>
                </w:div>
                <w:div w:id="968121625">
                  <w:marLeft w:val="0"/>
                  <w:marRight w:val="0"/>
                  <w:marTop w:val="0"/>
                  <w:marBottom w:val="0"/>
                  <w:divBdr>
                    <w:top w:val="none" w:sz="0" w:space="0" w:color="auto"/>
                    <w:left w:val="none" w:sz="0" w:space="0" w:color="auto"/>
                    <w:bottom w:val="none" w:sz="0" w:space="0" w:color="auto"/>
                    <w:right w:val="none" w:sz="0" w:space="0" w:color="auto"/>
                  </w:divBdr>
                </w:div>
                <w:div w:id="589894860">
                  <w:marLeft w:val="0"/>
                  <w:marRight w:val="0"/>
                  <w:marTop w:val="0"/>
                  <w:marBottom w:val="0"/>
                  <w:divBdr>
                    <w:top w:val="none" w:sz="0" w:space="0" w:color="auto"/>
                    <w:left w:val="none" w:sz="0" w:space="0" w:color="auto"/>
                    <w:bottom w:val="none" w:sz="0" w:space="0" w:color="auto"/>
                    <w:right w:val="none" w:sz="0" w:space="0" w:color="auto"/>
                  </w:divBdr>
                </w:div>
                <w:div w:id="1697580529">
                  <w:marLeft w:val="0"/>
                  <w:marRight w:val="0"/>
                  <w:marTop w:val="0"/>
                  <w:marBottom w:val="0"/>
                  <w:divBdr>
                    <w:top w:val="none" w:sz="0" w:space="0" w:color="auto"/>
                    <w:left w:val="none" w:sz="0" w:space="0" w:color="auto"/>
                    <w:bottom w:val="none" w:sz="0" w:space="0" w:color="auto"/>
                    <w:right w:val="none" w:sz="0" w:space="0" w:color="auto"/>
                  </w:divBdr>
                </w:div>
                <w:div w:id="2088569277">
                  <w:marLeft w:val="0"/>
                  <w:marRight w:val="0"/>
                  <w:marTop w:val="0"/>
                  <w:marBottom w:val="0"/>
                  <w:divBdr>
                    <w:top w:val="none" w:sz="0" w:space="0" w:color="auto"/>
                    <w:left w:val="none" w:sz="0" w:space="0" w:color="auto"/>
                    <w:bottom w:val="none" w:sz="0" w:space="0" w:color="auto"/>
                    <w:right w:val="none" w:sz="0" w:space="0" w:color="auto"/>
                  </w:divBdr>
                </w:div>
                <w:div w:id="858474209">
                  <w:marLeft w:val="0"/>
                  <w:marRight w:val="0"/>
                  <w:marTop w:val="0"/>
                  <w:marBottom w:val="0"/>
                  <w:divBdr>
                    <w:top w:val="none" w:sz="0" w:space="0" w:color="auto"/>
                    <w:left w:val="none" w:sz="0" w:space="0" w:color="auto"/>
                    <w:bottom w:val="none" w:sz="0" w:space="0" w:color="auto"/>
                    <w:right w:val="none" w:sz="0" w:space="0" w:color="auto"/>
                  </w:divBdr>
                </w:div>
                <w:div w:id="1001737240">
                  <w:marLeft w:val="0"/>
                  <w:marRight w:val="0"/>
                  <w:marTop w:val="0"/>
                  <w:marBottom w:val="0"/>
                  <w:divBdr>
                    <w:top w:val="none" w:sz="0" w:space="0" w:color="auto"/>
                    <w:left w:val="none" w:sz="0" w:space="0" w:color="auto"/>
                    <w:bottom w:val="none" w:sz="0" w:space="0" w:color="auto"/>
                    <w:right w:val="none" w:sz="0" w:space="0" w:color="auto"/>
                  </w:divBdr>
                </w:div>
                <w:div w:id="1235356770">
                  <w:marLeft w:val="0"/>
                  <w:marRight w:val="0"/>
                  <w:marTop w:val="0"/>
                  <w:marBottom w:val="0"/>
                  <w:divBdr>
                    <w:top w:val="none" w:sz="0" w:space="0" w:color="auto"/>
                    <w:left w:val="none" w:sz="0" w:space="0" w:color="auto"/>
                    <w:bottom w:val="none" w:sz="0" w:space="0" w:color="auto"/>
                    <w:right w:val="none" w:sz="0" w:space="0" w:color="auto"/>
                  </w:divBdr>
                </w:div>
                <w:div w:id="304354092">
                  <w:marLeft w:val="0"/>
                  <w:marRight w:val="0"/>
                  <w:marTop w:val="0"/>
                  <w:marBottom w:val="0"/>
                  <w:divBdr>
                    <w:top w:val="none" w:sz="0" w:space="0" w:color="auto"/>
                    <w:left w:val="none" w:sz="0" w:space="0" w:color="auto"/>
                    <w:bottom w:val="none" w:sz="0" w:space="0" w:color="auto"/>
                    <w:right w:val="none" w:sz="0" w:space="0" w:color="auto"/>
                  </w:divBdr>
                </w:div>
                <w:div w:id="2041977291">
                  <w:marLeft w:val="0"/>
                  <w:marRight w:val="0"/>
                  <w:marTop w:val="0"/>
                  <w:marBottom w:val="0"/>
                  <w:divBdr>
                    <w:top w:val="none" w:sz="0" w:space="0" w:color="auto"/>
                    <w:left w:val="none" w:sz="0" w:space="0" w:color="auto"/>
                    <w:bottom w:val="none" w:sz="0" w:space="0" w:color="auto"/>
                    <w:right w:val="none" w:sz="0" w:space="0" w:color="auto"/>
                  </w:divBdr>
                </w:div>
                <w:div w:id="261423887">
                  <w:marLeft w:val="0"/>
                  <w:marRight w:val="0"/>
                  <w:marTop w:val="0"/>
                  <w:marBottom w:val="0"/>
                  <w:divBdr>
                    <w:top w:val="none" w:sz="0" w:space="0" w:color="auto"/>
                    <w:left w:val="none" w:sz="0" w:space="0" w:color="auto"/>
                    <w:bottom w:val="none" w:sz="0" w:space="0" w:color="auto"/>
                    <w:right w:val="none" w:sz="0" w:space="0" w:color="auto"/>
                  </w:divBdr>
                </w:div>
                <w:div w:id="1467233105">
                  <w:marLeft w:val="0"/>
                  <w:marRight w:val="0"/>
                  <w:marTop w:val="0"/>
                  <w:marBottom w:val="0"/>
                  <w:divBdr>
                    <w:top w:val="none" w:sz="0" w:space="0" w:color="auto"/>
                    <w:left w:val="none" w:sz="0" w:space="0" w:color="auto"/>
                    <w:bottom w:val="none" w:sz="0" w:space="0" w:color="auto"/>
                    <w:right w:val="none" w:sz="0" w:space="0" w:color="auto"/>
                  </w:divBdr>
                </w:div>
                <w:div w:id="1216619303">
                  <w:marLeft w:val="0"/>
                  <w:marRight w:val="0"/>
                  <w:marTop w:val="0"/>
                  <w:marBottom w:val="0"/>
                  <w:divBdr>
                    <w:top w:val="none" w:sz="0" w:space="0" w:color="auto"/>
                    <w:left w:val="none" w:sz="0" w:space="0" w:color="auto"/>
                    <w:bottom w:val="none" w:sz="0" w:space="0" w:color="auto"/>
                    <w:right w:val="none" w:sz="0" w:space="0" w:color="auto"/>
                  </w:divBdr>
                </w:div>
                <w:div w:id="596987591">
                  <w:marLeft w:val="0"/>
                  <w:marRight w:val="0"/>
                  <w:marTop w:val="0"/>
                  <w:marBottom w:val="0"/>
                  <w:divBdr>
                    <w:top w:val="none" w:sz="0" w:space="0" w:color="auto"/>
                    <w:left w:val="none" w:sz="0" w:space="0" w:color="auto"/>
                    <w:bottom w:val="none" w:sz="0" w:space="0" w:color="auto"/>
                    <w:right w:val="none" w:sz="0" w:space="0" w:color="auto"/>
                  </w:divBdr>
                </w:div>
                <w:div w:id="1211768635">
                  <w:marLeft w:val="0"/>
                  <w:marRight w:val="0"/>
                  <w:marTop w:val="0"/>
                  <w:marBottom w:val="0"/>
                  <w:divBdr>
                    <w:top w:val="none" w:sz="0" w:space="0" w:color="auto"/>
                    <w:left w:val="none" w:sz="0" w:space="0" w:color="auto"/>
                    <w:bottom w:val="none" w:sz="0" w:space="0" w:color="auto"/>
                    <w:right w:val="none" w:sz="0" w:space="0" w:color="auto"/>
                  </w:divBdr>
                </w:div>
                <w:div w:id="771316776">
                  <w:marLeft w:val="0"/>
                  <w:marRight w:val="0"/>
                  <w:marTop w:val="0"/>
                  <w:marBottom w:val="0"/>
                  <w:divBdr>
                    <w:top w:val="none" w:sz="0" w:space="0" w:color="auto"/>
                    <w:left w:val="none" w:sz="0" w:space="0" w:color="auto"/>
                    <w:bottom w:val="none" w:sz="0" w:space="0" w:color="auto"/>
                    <w:right w:val="none" w:sz="0" w:space="0" w:color="auto"/>
                  </w:divBdr>
                </w:div>
                <w:div w:id="101926158">
                  <w:marLeft w:val="0"/>
                  <w:marRight w:val="0"/>
                  <w:marTop w:val="0"/>
                  <w:marBottom w:val="0"/>
                  <w:divBdr>
                    <w:top w:val="none" w:sz="0" w:space="0" w:color="auto"/>
                    <w:left w:val="none" w:sz="0" w:space="0" w:color="auto"/>
                    <w:bottom w:val="none" w:sz="0" w:space="0" w:color="auto"/>
                    <w:right w:val="none" w:sz="0" w:space="0" w:color="auto"/>
                  </w:divBdr>
                </w:div>
                <w:div w:id="956059191">
                  <w:marLeft w:val="0"/>
                  <w:marRight w:val="0"/>
                  <w:marTop w:val="0"/>
                  <w:marBottom w:val="0"/>
                  <w:divBdr>
                    <w:top w:val="none" w:sz="0" w:space="0" w:color="auto"/>
                    <w:left w:val="none" w:sz="0" w:space="0" w:color="auto"/>
                    <w:bottom w:val="none" w:sz="0" w:space="0" w:color="auto"/>
                    <w:right w:val="none" w:sz="0" w:space="0" w:color="auto"/>
                  </w:divBdr>
                </w:div>
                <w:div w:id="786898676">
                  <w:marLeft w:val="0"/>
                  <w:marRight w:val="0"/>
                  <w:marTop w:val="0"/>
                  <w:marBottom w:val="0"/>
                  <w:divBdr>
                    <w:top w:val="none" w:sz="0" w:space="0" w:color="auto"/>
                    <w:left w:val="none" w:sz="0" w:space="0" w:color="auto"/>
                    <w:bottom w:val="none" w:sz="0" w:space="0" w:color="auto"/>
                    <w:right w:val="none" w:sz="0" w:space="0" w:color="auto"/>
                  </w:divBdr>
                </w:div>
                <w:div w:id="320541821">
                  <w:marLeft w:val="0"/>
                  <w:marRight w:val="0"/>
                  <w:marTop w:val="0"/>
                  <w:marBottom w:val="0"/>
                  <w:divBdr>
                    <w:top w:val="none" w:sz="0" w:space="0" w:color="auto"/>
                    <w:left w:val="none" w:sz="0" w:space="0" w:color="auto"/>
                    <w:bottom w:val="none" w:sz="0" w:space="0" w:color="auto"/>
                    <w:right w:val="none" w:sz="0" w:space="0" w:color="auto"/>
                  </w:divBdr>
                </w:div>
                <w:div w:id="366293814">
                  <w:marLeft w:val="0"/>
                  <w:marRight w:val="0"/>
                  <w:marTop w:val="0"/>
                  <w:marBottom w:val="0"/>
                  <w:divBdr>
                    <w:top w:val="none" w:sz="0" w:space="0" w:color="auto"/>
                    <w:left w:val="none" w:sz="0" w:space="0" w:color="auto"/>
                    <w:bottom w:val="none" w:sz="0" w:space="0" w:color="auto"/>
                    <w:right w:val="none" w:sz="0" w:space="0" w:color="auto"/>
                  </w:divBdr>
                </w:div>
                <w:div w:id="653609563">
                  <w:marLeft w:val="0"/>
                  <w:marRight w:val="0"/>
                  <w:marTop w:val="0"/>
                  <w:marBottom w:val="0"/>
                  <w:divBdr>
                    <w:top w:val="none" w:sz="0" w:space="0" w:color="auto"/>
                    <w:left w:val="none" w:sz="0" w:space="0" w:color="auto"/>
                    <w:bottom w:val="none" w:sz="0" w:space="0" w:color="auto"/>
                    <w:right w:val="none" w:sz="0" w:space="0" w:color="auto"/>
                  </w:divBdr>
                </w:div>
                <w:div w:id="604535358">
                  <w:marLeft w:val="0"/>
                  <w:marRight w:val="0"/>
                  <w:marTop w:val="0"/>
                  <w:marBottom w:val="0"/>
                  <w:divBdr>
                    <w:top w:val="none" w:sz="0" w:space="0" w:color="auto"/>
                    <w:left w:val="none" w:sz="0" w:space="0" w:color="auto"/>
                    <w:bottom w:val="none" w:sz="0" w:space="0" w:color="auto"/>
                    <w:right w:val="none" w:sz="0" w:space="0" w:color="auto"/>
                  </w:divBdr>
                </w:div>
                <w:div w:id="1090589978">
                  <w:marLeft w:val="0"/>
                  <w:marRight w:val="0"/>
                  <w:marTop w:val="0"/>
                  <w:marBottom w:val="0"/>
                  <w:divBdr>
                    <w:top w:val="none" w:sz="0" w:space="0" w:color="auto"/>
                    <w:left w:val="none" w:sz="0" w:space="0" w:color="auto"/>
                    <w:bottom w:val="none" w:sz="0" w:space="0" w:color="auto"/>
                    <w:right w:val="none" w:sz="0" w:space="0" w:color="auto"/>
                  </w:divBdr>
                </w:div>
                <w:div w:id="545685148">
                  <w:marLeft w:val="0"/>
                  <w:marRight w:val="0"/>
                  <w:marTop w:val="0"/>
                  <w:marBottom w:val="0"/>
                  <w:divBdr>
                    <w:top w:val="none" w:sz="0" w:space="0" w:color="auto"/>
                    <w:left w:val="none" w:sz="0" w:space="0" w:color="auto"/>
                    <w:bottom w:val="none" w:sz="0" w:space="0" w:color="auto"/>
                    <w:right w:val="none" w:sz="0" w:space="0" w:color="auto"/>
                  </w:divBdr>
                </w:div>
                <w:div w:id="1361012444">
                  <w:marLeft w:val="0"/>
                  <w:marRight w:val="0"/>
                  <w:marTop w:val="0"/>
                  <w:marBottom w:val="0"/>
                  <w:divBdr>
                    <w:top w:val="none" w:sz="0" w:space="0" w:color="auto"/>
                    <w:left w:val="none" w:sz="0" w:space="0" w:color="auto"/>
                    <w:bottom w:val="none" w:sz="0" w:space="0" w:color="auto"/>
                    <w:right w:val="none" w:sz="0" w:space="0" w:color="auto"/>
                  </w:divBdr>
                </w:div>
                <w:div w:id="56939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175546">
          <w:marLeft w:val="0"/>
          <w:marRight w:val="0"/>
          <w:marTop w:val="15"/>
          <w:marBottom w:val="0"/>
          <w:divBdr>
            <w:top w:val="none" w:sz="0" w:space="0" w:color="auto"/>
            <w:left w:val="none" w:sz="0" w:space="0" w:color="auto"/>
            <w:bottom w:val="none" w:sz="0" w:space="0" w:color="auto"/>
            <w:right w:val="none" w:sz="0" w:space="0" w:color="auto"/>
          </w:divBdr>
          <w:divsChild>
            <w:div w:id="1978367330">
              <w:marLeft w:val="0"/>
              <w:marRight w:val="0"/>
              <w:marTop w:val="0"/>
              <w:marBottom w:val="0"/>
              <w:divBdr>
                <w:top w:val="none" w:sz="0" w:space="0" w:color="auto"/>
                <w:left w:val="none" w:sz="0" w:space="0" w:color="auto"/>
                <w:bottom w:val="none" w:sz="0" w:space="0" w:color="auto"/>
                <w:right w:val="none" w:sz="0" w:space="0" w:color="auto"/>
              </w:divBdr>
              <w:divsChild>
                <w:div w:id="1648048802">
                  <w:marLeft w:val="0"/>
                  <w:marRight w:val="0"/>
                  <w:marTop w:val="0"/>
                  <w:marBottom w:val="0"/>
                  <w:divBdr>
                    <w:top w:val="none" w:sz="0" w:space="0" w:color="auto"/>
                    <w:left w:val="none" w:sz="0" w:space="0" w:color="auto"/>
                    <w:bottom w:val="none" w:sz="0" w:space="0" w:color="auto"/>
                    <w:right w:val="none" w:sz="0" w:space="0" w:color="auto"/>
                  </w:divBdr>
                </w:div>
                <w:div w:id="1770200312">
                  <w:marLeft w:val="0"/>
                  <w:marRight w:val="0"/>
                  <w:marTop w:val="0"/>
                  <w:marBottom w:val="0"/>
                  <w:divBdr>
                    <w:top w:val="none" w:sz="0" w:space="0" w:color="auto"/>
                    <w:left w:val="none" w:sz="0" w:space="0" w:color="auto"/>
                    <w:bottom w:val="none" w:sz="0" w:space="0" w:color="auto"/>
                    <w:right w:val="none" w:sz="0" w:space="0" w:color="auto"/>
                  </w:divBdr>
                </w:div>
                <w:div w:id="1635135052">
                  <w:marLeft w:val="0"/>
                  <w:marRight w:val="0"/>
                  <w:marTop w:val="0"/>
                  <w:marBottom w:val="0"/>
                  <w:divBdr>
                    <w:top w:val="none" w:sz="0" w:space="0" w:color="auto"/>
                    <w:left w:val="none" w:sz="0" w:space="0" w:color="auto"/>
                    <w:bottom w:val="none" w:sz="0" w:space="0" w:color="auto"/>
                    <w:right w:val="none" w:sz="0" w:space="0" w:color="auto"/>
                  </w:divBdr>
                </w:div>
                <w:div w:id="859274877">
                  <w:marLeft w:val="0"/>
                  <w:marRight w:val="0"/>
                  <w:marTop w:val="0"/>
                  <w:marBottom w:val="0"/>
                  <w:divBdr>
                    <w:top w:val="none" w:sz="0" w:space="0" w:color="auto"/>
                    <w:left w:val="none" w:sz="0" w:space="0" w:color="auto"/>
                    <w:bottom w:val="none" w:sz="0" w:space="0" w:color="auto"/>
                    <w:right w:val="none" w:sz="0" w:space="0" w:color="auto"/>
                  </w:divBdr>
                </w:div>
                <w:div w:id="1031420194">
                  <w:marLeft w:val="0"/>
                  <w:marRight w:val="0"/>
                  <w:marTop w:val="0"/>
                  <w:marBottom w:val="0"/>
                  <w:divBdr>
                    <w:top w:val="none" w:sz="0" w:space="0" w:color="auto"/>
                    <w:left w:val="none" w:sz="0" w:space="0" w:color="auto"/>
                    <w:bottom w:val="none" w:sz="0" w:space="0" w:color="auto"/>
                    <w:right w:val="none" w:sz="0" w:space="0" w:color="auto"/>
                  </w:divBdr>
                </w:div>
                <w:div w:id="1903980022">
                  <w:marLeft w:val="0"/>
                  <w:marRight w:val="0"/>
                  <w:marTop w:val="0"/>
                  <w:marBottom w:val="0"/>
                  <w:divBdr>
                    <w:top w:val="none" w:sz="0" w:space="0" w:color="auto"/>
                    <w:left w:val="none" w:sz="0" w:space="0" w:color="auto"/>
                    <w:bottom w:val="none" w:sz="0" w:space="0" w:color="auto"/>
                    <w:right w:val="none" w:sz="0" w:space="0" w:color="auto"/>
                  </w:divBdr>
                </w:div>
                <w:div w:id="517695247">
                  <w:marLeft w:val="0"/>
                  <w:marRight w:val="0"/>
                  <w:marTop w:val="0"/>
                  <w:marBottom w:val="0"/>
                  <w:divBdr>
                    <w:top w:val="none" w:sz="0" w:space="0" w:color="auto"/>
                    <w:left w:val="none" w:sz="0" w:space="0" w:color="auto"/>
                    <w:bottom w:val="none" w:sz="0" w:space="0" w:color="auto"/>
                    <w:right w:val="none" w:sz="0" w:space="0" w:color="auto"/>
                  </w:divBdr>
                </w:div>
                <w:div w:id="1660965699">
                  <w:marLeft w:val="0"/>
                  <w:marRight w:val="0"/>
                  <w:marTop w:val="0"/>
                  <w:marBottom w:val="0"/>
                  <w:divBdr>
                    <w:top w:val="none" w:sz="0" w:space="0" w:color="auto"/>
                    <w:left w:val="none" w:sz="0" w:space="0" w:color="auto"/>
                    <w:bottom w:val="none" w:sz="0" w:space="0" w:color="auto"/>
                    <w:right w:val="none" w:sz="0" w:space="0" w:color="auto"/>
                  </w:divBdr>
                </w:div>
                <w:div w:id="1659503311">
                  <w:marLeft w:val="0"/>
                  <w:marRight w:val="0"/>
                  <w:marTop w:val="0"/>
                  <w:marBottom w:val="0"/>
                  <w:divBdr>
                    <w:top w:val="none" w:sz="0" w:space="0" w:color="auto"/>
                    <w:left w:val="none" w:sz="0" w:space="0" w:color="auto"/>
                    <w:bottom w:val="none" w:sz="0" w:space="0" w:color="auto"/>
                    <w:right w:val="none" w:sz="0" w:space="0" w:color="auto"/>
                  </w:divBdr>
                </w:div>
                <w:div w:id="977223538">
                  <w:marLeft w:val="0"/>
                  <w:marRight w:val="0"/>
                  <w:marTop w:val="0"/>
                  <w:marBottom w:val="0"/>
                  <w:divBdr>
                    <w:top w:val="none" w:sz="0" w:space="0" w:color="auto"/>
                    <w:left w:val="none" w:sz="0" w:space="0" w:color="auto"/>
                    <w:bottom w:val="none" w:sz="0" w:space="0" w:color="auto"/>
                    <w:right w:val="none" w:sz="0" w:space="0" w:color="auto"/>
                  </w:divBdr>
                </w:div>
                <w:div w:id="526023318">
                  <w:marLeft w:val="0"/>
                  <w:marRight w:val="0"/>
                  <w:marTop w:val="0"/>
                  <w:marBottom w:val="0"/>
                  <w:divBdr>
                    <w:top w:val="none" w:sz="0" w:space="0" w:color="auto"/>
                    <w:left w:val="none" w:sz="0" w:space="0" w:color="auto"/>
                    <w:bottom w:val="none" w:sz="0" w:space="0" w:color="auto"/>
                    <w:right w:val="none" w:sz="0" w:space="0" w:color="auto"/>
                  </w:divBdr>
                </w:div>
                <w:div w:id="2043820869">
                  <w:marLeft w:val="0"/>
                  <w:marRight w:val="0"/>
                  <w:marTop w:val="0"/>
                  <w:marBottom w:val="0"/>
                  <w:divBdr>
                    <w:top w:val="none" w:sz="0" w:space="0" w:color="auto"/>
                    <w:left w:val="none" w:sz="0" w:space="0" w:color="auto"/>
                    <w:bottom w:val="none" w:sz="0" w:space="0" w:color="auto"/>
                    <w:right w:val="none" w:sz="0" w:space="0" w:color="auto"/>
                  </w:divBdr>
                </w:div>
                <w:div w:id="1397438267">
                  <w:marLeft w:val="0"/>
                  <w:marRight w:val="0"/>
                  <w:marTop w:val="0"/>
                  <w:marBottom w:val="0"/>
                  <w:divBdr>
                    <w:top w:val="none" w:sz="0" w:space="0" w:color="auto"/>
                    <w:left w:val="none" w:sz="0" w:space="0" w:color="auto"/>
                    <w:bottom w:val="none" w:sz="0" w:space="0" w:color="auto"/>
                    <w:right w:val="none" w:sz="0" w:space="0" w:color="auto"/>
                  </w:divBdr>
                </w:div>
                <w:div w:id="1607543916">
                  <w:marLeft w:val="0"/>
                  <w:marRight w:val="0"/>
                  <w:marTop w:val="0"/>
                  <w:marBottom w:val="0"/>
                  <w:divBdr>
                    <w:top w:val="none" w:sz="0" w:space="0" w:color="auto"/>
                    <w:left w:val="none" w:sz="0" w:space="0" w:color="auto"/>
                    <w:bottom w:val="none" w:sz="0" w:space="0" w:color="auto"/>
                    <w:right w:val="none" w:sz="0" w:space="0" w:color="auto"/>
                  </w:divBdr>
                </w:div>
                <w:div w:id="1276326776">
                  <w:marLeft w:val="0"/>
                  <w:marRight w:val="0"/>
                  <w:marTop w:val="0"/>
                  <w:marBottom w:val="0"/>
                  <w:divBdr>
                    <w:top w:val="none" w:sz="0" w:space="0" w:color="auto"/>
                    <w:left w:val="none" w:sz="0" w:space="0" w:color="auto"/>
                    <w:bottom w:val="none" w:sz="0" w:space="0" w:color="auto"/>
                    <w:right w:val="none" w:sz="0" w:space="0" w:color="auto"/>
                  </w:divBdr>
                </w:div>
                <w:div w:id="394354344">
                  <w:marLeft w:val="0"/>
                  <w:marRight w:val="0"/>
                  <w:marTop w:val="0"/>
                  <w:marBottom w:val="0"/>
                  <w:divBdr>
                    <w:top w:val="none" w:sz="0" w:space="0" w:color="auto"/>
                    <w:left w:val="none" w:sz="0" w:space="0" w:color="auto"/>
                    <w:bottom w:val="none" w:sz="0" w:space="0" w:color="auto"/>
                    <w:right w:val="none" w:sz="0" w:space="0" w:color="auto"/>
                  </w:divBdr>
                </w:div>
                <w:div w:id="14236478">
                  <w:marLeft w:val="0"/>
                  <w:marRight w:val="0"/>
                  <w:marTop w:val="0"/>
                  <w:marBottom w:val="0"/>
                  <w:divBdr>
                    <w:top w:val="none" w:sz="0" w:space="0" w:color="auto"/>
                    <w:left w:val="none" w:sz="0" w:space="0" w:color="auto"/>
                    <w:bottom w:val="none" w:sz="0" w:space="0" w:color="auto"/>
                    <w:right w:val="none" w:sz="0" w:space="0" w:color="auto"/>
                  </w:divBdr>
                </w:div>
                <w:div w:id="1387021945">
                  <w:marLeft w:val="0"/>
                  <w:marRight w:val="0"/>
                  <w:marTop w:val="0"/>
                  <w:marBottom w:val="0"/>
                  <w:divBdr>
                    <w:top w:val="none" w:sz="0" w:space="0" w:color="auto"/>
                    <w:left w:val="none" w:sz="0" w:space="0" w:color="auto"/>
                    <w:bottom w:val="none" w:sz="0" w:space="0" w:color="auto"/>
                    <w:right w:val="none" w:sz="0" w:space="0" w:color="auto"/>
                  </w:divBdr>
                </w:div>
                <w:div w:id="725029012">
                  <w:marLeft w:val="0"/>
                  <w:marRight w:val="0"/>
                  <w:marTop w:val="0"/>
                  <w:marBottom w:val="0"/>
                  <w:divBdr>
                    <w:top w:val="none" w:sz="0" w:space="0" w:color="auto"/>
                    <w:left w:val="none" w:sz="0" w:space="0" w:color="auto"/>
                    <w:bottom w:val="none" w:sz="0" w:space="0" w:color="auto"/>
                    <w:right w:val="none" w:sz="0" w:space="0" w:color="auto"/>
                  </w:divBdr>
                </w:div>
                <w:div w:id="2020498358">
                  <w:marLeft w:val="0"/>
                  <w:marRight w:val="0"/>
                  <w:marTop w:val="0"/>
                  <w:marBottom w:val="0"/>
                  <w:divBdr>
                    <w:top w:val="none" w:sz="0" w:space="0" w:color="auto"/>
                    <w:left w:val="none" w:sz="0" w:space="0" w:color="auto"/>
                    <w:bottom w:val="none" w:sz="0" w:space="0" w:color="auto"/>
                    <w:right w:val="none" w:sz="0" w:space="0" w:color="auto"/>
                  </w:divBdr>
                </w:div>
                <w:div w:id="187378602">
                  <w:marLeft w:val="0"/>
                  <w:marRight w:val="0"/>
                  <w:marTop w:val="0"/>
                  <w:marBottom w:val="0"/>
                  <w:divBdr>
                    <w:top w:val="none" w:sz="0" w:space="0" w:color="auto"/>
                    <w:left w:val="none" w:sz="0" w:space="0" w:color="auto"/>
                    <w:bottom w:val="none" w:sz="0" w:space="0" w:color="auto"/>
                    <w:right w:val="none" w:sz="0" w:space="0" w:color="auto"/>
                  </w:divBdr>
                </w:div>
                <w:div w:id="607853334">
                  <w:marLeft w:val="0"/>
                  <w:marRight w:val="0"/>
                  <w:marTop w:val="0"/>
                  <w:marBottom w:val="0"/>
                  <w:divBdr>
                    <w:top w:val="none" w:sz="0" w:space="0" w:color="auto"/>
                    <w:left w:val="none" w:sz="0" w:space="0" w:color="auto"/>
                    <w:bottom w:val="none" w:sz="0" w:space="0" w:color="auto"/>
                    <w:right w:val="none" w:sz="0" w:space="0" w:color="auto"/>
                  </w:divBdr>
                </w:div>
                <w:div w:id="1038746729">
                  <w:marLeft w:val="0"/>
                  <w:marRight w:val="0"/>
                  <w:marTop w:val="0"/>
                  <w:marBottom w:val="0"/>
                  <w:divBdr>
                    <w:top w:val="none" w:sz="0" w:space="0" w:color="auto"/>
                    <w:left w:val="none" w:sz="0" w:space="0" w:color="auto"/>
                    <w:bottom w:val="none" w:sz="0" w:space="0" w:color="auto"/>
                    <w:right w:val="none" w:sz="0" w:space="0" w:color="auto"/>
                  </w:divBdr>
                </w:div>
                <w:div w:id="1005329885">
                  <w:marLeft w:val="0"/>
                  <w:marRight w:val="0"/>
                  <w:marTop w:val="0"/>
                  <w:marBottom w:val="0"/>
                  <w:divBdr>
                    <w:top w:val="none" w:sz="0" w:space="0" w:color="auto"/>
                    <w:left w:val="none" w:sz="0" w:space="0" w:color="auto"/>
                    <w:bottom w:val="none" w:sz="0" w:space="0" w:color="auto"/>
                    <w:right w:val="none" w:sz="0" w:space="0" w:color="auto"/>
                  </w:divBdr>
                </w:div>
                <w:div w:id="837158865">
                  <w:marLeft w:val="0"/>
                  <w:marRight w:val="0"/>
                  <w:marTop w:val="0"/>
                  <w:marBottom w:val="0"/>
                  <w:divBdr>
                    <w:top w:val="none" w:sz="0" w:space="0" w:color="auto"/>
                    <w:left w:val="none" w:sz="0" w:space="0" w:color="auto"/>
                    <w:bottom w:val="none" w:sz="0" w:space="0" w:color="auto"/>
                    <w:right w:val="none" w:sz="0" w:space="0" w:color="auto"/>
                  </w:divBdr>
                </w:div>
                <w:div w:id="1557206264">
                  <w:marLeft w:val="0"/>
                  <w:marRight w:val="0"/>
                  <w:marTop w:val="0"/>
                  <w:marBottom w:val="0"/>
                  <w:divBdr>
                    <w:top w:val="none" w:sz="0" w:space="0" w:color="auto"/>
                    <w:left w:val="none" w:sz="0" w:space="0" w:color="auto"/>
                    <w:bottom w:val="none" w:sz="0" w:space="0" w:color="auto"/>
                    <w:right w:val="none" w:sz="0" w:space="0" w:color="auto"/>
                  </w:divBdr>
                </w:div>
                <w:div w:id="15931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581231">
          <w:marLeft w:val="0"/>
          <w:marRight w:val="0"/>
          <w:marTop w:val="15"/>
          <w:marBottom w:val="0"/>
          <w:divBdr>
            <w:top w:val="none" w:sz="0" w:space="0" w:color="auto"/>
            <w:left w:val="none" w:sz="0" w:space="0" w:color="auto"/>
            <w:bottom w:val="none" w:sz="0" w:space="0" w:color="auto"/>
            <w:right w:val="none" w:sz="0" w:space="0" w:color="auto"/>
          </w:divBdr>
          <w:divsChild>
            <w:div w:id="1485463744">
              <w:marLeft w:val="0"/>
              <w:marRight w:val="0"/>
              <w:marTop w:val="0"/>
              <w:marBottom w:val="0"/>
              <w:divBdr>
                <w:top w:val="none" w:sz="0" w:space="0" w:color="auto"/>
                <w:left w:val="none" w:sz="0" w:space="0" w:color="auto"/>
                <w:bottom w:val="none" w:sz="0" w:space="0" w:color="auto"/>
                <w:right w:val="none" w:sz="0" w:space="0" w:color="auto"/>
              </w:divBdr>
              <w:divsChild>
                <w:div w:id="1852722860">
                  <w:marLeft w:val="0"/>
                  <w:marRight w:val="0"/>
                  <w:marTop w:val="0"/>
                  <w:marBottom w:val="0"/>
                  <w:divBdr>
                    <w:top w:val="none" w:sz="0" w:space="0" w:color="auto"/>
                    <w:left w:val="none" w:sz="0" w:space="0" w:color="auto"/>
                    <w:bottom w:val="none" w:sz="0" w:space="0" w:color="auto"/>
                    <w:right w:val="none" w:sz="0" w:space="0" w:color="auto"/>
                  </w:divBdr>
                </w:div>
                <w:div w:id="938369213">
                  <w:marLeft w:val="0"/>
                  <w:marRight w:val="0"/>
                  <w:marTop w:val="0"/>
                  <w:marBottom w:val="0"/>
                  <w:divBdr>
                    <w:top w:val="none" w:sz="0" w:space="0" w:color="auto"/>
                    <w:left w:val="none" w:sz="0" w:space="0" w:color="auto"/>
                    <w:bottom w:val="none" w:sz="0" w:space="0" w:color="auto"/>
                    <w:right w:val="none" w:sz="0" w:space="0" w:color="auto"/>
                  </w:divBdr>
                </w:div>
                <w:div w:id="1199124623">
                  <w:marLeft w:val="0"/>
                  <w:marRight w:val="0"/>
                  <w:marTop w:val="0"/>
                  <w:marBottom w:val="0"/>
                  <w:divBdr>
                    <w:top w:val="none" w:sz="0" w:space="0" w:color="auto"/>
                    <w:left w:val="none" w:sz="0" w:space="0" w:color="auto"/>
                    <w:bottom w:val="none" w:sz="0" w:space="0" w:color="auto"/>
                    <w:right w:val="none" w:sz="0" w:space="0" w:color="auto"/>
                  </w:divBdr>
                </w:div>
                <w:div w:id="1999726551">
                  <w:marLeft w:val="0"/>
                  <w:marRight w:val="0"/>
                  <w:marTop w:val="0"/>
                  <w:marBottom w:val="0"/>
                  <w:divBdr>
                    <w:top w:val="none" w:sz="0" w:space="0" w:color="auto"/>
                    <w:left w:val="none" w:sz="0" w:space="0" w:color="auto"/>
                    <w:bottom w:val="none" w:sz="0" w:space="0" w:color="auto"/>
                    <w:right w:val="none" w:sz="0" w:space="0" w:color="auto"/>
                  </w:divBdr>
                </w:div>
                <w:div w:id="1454444209">
                  <w:marLeft w:val="0"/>
                  <w:marRight w:val="0"/>
                  <w:marTop w:val="0"/>
                  <w:marBottom w:val="0"/>
                  <w:divBdr>
                    <w:top w:val="none" w:sz="0" w:space="0" w:color="auto"/>
                    <w:left w:val="none" w:sz="0" w:space="0" w:color="auto"/>
                    <w:bottom w:val="none" w:sz="0" w:space="0" w:color="auto"/>
                    <w:right w:val="none" w:sz="0" w:space="0" w:color="auto"/>
                  </w:divBdr>
                </w:div>
                <w:div w:id="611013833">
                  <w:marLeft w:val="0"/>
                  <w:marRight w:val="0"/>
                  <w:marTop w:val="0"/>
                  <w:marBottom w:val="0"/>
                  <w:divBdr>
                    <w:top w:val="none" w:sz="0" w:space="0" w:color="auto"/>
                    <w:left w:val="none" w:sz="0" w:space="0" w:color="auto"/>
                    <w:bottom w:val="none" w:sz="0" w:space="0" w:color="auto"/>
                    <w:right w:val="none" w:sz="0" w:space="0" w:color="auto"/>
                  </w:divBdr>
                </w:div>
                <w:div w:id="1017923402">
                  <w:marLeft w:val="0"/>
                  <w:marRight w:val="0"/>
                  <w:marTop w:val="0"/>
                  <w:marBottom w:val="0"/>
                  <w:divBdr>
                    <w:top w:val="none" w:sz="0" w:space="0" w:color="auto"/>
                    <w:left w:val="none" w:sz="0" w:space="0" w:color="auto"/>
                    <w:bottom w:val="none" w:sz="0" w:space="0" w:color="auto"/>
                    <w:right w:val="none" w:sz="0" w:space="0" w:color="auto"/>
                  </w:divBdr>
                </w:div>
                <w:div w:id="2006203657">
                  <w:marLeft w:val="0"/>
                  <w:marRight w:val="0"/>
                  <w:marTop w:val="0"/>
                  <w:marBottom w:val="0"/>
                  <w:divBdr>
                    <w:top w:val="none" w:sz="0" w:space="0" w:color="auto"/>
                    <w:left w:val="none" w:sz="0" w:space="0" w:color="auto"/>
                    <w:bottom w:val="none" w:sz="0" w:space="0" w:color="auto"/>
                    <w:right w:val="none" w:sz="0" w:space="0" w:color="auto"/>
                  </w:divBdr>
                </w:div>
                <w:div w:id="252593131">
                  <w:marLeft w:val="0"/>
                  <w:marRight w:val="0"/>
                  <w:marTop w:val="0"/>
                  <w:marBottom w:val="0"/>
                  <w:divBdr>
                    <w:top w:val="none" w:sz="0" w:space="0" w:color="auto"/>
                    <w:left w:val="none" w:sz="0" w:space="0" w:color="auto"/>
                    <w:bottom w:val="none" w:sz="0" w:space="0" w:color="auto"/>
                    <w:right w:val="none" w:sz="0" w:space="0" w:color="auto"/>
                  </w:divBdr>
                </w:div>
                <w:div w:id="471559640">
                  <w:marLeft w:val="0"/>
                  <w:marRight w:val="0"/>
                  <w:marTop w:val="0"/>
                  <w:marBottom w:val="0"/>
                  <w:divBdr>
                    <w:top w:val="none" w:sz="0" w:space="0" w:color="auto"/>
                    <w:left w:val="none" w:sz="0" w:space="0" w:color="auto"/>
                    <w:bottom w:val="none" w:sz="0" w:space="0" w:color="auto"/>
                    <w:right w:val="none" w:sz="0" w:space="0" w:color="auto"/>
                  </w:divBdr>
                </w:div>
                <w:div w:id="353729641">
                  <w:marLeft w:val="0"/>
                  <w:marRight w:val="0"/>
                  <w:marTop w:val="0"/>
                  <w:marBottom w:val="0"/>
                  <w:divBdr>
                    <w:top w:val="none" w:sz="0" w:space="0" w:color="auto"/>
                    <w:left w:val="none" w:sz="0" w:space="0" w:color="auto"/>
                    <w:bottom w:val="none" w:sz="0" w:space="0" w:color="auto"/>
                    <w:right w:val="none" w:sz="0" w:space="0" w:color="auto"/>
                  </w:divBdr>
                </w:div>
                <w:div w:id="2087338701">
                  <w:marLeft w:val="0"/>
                  <w:marRight w:val="0"/>
                  <w:marTop w:val="0"/>
                  <w:marBottom w:val="0"/>
                  <w:divBdr>
                    <w:top w:val="none" w:sz="0" w:space="0" w:color="auto"/>
                    <w:left w:val="none" w:sz="0" w:space="0" w:color="auto"/>
                    <w:bottom w:val="none" w:sz="0" w:space="0" w:color="auto"/>
                    <w:right w:val="none" w:sz="0" w:space="0" w:color="auto"/>
                  </w:divBdr>
                </w:div>
                <w:div w:id="1067189562">
                  <w:marLeft w:val="0"/>
                  <w:marRight w:val="0"/>
                  <w:marTop w:val="0"/>
                  <w:marBottom w:val="0"/>
                  <w:divBdr>
                    <w:top w:val="none" w:sz="0" w:space="0" w:color="auto"/>
                    <w:left w:val="none" w:sz="0" w:space="0" w:color="auto"/>
                    <w:bottom w:val="none" w:sz="0" w:space="0" w:color="auto"/>
                    <w:right w:val="none" w:sz="0" w:space="0" w:color="auto"/>
                  </w:divBdr>
                </w:div>
                <w:div w:id="408692891">
                  <w:marLeft w:val="0"/>
                  <w:marRight w:val="0"/>
                  <w:marTop w:val="0"/>
                  <w:marBottom w:val="0"/>
                  <w:divBdr>
                    <w:top w:val="none" w:sz="0" w:space="0" w:color="auto"/>
                    <w:left w:val="none" w:sz="0" w:space="0" w:color="auto"/>
                    <w:bottom w:val="none" w:sz="0" w:space="0" w:color="auto"/>
                    <w:right w:val="none" w:sz="0" w:space="0" w:color="auto"/>
                  </w:divBdr>
                </w:div>
                <w:div w:id="1440953741">
                  <w:marLeft w:val="0"/>
                  <w:marRight w:val="0"/>
                  <w:marTop w:val="0"/>
                  <w:marBottom w:val="0"/>
                  <w:divBdr>
                    <w:top w:val="none" w:sz="0" w:space="0" w:color="auto"/>
                    <w:left w:val="none" w:sz="0" w:space="0" w:color="auto"/>
                    <w:bottom w:val="none" w:sz="0" w:space="0" w:color="auto"/>
                    <w:right w:val="none" w:sz="0" w:space="0" w:color="auto"/>
                  </w:divBdr>
                </w:div>
                <w:div w:id="1815834213">
                  <w:marLeft w:val="0"/>
                  <w:marRight w:val="0"/>
                  <w:marTop w:val="0"/>
                  <w:marBottom w:val="0"/>
                  <w:divBdr>
                    <w:top w:val="none" w:sz="0" w:space="0" w:color="auto"/>
                    <w:left w:val="none" w:sz="0" w:space="0" w:color="auto"/>
                    <w:bottom w:val="none" w:sz="0" w:space="0" w:color="auto"/>
                    <w:right w:val="none" w:sz="0" w:space="0" w:color="auto"/>
                  </w:divBdr>
                </w:div>
                <w:div w:id="1193104862">
                  <w:marLeft w:val="0"/>
                  <w:marRight w:val="0"/>
                  <w:marTop w:val="0"/>
                  <w:marBottom w:val="0"/>
                  <w:divBdr>
                    <w:top w:val="none" w:sz="0" w:space="0" w:color="auto"/>
                    <w:left w:val="none" w:sz="0" w:space="0" w:color="auto"/>
                    <w:bottom w:val="none" w:sz="0" w:space="0" w:color="auto"/>
                    <w:right w:val="none" w:sz="0" w:space="0" w:color="auto"/>
                  </w:divBdr>
                </w:div>
                <w:div w:id="1313801194">
                  <w:marLeft w:val="0"/>
                  <w:marRight w:val="0"/>
                  <w:marTop w:val="0"/>
                  <w:marBottom w:val="0"/>
                  <w:divBdr>
                    <w:top w:val="none" w:sz="0" w:space="0" w:color="auto"/>
                    <w:left w:val="none" w:sz="0" w:space="0" w:color="auto"/>
                    <w:bottom w:val="none" w:sz="0" w:space="0" w:color="auto"/>
                    <w:right w:val="none" w:sz="0" w:space="0" w:color="auto"/>
                  </w:divBdr>
                </w:div>
                <w:div w:id="908418550">
                  <w:marLeft w:val="0"/>
                  <w:marRight w:val="0"/>
                  <w:marTop w:val="0"/>
                  <w:marBottom w:val="0"/>
                  <w:divBdr>
                    <w:top w:val="none" w:sz="0" w:space="0" w:color="auto"/>
                    <w:left w:val="none" w:sz="0" w:space="0" w:color="auto"/>
                    <w:bottom w:val="none" w:sz="0" w:space="0" w:color="auto"/>
                    <w:right w:val="none" w:sz="0" w:space="0" w:color="auto"/>
                  </w:divBdr>
                </w:div>
                <w:div w:id="1407996237">
                  <w:marLeft w:val="0"/>
                  <w:marRight w:val="0"/>
                  <w:marTop w:val="0"/>
                  <w:marBottom w:val="0"/>
                  <w:divBdr>
                    <w:top w:val="none" w:sz="0" w:space="0" w:color="auto"/>
                    <w:left w:val="none" w:sz="0" w:space="0" w:color="auto"/>
                    <w:bottom w:val="none" w:sz="0" w:space="0" w:color="auto"/>
                    <w:right w:val="none" w:sz="0" w:space="0" w:color="auto"/>
                  </w:divBdr>
                </w:div>
                <w:div w:id="283272168">
                  <w:marLeft w:val="0"/>
                  <w:marRight w:val="0"/>
                  <w:marTop w:val="0"/>
                  <w:marBottom w:val="0"/>
                  <w:divBdr>
                    <w:top w:val="none" w:sz="0" w:space="0" w:color="auto"/>
                    <w:left w:val="none" w:sz="0" w:space="0" w:color="auto"/>
                    <w:bottom w:val="none" w:sz="0" w:space="0" w:color="auto"/>
                    <w:right w:val="none" w:sz="0" w:space="0" w:color="auto"/>
                  </w:divBdr>
                </w:div>
                <w:div w:id="1946960491">
                  <w:marLeft w:val="0"/>
                  <w:marRight w:val="0"/>
                  <w:marTop w:val="0"/>
                  <w:marBottom w:val="0"/>
                  <w:divBdr>
                    <w:top w:val="none" w:sz="0" w:space="0" w:color="auto"/>
                    <w:left w:val="none" w:sz="0" w:space="0" w:color="auto"/>
                    <w:bottom w:val="none" w:sz="0" w:space="0" w:color="auto"/>
                    <w:right w:val="none" w:sz="0" w:space="0" w:color="auto"/>
                  </w:divBdr>
                </w:div>
                <w:div w:id="255292580">
                  <w:marLeft w:val="0"/>
                  <w:marRight w:val="0"/>
                  <w:marTop w:val="0"/>
                  <w:marBottom w:val="0"/>
                  <w:divBdr>
                    <w:top w:val="none" w:sz="0" w:space="0" w:color="auto"/>
                    <w:left w:val="none" w:sz="0" w:space="0" w:color="auto"/>
                    <w:bottom w:val="none" w:sz="0" w:space="0" w:color="auto"/>
                    <w:right w:val="none" w:sz="0" w:space="0" w:color="auto"/>
                  </w:divBdr>
                </w:div>
                <w:div w:id="1970696257">
                  <w:marLeft w:val="0"/>
                  <w:marRight w:val="0"/>
                  <w:marTop w:val="0"/>
                  <w:marBottom w:val="0"/>
                  <w:divBdr>
                    <w:top w:val="none" w:sz="0" w:space="0" w:color="auto"/>
                    <w:left w:val="none" w:sz="0" w:space="0" w:color="auto"/>
                    <w:bottom w:val="none" w:sz="0" w:space="0" w:color="auto"/>
                    <w:right w:val="none" w:sz="0" w:space="0" w:color="auto"/>
                  </w:divBdr>
                </w:div>
                <w:div w:id="617109758">
                  <w:marLeft w:val="0"/>
                  <w:marRight w:val="0"/>
                  <w:marTop w:val="0"/>
                  <w:marBottom w:val="0"/>
                  <w:divBdr>
                    <w:top w:val="none" w:sz="0" w:space="0" w:color="auto"/>
                    <w:left w:val="none" w:sz="0" w:space="0" w:color="auto"/>
                    <w:bottom w:val="none" w:sz="0" w:space="0" w:color="auto"/>
                    <w:right w:val="none" w:sz="0" w:space="0" w:color="auto"/>
                  </w:divBdr>
                </w:div>
                <w:div w:id="709451151">
                  <w:marLeft w:val="0"/>
                  <w:marRight w:val="0"/>
                  <w:marTop w:val="0"/>
                  <w:marBottom w:val="0"/>
                  <w:divBdr>
                    <w:top w:val="none" w:sz="0" w:space="0" w:color="auto"/>
                    <w:left w:val="none" w:sz="0" w:space="0" w:color="auto"/>
                    <w:bottom w:val="none" w:sz="0" w:space="0" w:color="auto"/>
                    <w:right w:val="none" w:sz="0" w:space="0" w:color="auto"/>
                  </w:divBdr>
                </w:div>
                <w:div w:id="1243684292">
                  <w:marLeft w:val="0"/>
                  <w:marRight w:val="0"/>
                  <w:marTop w:val="0"/>
                  <w:marBottom w:val="0"/>
                  <w:divBdr>
                    <w:top w:val="none" w:sz="0" w:space="0" w:color="auto"/>
                    <w:left w:val="none" w:sz="0" w:space="0" w:color="auto"/>
                    <w:bottom w:val="none" w:sz="0" w:space="0" w:color="auto"/>
                    <w:right w:val="none" w:sz="0" w:space="0" w:color="auto"/>
                  </w:divBdr>
                </w:div>
                <w:div w:id="205156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294496">
          <w:marLeft w:val="0"/>
          <w:marRight w:val="0"/>
          <w:marTop w:val="15"/>
          <w:marBottom w:val="0"/>
          <w:divBdr>
            <w:top w:val="none" w:sz="0" w:space="0" w:color="auto"/>
            <w:left w:val="none" w:sz="0" w:space="0" w:color="auto"/>
            <w:bottom w:val="none" w:sz="0" w:space="0" w:color="auto"/>
            <w:right w:val="none" w:sz="0" w:space="0" w:color="auto"/>
          </w:divBdr>
          <w:divsChild>
            <w:div w:id="1836260341">
              <w:marLeft w:val="0"/>
              <w:marRight w:val="0"/>
              <w:marTop w:val="0"/>
              <w:marBottom w:val="0"/>
              <w:divBdr>
                <w:top w:val="none" w:sz="0" w:space="0" w:color="auto"/>
                <w:left w:val="none" w:sz="0" w:space="0" w:color="auto"/>
                <w:bottom w:val="none" w:sz="0" w:space="0" w:color="auto"/>
                <w:right w:val="none" w:sz="0" w:space="0" w:color="auto"/>
              </w:divBdr>
              <w:divsChild>
                <w:div w:id="1124689945">
                  <w:marLeft w:val="0"/>
                  <w:marRight w:val="0"/>
                  <w:marTop w:val="0"/>
                  <w:marBottom w:val="0"/>
                  <w:divBdr>
                    <w:top w:val="none" w:sz="0" w:space="0" w:color="auto"/>
                    <w:left w:val="none" w:sz="0" w:space="0" w:color="auto"/>
                    <w:bottom w:val="none" w:sz="0" w:space="0" w:color="auto"/>
                    <w:right w:val="none" w:sz="0" w:space="0" w:color="auto"/>
                  </w:divBdr>
                </w:div>
                <w:div w:id="880945758">
                  <w:marLeft w:val="0"/>
                  <w:marRight w:val="0"/>
                  <w:marTop w:val="0"/>
                  <w:marBottom w:val="0"/>
                  <w:divBdr>
                    <w:top w:val="none" w:sz="0" w:space="0" w:color="auto"/>
                    <w:left w:val="none" w:sz="0" w:space="0" w:color="auto"/>
                    <w:bottom w:val="none" w:sz="0" w:space="0" w:color="auto"/>
                    <w:right w:val="none" w:sz="0" w:space="0" w:color="auto"/>
                  </w:divBdr>
                </w:div>
                <w:div w:id="1525485205">
                  <w:marLeft w:val="0"/>
                  <w:marRight w:val="0"/>
                  <w:marTop w:val="0"/>
                  <w:marBottom w:val="0"/>
                  <w:divBdr>
                    <w:top w:val="none" w:sz="0" w:space="0" w:color="auto"/>
                    <w:left w:val="none" w:sz="0" w:space="0" w:color="auto"/>
                    <w:bottom w:val="none" w:sz="0" w:space="0" w:color="auto"/>
                    <w:right w:val="none" w:sz="0" w:space="0" w:color="auto"/>
                  </w:divBdr>
                </w:div>
                <w:div w:id="44332791">
                  <w:marLeft w:val="0"/>
                  <w:marRight w:val="0"/>
                  <w:marTop w:val="0"/>
                  <w:marBottom w:val="0"/>
                  <w:divBdr>
                    <w:top w:val="none" w:sz="0" w:space="0" w:color="auto"/>
                    <w:left w:val="none" w:sz="0" w:space="0" w:color="auto"/>
                    <w:bottom w:val="none" w:sz="0" w:space="0" w:color="auto"/>
                    <w:right w:val="none" w:sz="0" w:space="0" w:color="auto"/>
                  </w:divBdr>
                </w:div>
                <w:div w:id="180749324">
                  <w:marLeft w:val="0"/>
                  <w:marRight w:val="0"/>
                  <w:marTop w:val="0"/>
                  <w:marBottom w:val="0"/>
                  <w:divBdr>
                    <w:top w:val="none" w:sz="0" w:space="0" w:color="auto"/>
                    <w:left w:val="none" w:sz="0" w:space="0" w:color="auto"/>
                    <w:bottom w:val="none" w:sz="0" w:space="0" w:color="auto"/>
                    <w:right w:val="none" w:sz="0" w:space="0" w:color="auto"/>
                  </w:divBdr>
                </w:div>
                <w:div w:id="1031494283">
                  <w:marLeft w:val="0"/>
                  <w:marRight w:val="0"/>
                  <w:marTop w:val="0"/>
                  <w:marBottom w:val="0"/>
                  <w:divBdr>
                    <w:top w:val="none" w:sz="0" w:space="0" w:color="auto"/>
                    <w:left w:val="none" w:sz="0" w:space="0" w:color="auto"/>
                    <w:bottom w:val="none" w:sz="0" w:space="0" w:color="auto"/>
                    <w:right w:val="none" w:sz="0" w:space="0" w:color="auto"/>
                  </w:divBdr>
                </w:div>
                <w:div w:id="899294076">
                  <w:marLeft w:val="0"/>
                  <w:marRight w:val="0"/>
                  <w:marTop w:val="0"/>
                  <w:marBottom w:val="0"/>
                  <w:divBdr>
                    <w:top w:val="none" w:sz="0" w:space="0" w:color="auto"/>
                    <w:left w:val="none" w:sz="0" w:space="0" w:color="auto"/>
                    <w:bottom w:val="none" w:sz="0" w:space="0" w:color="auto"/>
                    <w:right w:val="none" w:sz="0" w:space="0" w:color="auto"/>
                  </w:divBdr>
                </w:div>
                <w:div w:id="1672639807">
                  <w:marLeft w:val="0"/>
                  <w:marRight w:val="0"/>
                  <w:marTop w:val="0"/>
                  <w:marBottom w:val="0"/>
                  <w:divBdr>
                    <w:top w:val="none" w:sz="0" w:space="0" w:color="auto"/>
                    <w:left w:val="none" w:sz="0" w:space="0" w:color="auto"/>
                    <w:bottom w:val="none" w:sz="0" w:space="0" w:color="auto"/>
                    <w:right w:val="none" w:sz="0" w:space="0" w:color="auto"/>
                  </w:divBdr>
                </w:div>
                <w:div w:id="298414250">
                  <w:marLeft w:val="0"/>
                  <w:marRight w:val="0"/>
                  <w:marTop w:val="0"/>
                  <w:marBottom w:val="0"/>
                  <w:divBdr>
                    <w:top w:val="none" w:sz="0" w:space="0" w:color="auto"/>
                    <w:left w:val="none" w:sz="0" w:space="0" w:color="auto"/>
                    <w:bottom w:val="none" w:sz="0" w:space="0" w:color="auto"/>
                    <w:right w:val="none" w:sz="0" w:space="0" w:color="auto"/>
                  </w:divBdr>
                </w:div>
                <w:div w:id="1537962511">
                  <w:marLeft w:val="0"/>
                  <w:marRight w:val="0"/>
                  <w:marTop w:val="0"/>
                  <w:marBottom w:val="0"/>
                  <w:divBdr>
                    <w:top w:val="none" w:sz="0" w:space="0" w:color="auto"/>
                    <w:left w:val="none" w:sz="0" w:space="0" w:color="auto"/>
                    <w:bottom w:val="none" w:sz="0" w:space="0" w:color="auto"/>
                    <w:right w:val="none" w:sz="0" w:space="0" w:color="auto"/>
                  </w:divBdr>
                </w:div>
                <w:div w:id="1419055102">
                  <w:marLeft w:val="0"/>
                  <w:marRight w:val="0"/>
                  <w:marTop w:val="0"/>
                  <w:marBottom w:val="0"/>
                  <w:divBdr>
                    <w:top w:val="none" w:sz="0" w:space="0" w:color="auto"/>
                    <w:left w:val="none" w:sz="0" w:space="0" w:color="auto"/>
                    <w:bottom w:val="none" w:sz="0" w:space="0" w:color="auto"/>
                    <w:right w:val="none" w:sz="0" w:space="0" w:color="auto"/>
                  </w:divBdr>
                </w:div>
                <w:div w:id="52121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691276">
      <w:bodyDiv w:val="1"/>
      <w:marLeft w:val="0"/>
      <w:marRight w:val="0"/>
      <w:marTop w:val="0"/>
      <w:marBottom w:val="0"/>
      <w:divBdr>
        <w:top w:val="none" w:sz="0" w:space="0" w:color="auto"/>
        <w:left w:val="none" w:sz="0" w:space="0" w:color="auto"/>
        <w:bottom w:val="none" w:sz="0" w:space="0" w:color="auto"/>
        <w:right w:val="none" w:sz="0" w:space="0" w:color="auto"/>
      </w:divBdr>
    </w:div>
    <w:div w:id="636766741">
      <w:bodyDiv w:val="1"/>
      <w:marLeft w:val="0"/>
      <w:marRight w:val="0"/>
      <w:marTop w:val="0"/>
      <w:marBottom w:val="0"/>
      <w:divBdr>
        <w:top w:val="none" w:sz="0" w:space="0" w:color="auto"/>
        <w:left w:val="none" w:sz="0" w:space="0" w:color="auto"/>
        <w:bottom w:val="none" w:sz="0" w:space="0" w:color="auto"/>
        <w:right w:val="none" w:sz="0" w:space="0" w:color="auto"/>
      </w:divBdr>
    </w:div>
    <w:div w:id="636767428">
      <w:bodyDiv w:val="1"/>
      <w:marLeft w:val="0"/>
      <w:marRight w:val="0"/>
      <w:marTop w:val="0"/>
      <w:marBottom w:val="0"/>
      <w:divBdr>
        <w:top w:val="none" w:sz="0" w:space="0" w:color="auto"/>
        <w:left w:val="none" w:sz="0" w:space="0" w:color="auto"/>
        <w:bottom w:val="none" w:sz="0" w:space="0" w:color="auto"/>
        <w:right w:val="none" w:sz="0" w:space="0" w:color="auto"/>
      </w:divBdr>
    </w:div>
    <w:div w:id="637342647">
      <w:bodyDiv w:val="1"/>
      <w:marLeft w:val="0"/>
      <w:marRight w:val="0"/>
      <w:marTop w:val="0"/>
      <w:marBottom w:val="0"/>
      <w:divBdr>
        <w:top w:val="none" w:sz="0" w:space="0" w:color="auto"/>
        <w:left w:val="none" w:sz="0" w:space="0" w:color="auto"/>
        <w:bottom w:val="none" w:sz="0" w:space="0" w:color="auto"/>
        <w:right w:val="none" w:sz="0" w:space="0" w:color="auto"/>
      </w:divBdr>
    </w:div>
    <w:div w:id="638344506">
      <w:bodyDiv w:val="1"/>
      <w:marLeft w:val="0"/>
      <w:marRight w:val="0"/>
      <w:marTop w:val="0"/>
      <w:marBottom w:val="0"/>
      <w:divBdr>
        <w:top w:val="none" w:sz="0" w:space="0" w:color="auto"/>
        <w:left w:val="none" w:sz="0" w:space="0" w:color="auto"/>
        <w:bottom w:val="none" w:sz="0" w:space="0" w:color="auto"/>
        <w:right w:val="none" w:sz="0" w:space="0" w:color="auto"/>
      </w:divBdr>
    </w:div>
    <w:div w:id="639186996">
      <w:bodyDiv w:val="1"/>
      <w:marLeft w:val="0"/>
      <w:marRight w:val="0"/>
      <w:marTop w:val="0"/>
      <w:marBottom w:val="0"/>
      <w:divBdr>
        <w:top w:val="none" w:sz="0" w:space="0" w:color="auto"/>
        <w:left w:val="none" w:sz="0" w:space="0" w:color="auto"/>
        <w:bottom w:val="none" w:sz="0" w:space="0" w:color="auto"/>
        <w:right w:val="none" w:sz="0" w:space="0" w:color="auto"/>
      </w:divBdr>
    </w:div>
    <w:div w:id="639846648">
      <w:bodyDiv w:val="1"/>
      <w:marLeft w:val="0"/>
      <w:marRight w:val="0"/>
      <w:marTop w:val="0"/>
      <w:marBottom w:val="0"/>
      <w:divBdr>
        <w:top w:val="none" w:sz="0" w:space="0" w:color="auto"/>
        <w:left w:val="none" w:sz="0" w:space="0" w:color="auto"/>
        <w:bottom w:val="none" w:sz="0" w:space="0" w:color="auto"/>
        <w:right w:val="none" w:sz="0" w:space="0" w:color="auto"/>
      </w:divBdr>
    </w:div>
    <w:div w:id="645476864">
      <w:bodyDiv w:val="1"/>
      <w:marLeft w:val="0"/>
      <w:marRight w:val="0"/>
      <w:marTop w:val="0"/>
      <w:marBottom w:val="0"/>
      <w:divBdr>
        <w:top w:val="none" w:sz="0" w:space="0" w:color="auto"/>
        <w:left w:val="none" w:sz="0" w:space="0" w:color="auto"/>
        <w:bottom w:val="none" w:sz="0" w:space="0" w:color="auto"/>
        <w:right w:val="none" w:sz="0" w:space="0" w:color="auto"/>
      </w:divBdr>
    </w:div>
    <w:div w:id="656105821">
      <w:bodyDiv w:val="1"/>
      <w:marLeft w:val="0"/>
      <w:marRight w:val="0"/>
      <w:marTop w:val="0"/>
      <w:marBottom w:val="0"/>
      <w:divBdr>
        <w:top w:val="none" w:sz="0" w:space="0" w:color="auto"/>
        <w:left w:val="none" w:sz="0" w:space="0" w:color="auto"/>
        <w:bottom w:val="none" w:sz="0" w:space="0" w:color="auto"/>
        <w:right w:val="none" w:sz="0" w:space="0" w:color="auto"/>
      </w:divBdr>
    </w:div>
    <w:div w:id="657924783">
      <w:bodyDiv w:val="1"/>
      <w:marLeft w:val="0"/>
      <w:marRight w:val="0"/>
      <w:marTop w:val="0"/>
      <w:marBottom w:val="0"/>
      <w:divBdr>
        <w:top w:val="none" w:sz="0" w:space="0" w:color="auto"/>
        <w:left w:val="none" w:sz="0" w:space="0" w:color="auto"/>
        <w:bottom w:val="none" w:sz="0" w:space="0" w:color="auto"/>
        <w:right w:val="none" w:sz="0" w:space="0" w:color="auto"/>
      </w:divBdr>
    </w:div>
    <w:div w:id="670378811">
      <w:bodyDiv w:val="1"/>
      <w:marLeft w:val="0"/>
      <w:marRight w:val="0"/>
      <w:marTop w:val="0"/>
      <w:marBottom w:val="0"/>
      <w:divBdr>
        <w:top w:val="none" w:sz="0" w:space="0" w:color="auto"/>
        <w:left w:val="none" w:sz="0" w:space="0" w:color="auto"/>
        <w:bottom w:val="none" w:sz="0" w:space="0" w:color="auto"/>
        <w:right w:val="none" w:sz="0" w:space="0" w:color="auto"/>
      </w:divBdr>
    </w:div>
    <w:div w:id="672076785">
      <w:bodyDiv w:val="1"/>
      <w:marLeft w:val="0"/>
      <w:marRight w:val="0"/>
      <w:marTop w:val="0"/>
      <w:marBottom w:val="0"/>
      <w:divBdr>
        <w:top w:val="none" w:sz="0" w:space="0" w:color="auto"/>
        <w:left w:val="none" w:sz="0" w:space="0" w:color="auto"/>
        <w:bottom w:val="none" w:sz="0" w:space="0" w:color="auto"/>
        <w:right w:val="none" w:sz="0" w:space="0" w:color="auto"/>
      </w:divBdr>
      <w:divsChild>
        <w:div w:id="594099959">
          <w:marLeft w:val="0"/>
          <w:marRight w:val="0"/>
          <w:marTop w:val="0"/>
          <w:marBottom w:val="0"/>
          <w:divBdr>
            <w:top w:val="none" w:sz="0" w:space="0" w:color="auto"/>
            <w:left w:val="none" w:sz="0" w:space="0" w:color="auto"/>
            <w:bottom w:val="none" w:sz="0" w:space="0" w:color="auto"/>
            <w:right w:val="none" w:sz="0" w:space="0" w:color="auto"/>
          </w:divBdr>
        </w:div>
      </w:divsChild>
    </w:div>
    <w:div w:id="672991953">
      <w:bodyDiv w:val="1"/>
      <w:marLeft w:val="0"/>
      <w:marRight w:val="0"/>
      <w:marTop w:val="0"/>
      <w:marBottom w:val="0"/>
      <w:divBdr>
        <w:top w:val="none" w:sz="0" w:space="0" w:color="auto"/>
        <w:left w:val="none" w:sz="0" w:space="0" w:color="auto"/>
        <w:bottom w:val="none" w:sz="0" w:space="0" w:color="auto"/>
        <w:right w:val="none" w:sz="0" w:space="0" w:color="auto"/>
      </w:divBdr>
    </w:div>
    <w:div w:id="675885658">
      <w:bodyDiv w:val="1"/>
      <w:marLeft w:val="0"/>
      <w:marRight w:val="0"/>
      <w:marTop w:val="0"/>
      <w:marBottom w:val="0"/>
      <w:divBdr>
        <w:top w:val="none" w:sz="0" w:space="0" w:color="auto"/>
        <w:left w:val="none" w:sz="0" w:space="0" w:color="auto"/>
        <w:bottom w:val="none" w:sz="0" w:space="0" w:color="auto"/>
        <w:right w:val="none" w:sz="0" w:space="0" w:color="auto"/>
      </w:divBdr>
    </w:div>
    <w:div w:id="693309164">
      <w:bodyDiv w:val="1"/>
      <w:marLeft w:val="0"/>
      <w:marRight w:val="0"/>
      <w:marTop w:val="0"/>
      <w:marBottom w:val="0"/>
      <w:divBdr>
        <w:top w:val="none" w:sz="0" w:space="0" w:color="auto"/>
        <w:left w:val="none" w:sz="0" w:space="0" w:color="auto"/>
        <w:bottom w:val="none" w:sz="0" w:space="0" w:color="auto"/>
        <w:right w:val="none" w:sz="0" w:space="0" w:color="auto"/>
      </w:divBdr>
    </w:div>
    <w:div w:id="698703507">
      <w:bodyDiv w:val="1"/>
      <w:marLeft w:val="0"/>
      <w:marRight w:val="0"/>
      <w:marTop w:val="0"/>
      <w:marBottom w:val="0"/>
      <w:divBdr>
        <w:top w:val="none" w:sz="0" w:space="0" w:color="auto"/>
        <w:left w:val="none" w:sz="0" w:space="0" w:color="auto"/>
        <w:bottom w:val="none" w:sz="0" w:space="0" w:color="auto"/>
        <w:right w:val="none" w:sz="0" w:space="0" w:color="auto"/>
      </w:divBdr>
    </w:div>
    <w:div w:id="705715440">
      <w:bodyDiv w:val="1"/>
      <w:marLeft w:val="0"/>
      <w:marRight w:val="0"/>
      <w:marTop w:val="0"/>
      <w:marBottom w:val="0"/>
      <w:divBdr>
        <w:top w:val="none" w:sz="0" w:space="0" w:color="auto"/>
        <w:left w:val="none" w:sz="0" w:space="0" w:color="auto"/>
        <w:bottom w:val="none" w:sz="0" w:space="0" w:color="auto"/>
        <w:right w:val="none" w:sz="0" w:space="0" w:color="auto"/>
      </w:divBdr>
    </w:div>
    <w:div w:id="706030905">
      <w:bodyDiv w:val="1"/>
      <w:marLeft w:val="0"/>
      <w:marRight w:val="0"/>
      <w:marTop w:val="0"/>
      <w:marBottom w:val="0"/>
      <w:divBdr>
        <w:top w:val="none" w:sz="0" w:space="0" w:color="auto"/>
        <w:left w:val="none" w:sz="0" w:space="0" w:color="auto"/>
        <w:bottom w:val="none" w:sz="0" w:space="0" w:color="auto"/>
        <w:right w:val="none" w:sz="0" w:space="0" w:color="auto"/>
      </w:divBdr>
    </w:div>
    <w:div w:id="707218121">
      <w:bodyDiv w:val="1"/>
      <w:marLeft w:val="0"/>
      <w:marRight w:val="0"/>
      <w:marTop w:val="0"/>
      <w:marBottom w:val="0"/>
      <w:divBdr>
        <w:top w:val="none" w:sz="0" w:space="0" w:color="auto"/>
        <w:left w:val="none" w:sz="0" w:space="0" w:color="auto"/>
        <w:bottom w:val="none" w:sz="0" w:space="0" w:color="auto"/>
        <w:right w:val="none" w:sz="0" w:space="0" w:color="auto"/>
      </w:divBdr>
    </w:div>
    <w:div w:id="707488756">
      <w:bodyDiv w:val="1"/>
      <w:marLeft w:val="0"/>
      <w:marRight w:val="0"/>
      <w:marTop w:val="0"/>
      <w:marBottom w:val="0"/>
      <w:divBdr>
        <w:top w:val="none" w:sz="0" w:space="0" w:color="auto"/>
        <w:left w:val="none" w:sz="0" w:space="0" w:color="auto"/>
        <w:bottom w:val="none" w:sz="0" w:space="0" w:color="auto"/>
        <w:right w:val="none" w:sz="0" w:space="0" w:color="auto"/>
      </w:divBdr>
    </w:div>
    <w:div w:id="711727717">
      <w:bodyDiv w:val="1"/>
      <w:marLeft w:val="0"/>
      <w:marRight w:val="0"/>
      <w:marTop w:val="0"/>
      <w:marBottom w:val="0"/>
      <w:divBdr>
        <w:top w:val="none" w:sz="0" w:space="0" w:color="auto"/>
        <w:left w:val="none" w:sz="0" w:space="0" w:color="auto"/>
        <w:bottom w:val="none" w:sz="0" w:space="0" w:color="auto"/>
        <w:right w:val="none" w:sz="0" w:space="0" w:color="auto"/>
      </w:divBdr>
    </w:div>
    <w:div w:id="717624940">
      <w:bodyDiv w:val="1"/>
      <w:marLeft w:val="0"/>
      <w:marRight w:val="0"/>
      <w:marTop w:val="0"/>
      <w:marBottom w:val="0"/>
      <w:divBdr>
        <w:top w:val="none" w:sz="0" w:space="0" w:color="auto"/>
        <w:left w:val="none" w:sz="0" w:space="0" w:color="auto"/>
        <w:bottom w:val="none" w:sz="0" w:space="0" w:color="auto"/>
        <w:right w:val="none" w:sz="0" w:space="0" w:color="auto"/>
      </w:divBdr>
    </w:div>
    <w:div w:id="719522346">
      <w:bodyDiv w:val="1"/>
      <w:marLeft w:val="0"/>
      <w:marRight w:val="0"/>
      <w:marTop w:val="0"/>
      <w:marBottom w:val="0"/>
      <w:divBdr>
        <w:top w:val="none" w:sz="0" w:space="0" w:color="auto"/>
        <w:left w:val="none" w:sz="0" w:space="0" w:color="auto"/>
        <w:bottom w:val="none" w:sz="0" w:space="0" w:color="auto"/>
        <w:right w:val="none" w:sz="0" w:space="0" w:color="auto"/>
      </w:divBdr>
    </w:div>
    <w:div w:id="729424043">
      <w:bodyDiv w:val="1"/>
      <w:marLeft w:val="0"/>
      <w:marRight w:val="0"/>
      <w:marTop w:val="0"/>
      <w:marBottom w:val="0"/>
      <w:divBdr>
        <w:top w:val="none" w:sz="0" w:space="0" w:color="auto"/>
        <w:left w:val="none" w:sz="0" w:space="0" w:color="auto"/>
        <w:bottom w:val="none" w:sz="0" w:space="0" w:color="auto"/>
        <w:right w:val="none" w:sz="0" w:space="0" w:color="auto"/>
      </w:divBdr>
      <w:divsChild>
        <w:div w:id="1996638096">
          <w:marLeft w:val="0"/>
          <w:marRight w:val="0"/>
          <w:marTop w:val="0"/>
          <w:marBottom w:val="0"/>
          <w:divBdr>
            <w:top w:val="none" w:sz="0" w:space="0" w:color="auto"/>
            <w:left w:val="none" w:sz="0" w:space="0" w:color="auto"/>
            <w:bottom w:val="none" w:sz="0" w:space="0" w:color="auto"/>
            <w:right w:val="none" w:sz="0" w:space="0" w:color="auto"/>
          </w:divBdr>
        </w:div>
        <w:div w:id="2066637731">
          <w:marLeft w:val="0"/>
          <w:marRight w:val="0"/>
          <w:marTop w:val="0"/>
          <w:marBottom w:val="0"/>
          <w:divBdr>
            <w:top w:val="none" w:sz="0" w:space="0" w:color="auto"/>
            <w:left w:val="none" w:sz="0" w:space="0" w:color="auto"/>
            <w:bottom w:val="none" w:sz="0" w:space="0" w:color="auto"/>
            <w:right w:val="none" w:sz="0" w:space="0" w:color="auto"/>
          </w:divBdr>
        </w:div>
        <w:div w:id="310058828">
          <w:marLeft w:val="0"/>
          <w:marRight w:val="0"/>
          <w:marTop w:val="0"/>
          <w:marBottom w:val="0"/>
          <w:divBdr>
            <w:top w:val="none" w:sz="0" w:space="0" w:color="auto"/>
            <w:left w:val="none" w:sz="0" w:space="0" w:color="auto"/>
            <w:bottom w:val="none" w:sz="0" w:space="0" w:color="auto"/>
            <w:right w:val="none" w:sz="0" w:space="0" w:color="auto"/>
          </w:divBdr>
        </w:div>
      </w:divsChild>
    </w:div>
    <w:div w:id="729688684">
      <w:bodyDiv w:val="1"/>
      <w:marLeft w:val="0"/>
      <w:marRight w:val="0"/>
      <w:marTop w:val="0"/>
      <w:marBottom w:val="0"/>
      <w:divBdr>
        <w:top w:val="none" w:sz="0" w:space="0" w:color="auto"/>
        <w:left w:val="none" w:sz="0" w:space="0" w:color="auto"/>
        <w:bottom w:val="none" w:sz="0" w:space="0" w:color="auto"/>
        <w:right w:val="none" w:sz="0" w:space="0" w:color="auto"/>
      </w:divBdr>
    </w:div>
    <w:div w:id="730620667">
      <w:bodyDiv w:val="1"/>
      <w:marLeft w:val="0"/>
      <w:marRight w:val="0"/>
      <w:marTop w:val="0"/>
      <w:marBottom w:val="0"/>
      <w:divBdr>
        <w:top w:val="none" w:sz="0" w:space="0" w:color="auto"/>
        <w:left w:val="none" w:sz="0" w:space="0" w:color="auto"/>
        <w:bottom w:val="none" w:sz="0" w:space="0" w:color="auto"/>
        <w:right w:val="none" w:sz="0" w:space="0" w:color="auto"/>
      </w:divBdr>
    </w:div>
    <w:div w:id="732658129">
      <w:bodyDiv w:val="1"/>
      <w:marLeft w:val="0"/>
      <w:marRight w:val="0"/>
      <w:marTop w:val="0"/>
      <w:marBottom w:val="0"/>
      <w:divBdr>
        <w:top w:val="none" w:sz="0" w:space="0" w:color="auto"/>
        <w:left w:val="none" w:sz="0" w:space="0" w:color="auto"/>
        <w:bottom w:val="none" w:sz="0" w:space="0" w:color="auto"/>
        <w:right w:val="none" w:sz="0" w:space="0" w:color="auto"/>
      </w:divBdr>
    </w:div>
    <w:div w:id="733162527">
      <w:bodyDiv w:val="1"/>
      <w:marLeft w:val="0"/>
      <w:marRight w:val="0"/>
      <w:marTop w:val="0"/>
      <w:marBottom w:val="0"/>
      <w:divBdr>
        <w:top w:val="none" w:sz="0" w:space="0" w:color="auto"/>
        <w:left w:val="none" w:sz="0" w:space="0" w:color="auto"/>
        <w:bottom w:val="none" w:sz="0" w:space="0" w:color="auto"/>
        <w:right w:val="none" w:sz="0" w:space="0" w:color="auto"/>
      </w:divBdr>
    </w:div>
    <w:div w:id="733239911">
      <w:bodyDiv w:val="1"/>
      <w:marLeft w:val="0"/>
      <w:marRight w:val="0"/>
      <w:marTop w:val="0"/>
      <w:marBottom w:val="0"/>
      <w:divBdr>
        <w:top w:val="none" w:sz="0" w:space="0" w:color="auto"/>
        <w:left w:val="none" w:sz="0" w:space="0" w:color="auto"/>
        <w:bottom w:val="none" w:sz="0" w:space="0" w:color="auto"/>
        <w:right w:val="none" w:sz="0" w:space="0" w:color="auto"/>
      </w:divBdr>
    </w:div>
    <w:div w:id="736365381">
      <w:bodyDiv w:val="1"/>
      <w:marLeft w:val="0"/>
      <w:marRight w:val="0"/>
      <w:marTop w:val="0"/>
      <w:marBottom w:val="0"/>
      <w:divBdr>
        <w:top w:val="none" w:sz="0" w:space="0" w:color="auto"/>
        <w:left w:val="none" w:sz="0" w:space="0" w:color="auto"/>
        <w:bottom w:val="none" w:sz="0" w:space="0" w:color="auto"/>
        <w:right w:val="none" w:sz="0" w:space="0" w:color="auto"/>
      </w:divBdr>
    </w:div>
    <w:div w:id="737441343">
      <w:bodyDiv w:val="1"/>
      <w:marLeft w:val="0"/>
      <w:marRight w:val="0"/>
      <w:marTop w:val="0"/>
      <w:marBottom w:val="0"/>
      <w:divBdr>
        <w:top w:val="none" w:sz="0" w:space="0" w:color="auto"/>
        <w:left w:val="none" w:sz="0" w:space="0" w:color="auto"/>
        <w:bottom w:val="none" w:sz="0" w:space="0" w:color="auto"/>
        <w:right w:val="none" w:sz="0" w:space="0" w:color="auto"/>
      </w:divBdr>
    </w:div>
    <w:div w:id="737554764">
      <w:bodyDiv w:val="1"/>
      <w:marLeft w:val="0"/>
      <w:marRight w:val="0"/>
      <w:marTop w:val="0"/>
      <w:marBottom w:val="0"/>
      <w:divBdr>
        <w:top w:val="none" w:sz="0" w:space="0" w:color="auto"/>
        <w:left w:val="none" w:sz="0" w:space="0" w:color="auto"/>
        <w:bottom w:val="none" w:sz="0" w:space="0" w:color="auto"/>
        <w:right w:val="none" w:sz="0" w:space="0" w:color="auto"/>
      </w:divBdr>
    </w:div>
    <w:div w:id="738556995">
      <w:bodyDiv w:val="1"/>
      <w:marLeft w:val="0"/>
      <w:marRight w:val="0"/>
      <w:marTop w:val="0"/>
      <w:marBottom w:val="0"/>
      <w:divBdr>
        <w:top w:val="none" w:sz="0" w:space="0" w:color="auto"/>
        <w:left w:val="none" w:sz="0" w:space="0" w:color="auto"/>
        <w:bottom w:val="none" w:sz="0" w:space="0" w:color="auto"/>
        <w:right w:val="none" w:sz="0" w:space="0" w:color="auto"/>
      </w:divBdr>
    </w:div>
    <w:div w:id="746265062">
      <w:bodyDiv w:val="1"/>
      <w:marLeft w:val="0"/>
      <w:marRight w:val="0"/>
      <w:marTop w:val="0"/>
      <w:marBottom w:val="0"/>
      <w:divBdr>
        <w:top w:val="none" w:sz="0" w:space="0" w:color="auto"/>
        <w:left w:val="none" w:sz="0" w:space="0" w:color="auto"/>
        <w:bottom w:val="none" w:sz="0" w:space="0" w:color="auto"/>
        <w:right w:val="none" w:sz="0" w:space="0" w:color="auto"/>
      </w:divBdr>
    </w:div>
    <w:div w:id="747504907">
      <w:bodyDiv w:val="1"/>
      <w:marLeft w:val="0"/>
      <w:marRight w:val="0"/>
      <w:marTop w:val="0"/>
      <w:marBottom w:val="0"/>
      <w:divBdr>
        <w:top w:val="none" w:sz="0" w:space="0" w:color="auto"/>
        <w:left w:val="none" w:sz="0" w:space="0" w:color="auto"/>
        <w:bottom w:val="none" w:sz="0" w:space="0" w:color="auto"/>
        <w:right w:val="none" w:sz="0" w:space="0" w:color="auto"/>
      </w:divBdr>
    </w:div>
    <w:div w:id="752358844">
      <w:bodyDiv w:val="1"/>
      <w:marLeft w:val="0"/>
      <w:marRight w:val="0"/>
      <w:marTop w:val="0"/>
      <w:marBottom w:val="0"/>
      <w:divBdr>
        <w:top w:val="none" w:sz="0" w:space="0" w:color="auto"/>
        <w:left w:val="none" w:sz="0" w:space="0" w:color="auto"/>
        <w:bottom w:val="none" w:sz="0" w:space="0" w:color="auto"/>
        <w:right w:val="none" w:sz="0" w:space="0" w:color="auto"/>
      </w:divBdr>
    </w:div>
    <w:div w:id="755201700">
      <w:bodyDiv w:val="1"/>
      <w:marLeft w:val="0"/>
      <w:marRight w:val="0"/>
      <w:marTop w:val="0"/>
      <w:marBottom w:val="0"/>
      <w:divBdr>
        <w:top w:val="none" w:sz="0" w:space="0" w:color="auto"/>
        <w:left w:val="none" w:sz="0" w:space="0" w:color="auto"/>
        <w:bottom w:val="none" w:sz="0" w:space="0" w:color="auto"/>
        <w:right w:val="none" w:sz="0" w:space="0" w:color="auto"/>
      </w:divBdr>
      <w:divsChild>
        <w:div w:id="73279242">
          <w:marLeft w:val="0"/>
          <w:marRight w:val="0"/>
          <w:marTop w:val="0"/>
          <w:marBottom w:val="0"/>
          <w:divBdr>
            <w:top w:val="none" w:sz="0" w:space="0" w:color="auto"/>
            <w:left w:val="none" w:sz="0" w:space="0" w:color="auto"/>
            <w:bottom w:val="none" w:sz="0" w:space="0" w:color="auto"/>
            <w:right w:val="none" w:sz="0" w:space="0" w:color="auto"/>
          </w:divBdr>
        </w:div>
      </w:divsChild>
    </w:div>
    <w:div w:id="756708376">
      <w:bodyDiv w:val="1"/>
      <w:marLeft w:val="0"/>
      <w:marRight w:val="0"/>
      <w:marTop w:val="0"/>
      <w:marBottom w:val="0"/>
      <w:divBdr>
        <w:top w:val="none" w:sz="0" w:space="0" w:color="auto"/>
        <w:left w:val="none" w:sz="0" w:space="0" w:color="auto"/>
        <w:bottom w:val="none" w:sz="0" w:space="0" w:color="auto"/>
        <w:right w:val="none" w:sz="0" w:space="0" w:color="auto"/>
      </w:divBdr>
    </w:div>
    <w:div w:id="759911396">
      <w:bodyDiv w:val="1"/>
      <w:marLeft w:val="0"/>
      <w:marRight w:val="0"/>
      <w:marTop w:val="0"/>
      <w:marBottom w:val="0"/>
      <w:divBdr>
        <w:top w:val="none" w:sz="0" w:space="0" w:color="auto"/>
        <w:left w:val="none" w:sz="0" w:space="0" w:color="auto"/>
        <w:bottom w:val="none" w:sz="0" w:space="0" w:color="auto"/>
        <w:right w:val="none" w:sz="0" w:space="0" w:color="auto"/>
      </w:divBdr>
    </w:div>
    <w:div w:id="761607278">
      <w:bodyDiv w:val="1"/>
      <w:marLeft w:val="0"/>
      <w:marRight w:val="0"/>
      <w:marTop w:val="0"/>
      <w:marBottom w:val="0"/>
      <w:divBdr>
        <w:top w:val="none" w:sz="0" w:space="0" w:color="auto"/>
        <w:left w:val="none" w:sz="0" w:space="0" w:color="auto"/>
        <w:bottom w:val="none" w:sz="0" w:space="0" w:color="auto"/>
        <w:right w:val="none" w:sz="0" w:space="0" w:color="auto"/>
      </w:divBdr>
    </w:div>
    <w:div w:id="763455518">
      <w:bodyDiv w:val="1"/>
      <w:marLeft w:val="0"/>
      <w:marRight w:val="0"/>
      <w:marTop w:val="0"/>
      <w:marBottom w:val="0"/>
      <w:divBdr>
        <w:top w:val="none" w:sz="0" w:space="0" w:color="auto"/>
        <w:left w:val="none" w:sz="0" w:space="0" w:color="auto"/>
        <w:bottom w:val="none" w:sz="0" w:space="0" w:color="auto"/>
        <w:right w:val="none" w:sz="0" w:space="0" w:color="auto"/>
      </w:divBdr>
    </w:div>
    <w:div w:id="764111307">
      <w:bodyDiv w:val="1"/>
      <w:marLeft w:val="0"/>
      <w:marRight w:val="0"/>
      <w:marTop w:val="0"/>
      <w:marBottom w:val="0"/>
      <w:divBdr>
        <w:top w:val="none" w:sz="0" w:space="0" w:color="auto"/>
        <w:left w:val="none" w:sz="0" w:space="0" w:color="auto"/>
        <w:bottom w:val="none" w:sz="0" w:space="0" w:color="auto"/>
        <w:right w:val="none" w:sz="0" w:space="0" w:color="auto"/>
      </w:divBdr>
    </w:div>
    <w:div w:id="766848185">
      <w:bodyDiv w:val="1"/>
      <w:marLeft w:val="0"/>
      <w:marRight w:val="0"/>
      <w:marTop w:val="0"/>
      <w:marBottom w:val="0"/>
      <w:divBdr>
        <w:top w:val="none" w:sz="0" w:space="0" w:color="auto"/>
        <w:left w:val="none" w:sz="0" w:space="0" w:color="auto"/>
        <w:bottom w:val="none" w:sz="0" w:space="0" w:color="auto"/>
        <w:right w:val="none" w:sz="0" w:space="0" w:color="auto"/>
      </w:divBdr>
    </w:div>
    <w:div w:id="768501537">
      <w:bodyDiv w:val="1"/>
      <w:marLeft w:val="0"/>
      <w:marRight w:val="0"/>
      <w:marTop w:val="0"/>
      <w:marBottom w:val="0"/>
      <w:divBdr>
        <w:top w:val="none" w:sz="0" w:space="0" w:color="auto"/>
        <w:left w:val="none" w:sz="0" w:space="0" w:color="auto"/>
        <w:bottom w:val="none" w:sz="0" w:space="0" w:color="auto"/>
        <w:right w:val="none" w:sz="0" w:space="0" w:color="auto"/>
      </w:divBdr>
    </w:div>
    <w:div w:id="780996693">
      <w:bodyDiv w:val="1"/>
      <w:marLeft w:val="0"/>
      <w:marRight w:val="0"/>
      <w:marTop w:val="0"/>
      <w:marBottom w:val="0"/>
      <w:divBdr>
        <w:top w:val="none" w:sz="0" w:space="0" w:color="auto"/>
        <w:left w:val="none" w:sz="0" w:space="0" w:color="auto"/>
        <w:bottom w:val="none" w:sz="0" w:space="0" w:color="auto"/>
        <w:right w:val="none" w:sz="0" w:space="0" w:color="auto"/>
      </w:divBdr>
    </w:div>
    <w:div w:id="782191530">
      <w:bodyDiv w:val="1"/>
      <w:marLeft w:val="0"/>
      <w:marRight w:val="0"/>
      <w:marTop w:val="0"/>
      <w:marBottom w:val="0"/>
      <w:divBdr>
        <w:top w:val="none" w:sz="0" w:space="0" w:color="auto"/>
        <w:left w:val="none" w:sz="0" w:space="0" w:color="auto"/>
        <w:bottom w:val="none" w:sz="0" w:space="0" w:color="auto"/>
        <w:right w:val="none" w:sz="0" w:space="0" w:color="auto"/>
      </w:divBdr>
    </w:div>
    <w:div w:id="789010899">
      <w:bodyDiv w:val="1"/>
      <w:marLeft w:val="0"/>
      <w:marRight w:val="0"/>
      <w:marTop w:val="0"/>
      <w:marBottom w:val="0"/>
      <w:divBdr>
        <w:top w:val="none" w:sz="0" w:space="0" w:color="auto"/>
        <w:left w:val="none" w:sz="0" w:space="0" w:color="auto"/>
        <w:bottom w:val="none" w:sz="0" w:space="0" w:color="auto"/>
        <w:right w:val="none" w:sz="0" w:space="0" w:color="auto"/>
      </w:divBdr>
    </w:div>
    <w:div w:id="790591915">
      <w:bodyDiv w:val="1"/>
      <w:marLeft w:val="0"/>
      <w:marRight w:val="0"/>
      <w:marTop w:val="0"/>
      <w:marBottom w:val="0"/>
      <w:divBdr>
        <w:top w:val="none" w:sz="0" w:space="0" w:color="auto"/>
        <w:left w:val="none" w:sz="0" w:space="0" w:color="auto"/>
        <w:bottom w:val="none" w:sz="0" w:space="0" w:color="auto"/>
        <w:right w:val="none" w:sz="0" w:space="0" w:color="auto"/>
      </w:divBdr>
    </w:div>
    <w:div w:id="790780375">
      <w:bodyDiv w:val="1"/>
      <w:marLeft w:val="0"/>
      <w:marRight w:val="0"/>
      <w:marTop w:val="0"/>
      <w:marBottom w:val="0"/>
      <w:divBdr>
        <w:top w:val="none" w:sz="0" w:space="0" w:color="auto"/>
        <w:left w:val="none" w:sz="0" w:space="0" w:color="auto"/>
        <w:bottom w:val="none" w:sz="0" w:space="0" w:color="auto"/>
        <w:right w:val="none" w:sz="0" w:space="0" w:color="auto"/>
      </w:divBdr>
    </w:div>
    <w:div w:id="791435958">
      <w:bodyDiv w:val="1"/>
      <w:marLeft w:val="0"/>
      <w:marRight w:val="0"/>
      <w:marTop w:val="0"/>
      <w:marBottom w:val="0"/>
      <w:divBdr>
        <w:top w:val="none" w:sz="0" w:space="0" w:color="auto"/>
        <w:left w:val="none" w:sz="0" w:space="0" w:color="auto"/>
        <w:bottom w:val="none" w:sz="0" w:space="0" w:color="auto"/>
        <w:right w:val="none" w:sz="0" w:space="0" w:color="auto"/>
      </w:divBdr>
    </w:div>
    <w:div w:id="791435976">
      <w:bodyDiv w:val="1"/>
      <w:marLeft w:val="0"/>
      <w:marRight w:val="0"/>
      <w:marTop w:val="0"/>
      <w:marBottom w:val="0"/>
      <w:divBdr>
        <w:top w:val="none" w:sz="0" w:space="0" w:color="auto"/>
        <w:left w:val="none" w:sz="0" w:space="0" w:color="auto"/>
        <w:bottom w:val="none" w:sz="0" w:space="0" w:color="auto"/>
        <w:right w:val="none" w:sz="0" w:space="0" w:color="auto"/>
      </w:divBdr>
    </w:div>
    <w:div w:id="792988688">
      <w:bodyDiv w:val="1"/>
      <w:marLeft w:val="0"/>
      <w:marRight w:val="0"/>
      <w:marTop w:val="0"/>
      <w:marBottom w:val="0"/>
      <w:divBdr>
        <w:top w:val="none" w:sz="0" w:space="0" w:color="auto"/>
        <w:left w:val="none" w:sz="0" w:space="0" w:color="auto"/>
        <w:bottom w:val="none" w:sz="0" w:space="0" w:color="auto"/>
        <w:right w:val="none" w:sz="0" w:space="0" w:color="auto"/>
      </w:divBdr>
    </w:div>
    <w:div w:id="795413011">
      <w:bodyDiv w:val="1"/>
      <w:marLeft w:val="0"/>
      <w:marRight w:val="0"/>
      <w:marTop w:val="0"/>
      <w:marBottom w:val="0"/>
      <w:divBdr>
        <w:top w:val="none" w:sz="0" w:space="0" w:color="auto"/>
        <w:left w:val="none" w:sz="0" w:space="0" w:color="auto"/>
        <w:bottom w:val="none" w:sz="0" w:space="0" w:color="auto"/>
        <w:right w:val="none" w:sz="0" w:space="0" w:color="auto"/>
      </w:divBdr>
    </w:div>
    <w:div w:id="801002958">
      <w:bodyDiv w:val="1"/>
      <w:marLeft w:val="0"/>
      <w:marRight w:val="0"/>
      <w:marTop w:val="0"/>
      <w:marBottom w:val="0"/>
      <w:divBdr>
        <w:top w:val="none" w:sz="0" w:space="0" w:color="auto"/>
        <w:left w:val="none" w:sz="0" w:space="0" w:color="auto"/>
        <w:bottom w:val="none" w:sz="0" w:space="0" w:color="auto"/>
        <w:right w:val="none" w:sz="0" w:space="0" w:color="auto"/>
      </w:divBdr>
    </w:div>
    <w:div w:id="801114603">
      <w:bodyDiv w:val="1"/>
      <w:marLeft w:val="0"/>
      <w:marRight w:val="0"/>
      <w:marTop w:val="0"/>
      <w:marBottom w:val="0"/>
      <w:divBdr>
        <w:top w:val="none" w:sz="0" w:space="0" w:color="auto"/>
        <w:left w:val="none" w:sz="0" w:space="0" w:color="auto"/>
        <w:bottom w:val="none" w:sz="0" w:space="0" w:color="auto"/>
        <w:right w:val="none" w:sz="0" w:space="0" w:color="auto"/>
      </w:divBdr>
    </w:div>
    <w:div w:id="801456987">
      <w:bodyDiv w:val="1"/>
      <w:marLeft w:val="0"/>
      <w:marRight w:val="0"/>
      <w:marTop w:val="0"/>
      <w:marBottom w:val="0"/>
      <w:divBdr>
        <w:top w:val="none" w:sz="0" w:space="0" w:color="auto"/>
        <w:left w:val="none" w:sz="0" w:space="0" w:color="auto"/>
        <w:bottom w:val="none" w:sz="0" w:space="0" w:color="auto"/>
        <w:right w:val="none" w:sz="0" w:space="0" w:color="auto"/>
      </w:divBdr>
    </w:div>
    <w:div w:id="803086136">
      <w:bodyDiv w:val="1"/>
      <w:marLeft w:val="0"/>
      <w:marRight w:val="0"/>
      <w:marTop w:val="0"/>
      <w:marBottom w:val="0"/>
      <w:divBdr>
        <w:top w:val="none" w:sz="0" w:space="0" w:color="auto"/>
        <w:left w:val="none" w:sz="0" w:space="0" w:color="auto"/>
        <w:bottom w:val="none" w:sz="0" w:space="0" w:color="auto"/>
        <w:right w:val="none" w:sz="0" w:space="0" w:color="auto"/>
      </w:divBdr>
    </w:div>
    <w:div w:id="803543195">
      <w:bodyDiv w:val="1"/>
      <w:marLeft w:val="0"/>
      <w:marRight w:val="0"/>
      <w:marTop w:val="0"/>
      <w:marBottom w:val="0"/>
      <w:divBdr>
        <w:top w:val="none" w:sz="0" w:space="0" w:color="auto"/>
        <w:left w:val="none" w:sz="0" w:space="0" w:color="auto"/>
        <w:bottom w:val="none" w:sz="0" w:space="0" w:color="auto"/>
        <w:right w:val="none" w:sz="0" w:space="0" w:color="auto"/>
      </w:divBdr>
    </w:div>
    <w:div w:id="809638191">
      <w:bodyDiv w:val="1"/>
      <w:marLeft w:val="0"/>
      <w:marRight w:val="0"/>
      <w:marTop w:val="0"/>
      <w:marBottom w:val="0"/>
      <w:divBdr>
        <w:top w:val="none" w:sz="0" w:space="0" w:color="auto"/>
        <w:left w:val="none" w:sz="0" w:space="0" w:color="auto"/>
        <w:bottom w:val="none" w:sz="0" w:space="0" w:color="auto"/>
        <w:right w:val="none" w:sz="0" w:space="0" w:color="auto"/>
      </w:divBdr>
    </w:div>
    <w:div w:id="813722350">
      <w:bodyDiv w:val="1"/>
      <w:marLeft w:val="0"/>
      <w:marRight w:val="0"/>
      <w:marTop w:val="0"/>
      <w:marBottom w:val="0"/>
      <w:divBdr>
        <w:top w:val="none" w:sz="0" w:space="0" w:color="auto"/>
        <w:left w:val="none" w:sz="0" w:space="0" w:color="auto"/>
        <w:bottom w:val="none" w:sz="0" w:space="0" w:color="auto"/>
        <w:right w:val="none" w:sz="0" w:space="0" w:color="auto"/>
      </w:divBdr>
    </w:div>
    <w:div w:id="814370379">
      <w:bodyDiv w:val="1"/>
      <w:marLeft w:val="0"/>
      <w:marRight w:val="0"/>
      <w:marTop w:val="0"/>
      <w:marBottom w:val="0"/>
      <w:divBdr>
        <w:top w:val="none" w:sz="0" w:space="0" w:color="auto"/>
        <w:left w:val="none" w:sz="0" w:space="0" w:color="auto"/>
        <w:bottom w:val="none" w:sz="0" w:space="0" w:color="auto"/>
        <w:right w:val="none" w:sz="0" w:space="0" w:color="auto"/>
      </w:divBdr>
    </w:div>
    <w:div w:id="815806195">
      <w:bodyDiv w:val="1"/>
      <w:marLeft w:val="0"/>
      <w:marRight w:val="0"/>
      <w:marTop w:val="0"/>
      <w:marBottom w:val="0"/>
      <w:divBdr>
        <w:top w:val="none" w:sz="0" w:space="0" w:color="auto"/>
        <w:left w:val="none" w:sz="0" w:space="0" w:color="auto"/>
        <w:bottom w:val="none" w:sz="0" w:space="0" w:color="auto"/>
        <w:right w:val="none" w:sz="0" w:space="0" w:color="auto"/>
      </w:divBdr>
    </w:div>
    <w:div w:id="816848515">
      <w:bodyDiv w:val="1"/>
      <w:marLeft w:val="0"/>
      <w:marRight w:val="0"/>
      <w:marTop w:val="0"/>
      <w:marBottom w:val="0"/>
      <w:divBdr>
        <w:top w:val="none" w:sz="0" w:space="0" w:color="auto"/>
        <w:left w:val="none" w:sz="0" w:space="0" w:color="auto"/>
        <w:bottom w:val="none" w:sz="0" w:space="0" w:color="auto"/>
        <w:right w:val="none" w:sz="0" w:space="0" w:color="auto"/>
      </w:divBdr>
    </w:div>
    <w:div w:id="827670792">
      <w:bodyDiv w:val="1"/>
      <w:marLeft w:val="0"/>
      <w:marRight w:val="0"/>
      <w:marTop w:val="0"/>
      <w:marBottom w:val="0"/>
      <w:divBdr>
        <w:top w:val="none" w:sz="0" w:space="0" w:color="auto"/>
        <w:left w:val="none" w:sz="0" w:space="0" w:color="auto"/>
        <w:bottom w:val="none" w:sz="0" w:space="0" w:color="auto"/>
        <w:right w:val="none" w:sz="0" w:space="0" w:color="auto"/>
      </w:divBdr>
    </w:div>
    <w:div w:id="837233438">
      <w:bodyDiv w:val="1"/>
      <w:marLeft w:val="0"/>
      <w:marRight w:val="0"/>
      <w:marTop w:val="0"/>
      <w:marBottom w:val="0"/>
      <w:divBdr>
        <w:top w:val="none" w:sz="0" w:space="0" w:color="auto"/>
        <w:left w:val="none" w:sz="0" w:space="0" w:color="auto"/>
        <w:bottom w:val="none" w:sz="0" w:space="0" w:color="auto"/>
        <w:right w:val="none" w:sz="0" w:space="0" w:color="auto"/>
      </w:divBdr>
    </w:div>
    <w:div w:id="843132209">
      <w:bodyDiv w:val="1"/>
      <w:marLeft w:val="0"/>
      <w:marRight w:val="0"/>
      <w:marTop w:val="0"/>
      <w:marBottom w:val="0"/>
      <w:divBdr>
        <w:top w:val="none" w:sz="0" w:space="0" w:color="auto"/>
        <w:left w:val="none" w:sz="0" w:space="0" w:color="auto"/>
        <w:bottom w:val="none" w:sz="0" w:space="0" w:color="auto"/>
        <w:right w:val="none" w:sz="0" w:space="0" w:color="auto"/>
      </w:divBdr>
    </w:div>
    <w:div w:id="843742371">
      <w:bodyDiv w:val="1"/>
      <w:marLeft w:val="0"/>
      <w:marRight w:val="0"/>
      <w:marTop w:val="0"/>
      <w:marBottom w:val="0"/>
      <w:divBdr>
        <w:top w:val="none" w:sz="0" w:space="0" w:color="auto"/>
        <w:left w:val="none" w:sz="0" w:space="0" w:color="auto"/>
        <w:bottom w:val="none" w:sz="0" w:space="0" w:color="auto"/>
        <w:right w:val="none" w:sz="0" w:space="0" w:color="auto"/>
      </w:divBdr>
    </w:div>
    <w:div w:id="851455864">
      <w:bodyDiv w:val="1"/>
      <w:marLeft w:val="0"/>
      <w:marRight w:val="0"/>
      <w:marTop w:val="0"/>
      <w:marBottom w:val="0"/>
      <w:divBdr>
        <w:top w:val="none" w:sz="0" w:space="0" w:color="auto"/>
        <w:left w:val="none" w:sz="0" w:space="0" w:color="auto"/>
        <w:bottom w:val="none" w:sz="0" w:space="0" w:color="auto"/>
        <w:right w:val="none" w:sz="0" w:space="0" w:color="auto"/>
      </w:divBdr>
    </w:div>
    <w:div w:id="851797191">
      <w:bodyDiv w:val="1"/>
      <w:marLeft w:val="0"/>
      <w:marRight w:val="0"/>
      <w:marTop w:val="0"/>
      <w:marBottom w:val="0"/>
      <w:divBdr>
        <w:top w:val="none" w:sz="0" w:space="0" w:color="auto"/>
        <w:left w:val="none" w:sz="0" w:space="0" w:color="auto"/>
        <w:bottom w:val="none" w:sz="0" w:space="0" w:color="auto"/>
        <w:right w:val="none" w:sz="0" w:space="0" w:color="auto"/>
      </w:divBdr>
    </w:div>
    <w:div w:id="860169670">
      <w:bodyDiv w:val="1"/>
      <w:marLeft w:val="0"/>
      <w:marRight w:val="0"/>
      <w:marTop w:val="0"/>
      <w:marBottom w:val="0"/>
      <w:divBdr>
        <w:top w:val="none" w:sz="0" w:space="0" w:color="auto"/>
        <w:left w:val="none" w:sz="0" w:space="0" w:color="auto"/>
        <w:bottom w:val="none" w:sz="0" w:space="0" w:color="auto"/>
        <w:right w:val="none" w:sz="0" w:space="0" w:color="auto"/>
      </w:divBdr>
      <w:divsChild>
        <w:div w:id="956763086">
          <w:marLeft w:val="0"/>
          <w:marRight w:val="0"/>
          <w:marTop w:val="0"/>
          <w:marBottom w:val="0"/>
          <w:divBdr>
            <w:top w:val="none" w:sz="0" w:space="0" w:color="auto"/>
            <w:left w:val="none" w:sz="0" w:space="0" w:color="auto"/>
            <w:bottom w:val="none" w:sz="0" w:space="0" w:color="auto"/>
            <w:right w:val="none" w:sz="0" w:space="0" w:color="auto"/>
          </w:divBdr>
        </w:div>
        <w:div w:id="1614970702">
          <w:marLeft w:val="0"/>
          <w:marRight w:val="0"/>
          <w:marTop w:val="0"/>
          <w:marBottom w:val="0"/>
          <w:divBdr>
            <w:top w:val="none" w:sz="0" w:space="0" w:color="auto"/>
            <w:left w:val="none" w:sz="0" w:space="0" w:color="auto"/>
            <w:bottom w:val="none" w:sz="0" w:space="0" w:color="auto"/>
            <w:right w:val="none" w:sz="0" w:space="0" w:color="auto"/>
          </w:divBdr>
        </w:div>
        <w:div w:id="146020952">
          <w:marLeft w:val="0"/>
          <w:marRight w:val="0"/>
          <w:marTop w:val="0"/>
          <w:marBottom w:val="0"/>
          <w:divBdr>
            <w:top w:val="none" w:sz="0" w:space="0" w:color="auto"/>
            <w:left w:val="none" w:sz="0" w:space="0" w:color="auto"/>
            <w:bottom w:val="none" w:sz="0" w:space="0" w:color="auto"/>
            <w:right w:val="none" w:sz="0" w:space="0" w:color="auto"/>
          </w:divBdr>
        </w:div>
        <w:div w:id="1095859961">
          <w:marLeft w:val="0"/>
          <w:marRight w:val="0"/>
          <w:marTop w:val="0"/>
          <w:marBottom w:val="0"/>
          <w:divBdr>
            <w:top w:val="none" w:sz="0" w:space="0" w:color="auto"/>
            <w:left w:val="none" w:sz="0" w:space="0" w:color="auto"/>
            <w:bottom w:val="none" w:sz="0" w:space="0" w:color="auto"/>
            <w:right w:val="none" w:sz="0" w:space="0" w:color="auto"/>
          </w:divBdr>
        </w:div>
      </w:divsChild>
    </w:div>
    <w:div w:id="860170075">
      <w:bodyDiv w:val="1"/>
      <w:marLeft w:val="0"/>
      <w:marRight w:val="0"/>
      <w:marTop w:val="0"/>
      <w:marBottom w:val="0"/>
      <w:divBdr>
        <w:top w:val="none" w:sz="0" w:space="0" w:color="auto"/>
        <w:left w:val="none" w:sz="0" w:space="0" w:color="auto"/>
        <w:bottom w:val="none" w:sz="0" w:space="0" w:color="auto"/>
        <w:right w:val="none" w:sz="0" w:space="0" w:color="auto"/>
      </w:divBdr>
    </w:div>
    <w:div w:id="865102079">
      <w:bodyDiv w:val="1"/>
      <w:marLeft w:val="0"/>
      <w:marRight w:val="0"/>
      <w:marTop w:val="0"/>
      <w:marBottom w:val="0"/>
      <w:divBdr>
        <w:top w:val="none" w:sz="0" w:space="0" w:color="auto"/>
        <w:left w:val="none" w:sz="0" w:space="0" w:color="auto"/>
        <w:bottom w:val="none" w:sz="0" w:space="0" w:color="auto"/>
        <w:right w:val="none" w:sz="0" w:space="0" w:color="auto"/>
      </w:divBdr>
    </w:div>
    <w:div w:id="866017960">
      <w:bodyDiv w:val="1"/>
      <w:marLeft w:val="0"/>
      <w:marRight w:val="0"/>
      <w:marTop w:val="0"/>
      <w:marBottom w:val="0"/>
      <w:divBdr>
        <w:top w:val="none" w:sz="0" w:space="0" w:color="auto"/>
        <w:left w:val="none" w:sz="0" w:space="0" w:color="auto"/>
        <w:bottom w:val="none" w:sz="0" w:space="0" w:color="auto"/>
        <w:right w:val="none" w:sz="0" w:space="0" w:color="auto"/>
      </w:divBdr>
    </w:div>
    <w:div w:id="871571049">
      <w:bodyDiv w:val="1"/>
      <w:marLeft w:val="0"/>
      <w:marRight w:val="0"/>
      <w:marTop w:val="0"/>
      <w:marBottom w:val="0"/>
      <w:divBdr>
        <w:top w:val="none" w:sz="0" w:space="0" w:color="auto"/>
        <w:left w:val="none" w:sz="0" w:space="0" w:color="auto"/>
        <w:bottom w:val="none" w:sz="0" w:space="0" w:color="auto"/>
        <w:right w:val="none" w:sz="0" w:space="0" w:color="auto"/>
      </w:divBdr>
    </w:div>
    <w:div w:id="872423449">
      <w:bodyDiv w:val="1"/>
      <w:marLeft w:val="0"/>
      <w:marRight w:val="0"/>
      <w:marTop w:val="0"/>
      <w:marBottom w:val="0"/>
      <w:divBdr>
        <w:top w:val="none" w:sz="0" w:space="0" w:color="auto"/>
        <w:left w:val="none" w:sz="0" w:space="0" w:color="auto"/>
        <w:bottom w:val="none" w:sz="0" w:space="0" w:color="auto"/>
        <w:right w:val="none" w:sz="0" w:space="0" w:color="auto"/>
      </w:divBdr>
    </w:div>
    <w:div w:id="876626606">
      <w:bodyDiv w:val="1"/>
      <w:marLeft w:val="0"/>
      <w:marRight w:val="0"/>
      <w:marTop w:val="0"/>
      <w:marBottom w:val="0"/>
      <w:divBdr>
        <w:top w:val="none" w:sz="0" w:space="0" w:color="auto"/>
        <w:left w:val="none" w:sz="0" w:space="0" w:color="auto"/>
        <w:bottom w:val="none" w:sz="0" w:space="0" w:color="auto"/>
        <w:right w:val="none" w:sz="0" w:space="0" w:color="auto"/>
      </w:divBdr>
    </w:div>
    <w:div w:id="878932605">
      <w:bodyDiv w:val="1"/>
      <w:marLeft w:val="0"/>
      <w:marRight w:val="0"/>
      <w:marTop w:val="0"/>
      <w:marBottom w:val="0"/>
      <w:divBdr>
        <w:top w:val="none" w:sz="0" w:space="0" w:color="auto"/>
        <w:left w:val="none" w:sz="0" w:space="0" w:color="auto"/>
        <w:bottom w:val="none" w:sz="0" w:space="0" w:color="auto"/>
        <w:right w:val="none" w:sz="0" w:space="0" w:color="auto"/>
      </w:divBdr>
    </w:div>
    <w:div w:id="879559486">
      <w:bodyDiv w:val="1"/>
      <w:marLeft w:val="0"/>
      <w:marRight w:val="0"/>
      <w:marTop w:val="0"/>
      <w:marBottom w:val="0"/>
      <w:divBdr>
        <w:top w:val="none" w:sz="0" w:space="0" w:color="auto"/>
        <w:left w:val="none" w:sz="0" w:space="0" w:color="auto"/>
        <w:bottom w:val="none" w:sz="0" w:space="0" w:color="auto"/>
        <w:right w:val="none" w:sz="0" w:space="0" w:color="auto"/>
      </w:divBdr>
    </w:div>
    <w:div w:id="880168414">
      <w:bodyDiv w:val="1"/>
      <w:marLeft w:val="0"/>
      <w:marRight w:val="0"/>
      <w:marTop w:val="0"/>
      <w:marBottom w:val="0"/>
      <w:divBdr>
        <w:top w:val="none" w:sz="0" w:space="0" w:color="auto"/>
        <w:left w:val="none" w:sz="0" w:space="0" w:color="auto"/>
        <w:bottom w:val="none" w:sz="0" w:space="0" w:color="auto"/>
        <w:right w:val="none" w:sz="0" w:space="0" w:color="auto"/>
      </w:divBdr>
    </w:div>
    <w:div w:id="881792505">
      <w:bodyDiv w:val="1"/>
      <w:marLeft w:val="0"/>
      <w:marRight w:val="0"/>
      <w:marTop w:val="0"/>
      <w:marBottom w:val="0"/>
      <w:divBdr>
        <w:top w:val="none" w:sz="0" w:space="0" w:color="auto"/>
        <w:left w:val="none" w:sz="0" w:space="0" w:color="auto"/>
        <w:bottom w:val="none" w:sz="0" w:space="0" w:color="auto"/>
        <w:right w:val="none" w:sz="0" w:space="0" w:color="auto"/>
      </w:divBdr>
    </w:div>
    <w:div w:id="889607173">
      <w:bodyDiv w:val="1"/>
      <w:marLeft w:val="0"/>
      <w:marRight w:val="0"/>
      <w:marTop w:val="0"/>
      <w:marBottom w:val="0"/>
      <w:divBdr>
        <w:top w:val="none" w:sz="0" w:space="0" w:color="auto"/>
        <w:left w:val="none" w:sz="0" w:space="0" w:color="auto"/>
        <w:bottom w:val="none" w:sz="0" w:space="0" w:color="auto"/>
        <w:right w:val="none" w:sz="0" w:space="0" w:color="auto"/>
      </w:divBdr>
    </w:div>
    <w:div w:id="891815958">
      <w:bodyDiv w:val="1"/>
      <w:marLeft w:val="0"/>
      <w:marRight w:val="0"/>
      <w:marTop w:val="0"/>
      <w:marBottom w:val="0"/>
      <w:divBdr>
        <w:top w:val="none" w:sz="0" w:space="0" w:color="auto"/>
        <w:left w:val="none" w:sz="0" w:space="0" w:color="auto"/>
        <w:bottom w:val="none" w:sz="0" w:space="0" w:color="auto"/>
        <w:right w:val="none" w:sz="0" w:space="0" w:color="auto"/>
      </w:divBdr>
    </w:div>
    <w:div w:id="896819195">
      <w:bodyDiv w:val="1"/>
      <w:marLeft w:val="0"/>
      <w:marRight w:val="0"/>
      <w:marTop w:val="0"/>
      <w:marBottom w:val="0"/>
      <w:divBdr>
        <w:top w:val="none" w:sz="0" w:space="0" w:color="auto"/>
        <w:left w:val="none" w:sz="0" w:space="0" w:color="auto"/>
        <w:bottom w:val="none" w:sz="0" w:space="0" w:color="auto"/>
        <w:right w:val="none" w:sz="0" w:space="0" w:color="auto"/>
      </w:divBdr>
    </w:div>
    <w:div w:id="898325921">
      <w:bodyDiv w:val="1"/>
      <w:marLeft w:val="0"/>
      <w:marRight w:val="0"/>
      <w:marTop w:val="0"/>
      <w:marBottom w:val="0"/>
      <w:divBdr>
        <w:top w:val="none" w:sz="0" w:space="0" w:color="auto"/>
        <w:left w:val="none" w:sz="0" w:space="0" w:color="auto"/>
        <w:bottom w:val="none" w:sz="0" w:space="0" w:color="auto"/>
        <w:right w:val="none" w:sz="0" w:space="0" w:color="auto"/>
      </w:divBdr>
    </w:div>
    <w:div w:id="900675231">
      <w:bodyDiv w:val="1"/>
      <w:marLeft w:val="0"/>
      <w:marRight w:val="0"/>
      <w:marTop w:val="0"/>
      <w:marBottom w:val="0"/>
      <w:divBdr>
        <w:top w:val="none" w:sz="0" w:space="0" w:color="auto"/>
        <w:left w:val="none" w:sz="0" w:space="0" w:color="auto"/>
        <w:bottom w:val="none" w:sz="0" w:space="0" w:color="auto"/>
        <w:right w:val="none" w:sz="0" w:space="0" w:color="auto"/>
      </w:divBdr>
    </w:div>
    <w:div w:id="901403216">
      <w:bodyDiv w:val="1"/>
      <w:marLeft w:val="0"/>
      <w:marRight w:val="0"/>
      <w:marTop w:val="0"/>
      <w:marBottom w:val="0"/>
      <w:divBdr>
        <w:top w:val="none" w:sz="0" w:space="0" w:color="auto"/>
        <w:left w:val="none" w:sz="0" w:space="0" w:color="auto"/>
        <w:bottom w:val="none" w:sz="0" w:space="0" w:color="auto"/>
        <w:right w:val="none" w:sz="0" w:space="0" w:color="auto"/>
      </w:divBdr>
    </w:div>
    <w:div w:id="904073403">
      <w:bodyDiv w:val="1"/>
      <w:marLeft w:val="0"/>
      <w:marRight w:val="0"/>
      <w:marTop w:val="0"/>
      <w:marBottom w:val="0"/>
      <w:divBdr>
        <w:top w:val="none" w:sz="0" w:space="0" w:color="auto"/>
        <w:left w:val="none" w:sz="0" w:space="0" w:color="auto"/>
        <w:bottom w:val="none" w:sz="0" w:space="0" w:color="auto"/>
        <w:right w:val="none" w:sz="0" w:space="0" w:color="auto"/>
      </w:divBdr>
    </w:div>
    <w:div w:id="906577420">
      <w:bodyDiv w:val="1"/>
      <w:marLeft w:val="0"/>
      <w:marRight w:val="0"/>
      <w:marTop w:val="0"/>
      <w:marBottom w:val="0"/>
      <w:divBdr>
        <w:top w:val="none" w:sz="0" w:space="0" w:color="auto"/>
        <w:left w:val="none" w:sz="0" w:space="0" w:color="auto"/>
        <w:bottom w:val="none" w:sz="0" w:space="0" w:color="auto"/>
        <w:right w:val="none" w:sz="0" w:space="0" w:color="auto"/>
      </w:divBdr>
    </w:div>
    <w:div w:id="909199116">
      <w:bodyDiv w:val="1"/>
      <w:marLeft w:val="0"/>
      <w:marRight w:val="0"/>
      <w:marTop w:val="0"/>
      <w:marBottom w:val="0"/>
      <w:divBdr>
        <w:top w:val="none" w:sz="0" w:space="0" w:color="auto"/>
        <w:left w:val="none" w:sz="0" w:space="0" w:color="auto"/>
        <w:bottom w:val="none" w:sz="0" w:space="0" w:color="auto"/>
        <w:right w:val="none" w:sz="0" w:space="0" w:color="auto"/>
      </w:divBdr>
    </w:div>
    <w:div w:id="911351908">
      <w:bodyDiv w:val="1"/>
      <w:marLeft w:val="0"/>
      <w:marRight w:val="0"/>
      <w:marTop w:val="0"/>
      <w:marBottom w:val="0"/>
      <w:divBdr>
        <w:top w:val="none" w:sz="0" w:space="0" w:color="auto"/>
        <w:left w:val="none" w:sz="0" w:space="0" w:color="auto"/>
        <w:bottom w:val="none" w:sz="0" w:space="0" w:color="auto"/>
        <w:right w:val="none" w:sz="0" w:space="0" w:color="auto"/>
      </w:divBdr>
    </w:div>
    <w:div w:id="914126805">
      <w:bodyDiv w:val="1"/>
      <w:marLeft w:val="0"/>
      <w:marRight w:val="0"/>
      <w:marTop w:val="0"/>
      <w:marBottom w:val="0"/>
      <w:divBdr>
        <w:top w:val="none" w:sz="0" w:space="0" w:color="auto"/>
        <w:left w:val="none" w:sz="0" w:space="0" w:color="auto"/>
        <w:bottom w:val="none" w:sz="0" w:space="0" w:color="auto"/>
        <w:right w:val="none" w:sz="0" w:space="0" w:color="auto"/>
      </w:divBdr>
    </w:div>
    <w:div w:id="917010576">
      <w:bodyDiv w:val="1"/>
      <w:marLeft w:val="0"/>
      <w:marRight w:val="0"/>
      <w:marTop w:val="0"/>
      <w:marBottom w:val="0"/>
      <w:divBdr>
        <w:top w:val="none" w:sz="0" w:space="0" w:color="auto"/>
        <w:left w:val="none" w:sz="0" w:space="0" w:color="auto"/>
        <w:bottom w:val="none" w:sz="0" w:space="0" w:color="auto"/>
        <w:right w:val="none" w:sz="0" w:space="0" w:color="auto"/>
      </w:divBdr>
    </w:div>
    <w:div w:id="917640790">
      <w:bodyDiv w:val="1"/>
      <w:marLeft w:val="0"/>
      <w:marRight w:val="0"/>
      <w:marTop w:val="0"/>
      <w:marBottom w:val="0"/>
      <w:divBdr>
        <w:top w:val="none" w:sz="0" w:space="0" w:color="auto"/>
        <w:left w:val="none" w:sz="0" w:space="0" w:color="auto"/>
        <w:bottom w:val="none" w:sz="0" w:space="0" w:color="auto"/>
        <w:right w:val="none" w:sz="0" w:space="0" w:color="auto"/>
      </w:divBdr>
    </w:div>
    <w:div w:id="920799480">
      <w:bodyDiv w:val="1"/>
      <w:marLeft w:val="0"/>
      <w:marRight w:val="0"/>
      <w:marTop w:val="0"/>
      <w:marBottom w:val="0"/>
      <w:divBdr>
        <w:top w:val="none" w:sz="0" w:space="0" w:color="auto"/>
        <w:left w:val="none" w:sz="0" w:space="0" w:color="auto"/>
        <w:bottom w:val="none" w:sz="0" w:space="0" w:color="auto"/>
        <w:right w:val="none" w:sz="0" w:space="0" w:color="auto"/>
      </w:divBdr>
    </w:div>
    <w:div w:id="922295423">
      <w:bodyDiv w:val="1"/>
      <w:marLeft w:val="0"/>
      <w:marRight w:val="0"/>
      <w:marTop w:val="0"/>
      <w:marBottom w:val="0"/>
      <w:divBdr>
        <w:top w:val="none" w:sz="0" w:space="0" w:color="auto"/>
        <w:left w:val="none" w:sz="0" w:space="0" w:color="auto"/>
        <w:bottom w:val="none" w:sz="0" w:space="0" w:color="auto"/>
        <w:right w:val="none" w:sz="0" w:space="0" w:color="auto"/>
      </w:divBdr>
      <w:divsChild>
        <w:div w:id="1362973084">
          <w:marLeft w:val="0"/>
          <w:marRight w:val="0"/>
          <w:marTop w:val="15"/>
          <w:marBottom w:val="0"/>
          <w:divBdr>
            <w:top w:val="none" w:sz="0" w:space="0" w:color="auto"/>
            <w:left w:val="none" w:sz="0" w:space="0" w:color="auto"/>
            <w:bottom w:val="none" w:sz="0" w:space="0" w:color="auto"/>
            <w:right w:val="none" w:sz="0" w:space="0" w:color="auto"/>
          </w:divBdr>
          <w:divsChild>
            <w:div w:id="550580776">
              <w:marLeft w:val="0"/>
              <w:marRight w:val="0"/>
              <w:marTop w:val="0"/>
              <w:marBottom w:val="0"/>
              <w:divBdr>
                <w:top w:val="none" w:sz="0" w:space="0" w:color="auto"/>
                <w:left w:val="none" w:sz="0" w:space="0" w:color="auto"/>
                <w:bottom w:val="none" w:sz="0" w:space="0" w:color="auto"/>
                <w:right w:val="none" w:sz="0" w:space="0" w:color="auto"/>
              </w:divBdr>
              <w:divsChild>
                <w:div w:id="949119219">
                  <w:marLeft w:val="0"/>
                  <w:marRight w:val="0"/>
                  <w:marTop w:val="0"/>
                  <w:marBottom w:val="0"/>
                  <w:divBdr>
                    <w:top w:val="none" w:sz="0" w:space="0" w:color="auto"/>
                    <w:left w:val="none" w:sz="0" w:space="0" w:color="auto"/>
                    <w:bottom w:val="none" w:sz="0" w:space="0" w:color="auto"/>
                    <w:right w:val="none" w:sz="0" w:space="0" w:color="auto"/>
                  </w:divBdr>
                </w:div>
                <w:div w:id="1483737276">
                  <w:marLeft w:val="0"/>
                  <w:marRight w:val="0"/>
                  <w:marTop w:val="0"/>
                  <w:marBottom w:val="0"/>
                  <w:divBdr>
                    <w:top w:val="none" w:sz="0" w:space="0" w:color="auto"/>
                    <w:left w:val="none" w:sz="0" w:space="0" w:color="auto"/>
                    <w:bottom w:val="none" w:sz="0" w:space="0" w:color="auto"/>
                    <w:right w:val="none" w:sz="0" w:space="0" w:color="auto"/>
                  </w:divBdr>
                </w:div>
                <w:div w:id="702826340">
                  <w:marLeft w:val="0"/>
                  <w:marRight w:val="0"/>
                  <w:marTop w:val="0"/>
                  <w:marBottom w:val="0"/>
                  <w:divBdr>
                    <w:top w:val="none" w:sz="0" w:space="0" w:color="auto"/>
                    <w:left w:val="none" w:sz="0" w:space="0" w:color="auto"/>
                    <w:bottom w:val="none" w:sz="0" w:space="0" w:color="auto"/>
                    <w:right w:val="none" w:sz="0" w:space="0" w:color="auto"/>
                  </w:divBdr>
                </w:div>
                <w:div w:id="1840656726">
                  <w:marLeft w:val="0"/>
                  <w:marRight w:val="0"/>
                  <w:marTop w:val="0"/>
                  <w:marBottom w:val="0"/>
                  <w:divBdr>
                    <w:top w:val="none" w:sz="0" w:space="0" w:color="auto"/>
                    <w:left w:val="none" w:sz="0" w:space="0" w:color="auto"/>
                    <w:bottom w:val="none" w:sz="0" w:space="0" w:color="auto"/>
                    <w:right w:val="none" w:sz="0" w:space="0" w:color="auto"/>
                  </w:divBdr>
                </w:div>
                <w:div w:id="953251915">
                  <w:marLeft w:val="0"/>
                  <w:marRight w:val="0"/>
                  <w:marTop w:val="0"/>
                  <w:marBottom w:val="0"/>
                  <w:divBdr>
                    <w:top w:val="none" w:sz="0" w:space="0" w:color="auto"/>
                    <w:left w:val="none" w:sz="0" w:space="0" w:color="auto"/>
                    <w:bottom w:val="none" w:sz="0" w:space="0" w:color="auto"/>
                    <w:right w:val="none" w:sz="0" w:space="0" w:color="auto"/>
                  </w:divBdr>
                </w:div>
                <w:div w:id="2052533198">
                  <w:marLeft w:val="0"/>
                  <w:marRight w:val="0"/>
                  <w:marTop w:val="0"/>
                  <w:marBottom w:val="0"/>
                  <w:divBdr>
                    <w:top w:val="none" w:sz="0" w:space="0" w:color="auto"/>
                    <w:left w:val="none" w:sz="0" w:space="0" w:color="auto"/>
                    <w:bottom w:val="none" w:sz="0" w:space="0" w:color="auto"/>
                    <w:right w:val="none" w:sz="0" w:space="0" w:color="auto"/>
                  </w:divBdr>
                </w:div>
                <w:div w:id="55864487">
                  <w:marLeft w:val="0"/>
                  <w:marRight w:val="0"/>
                  <w:marTop w:val="0"/>
                  <w:marBottom w:val="0"/>
                  <w:divBdr>
                    <w:top w:val="none" w:sz="0" w:space="0" w:color="auto"/>
                    <w:left w:val="none" w:sz="0" w:space="0" w:color="auto"/>
                    <w:bottom w:val="none" w:sz="0" w:space="0" w:color="auto"/>
                    <w:right w:val="none" w:sz="0" w:space="0" w:color="auto"/>
                  </w:divBdr>
                </w:div>
                <w:div w:id="1898856760">
                  <w:marLeft w:val="0"/>
                  <w:marRight w:val="0"/>
                  <w:marTop w:val="0"/>
                  <w:marBottom w:val="0"/>
                  <w:divBdr>
                    <w:top w:val="none" w:sz="0" w:space="0" w:color="auto"/>
                    <w:left w:val="none" w:sz="0" w:space="0" w:color="auto"/>
                    <w:bottom w:val="none" w:sz="0" w:space="0" w:color="auto"/>
                    <w:right w:val="none" w:sz="0" w:space="0" w:color="auto"/>
                  </w:divBdr>
                </w:div>
                <w:div w:id="433869218">
                  <w:marLeft w:val="0"/>
                  <w:marRight w:val="0"/>
                  <w:marTop w:val="0"/>
                  <w:marBottom w:val="0"/>
                  <w:divBdr>
                    <w:top w:val="none" w:sz="0" w:space="0" w:color="auto"/>
                    <w:left w:val="none" w:sz="0" w:space="0" w:color="auto"/>
                    <w:bottom w:val="none" w:sz="0" w:space="0" w:color="auto"/>
                    <w:right w:val="none" w:sz="0" w:space="0" w:color="auto"/>
                  </w:divBdr>
                </w:div>
                <w:div w:id="1426345471">
                  <w:marLeft w:val="0"/>
                  <w:marRight w:val="0"/>
                  <w:marTop w:val="0"/>
                  <w:marBottom w:val="0"/>
                  <w:divBdr>
                    <w:top w:val="none" w:sz="0" w:space="0" w:color="auto"/>
                    <w:left w:val="none" w:sz="0" w:space="0" w:color="auto"/>
                    <w:bottom w:val="none" w:sz="0" w:space="0" w:color="auto"/>
                    <w:right w:val="none" w:sz="0" w:space="0" w:color="auto"/>
                  </w:divBdr>
                </w:div>
                <w:div w:id="1181314778">
                  <w:marLeft w:val="0"/>
                  <w:marRight w:val="0"/>
                  <w:marTop w:val="0"/>
                  <w:marBottom w:val="0"/>
                  <w:divBdr>
                    <w:top w:val="none" w:sz="0" w:space="0" w:color="auto"/>
                    <w:left w:val="none" w:sz="0" w:space="0" w:color="auto"/>
                    <w:bottom w:val="none" w:sz="0" w:space="0" w:color="auto"/>
                    <w:right w:val="none" w:sz="0" w:space="0" w:color="auto"/>
                  </w:divBdr>
                </w:div>
                <w:div w:id="1302615378">
                  <w:marLeft w:val="0"/>
                  <w:marRight w:val="0"/>
                  <w:marTop w:val="0"/>
                  <w:marBottom w:val="0"/>
                  <w:divBdr>
                    <w:top w:val="none" w:sz="0" w:space="0" w:color="auto"/>
                    <w:left w:val="none" w:sz="0" w:space="0" w:color="auto"/>
                    <w:bottom w:val="none" w:sz="0" w:space="0" w:color="auto"/>
                    <w:right w:val="none" w:sz="0" w:space="0" w:color="auto"/>
                  </w:divBdr>
                </w:div>
                <w:div w:id="1300575293">
                  <w:marLeft w:val="0"/>
                  <w:marRight w:val="0"/>
                  <w:marTop w:val="0"/>
                  <w:marBottom w:val="0"/>
                  <w:divBdr>
                    <w:top w:val="none" w:sz="0" w:space="0" w:color="auto"/>
                    <w:left w:val="none" w:sz="0" w:space="0" w:color="auto"/>
                    <w:bottom w:val="none" w:sz="0" w:space="0" w:color="auto"/>
                    <w:right w:val="none" w:sz="0" w:space="0" w:color="auto"/>
                  </w:divBdr>
                </w:div>
                <w:div w:id="389504769">
                  <w:marLeft w:val="0"/>
                  <w:marRight w:val="0"/>
                  <w:marTop w:val="0"/>
                  <w:marBottom w:val="0"/>
                  <w:divBdr>
                    <w:top w:val="none" w:sz="0" w:space="0" w:color="auto"/>
                    <w:left w:val="none" w:sz="0" w:space="0" w:color="auto"/>
                    <w:bottom w:val="none" w:sz="0" w:space="0" w:color="auto"/>
                    <w:right w:val="none" w:sz="0" w:space="0" w:color="auto"/>
                  </w:divBdr>
                </w:div>
                <w:div w:id="1524903583">
                  <w:marLeft w:val="0"/>
                  <w:marRight w:val="0"/>
                  <w:marTop w:val="0"/>
                  <w:marBottom w:val="0"/>
                  <w:divBdr>
                    <w:top w:val="none" w:sz="0" w:space="0" w:color="auto"/>
                    <w:left w:val="none" w:sz="0" w:space="0" w:color="auto"/>
                    <w:bottom w:val="none" w:sz="0" w:space="0" w:color="auto"/>
                    <w:right w:val="none" w:sz="0" w:space="0" w:color="auto"/>
                  </w:divBdr>
                </w:div>
                <w:div w:id="551891028">
                  <w:marLeft w:val="0"/>
                  <w:marRight w:val="0"/>
                  <w:marTop w:val="0"/>
                  <w:marBottom w:val="0"/>
                  <w:divBdr>
                    <w:top w:val="none" w:sz="0" w:space="0" w:color="auto"/>
                    <w:left w:val="none" w:sz="0" w:space="0" w:color="auto"/>
                    <w:bottom w:val="none" w:sz="0" w:space="0" w:color="auto"/>
                    <w:right w:val="none" w:sz="0" w:space="0" w:color="auto"/>
                  </w:divBdr>
                </w:div>
                <w:div w:id="587349399">
                  <w:marLeft w:val="0"/>
                  <w:marRight w:val="0"/>
                  <w:marTop w:val="0"/>
                  <w:marBottom w:val="0"/>
                  <w:divBdr>
                    <w:top w:val="none" w:sz="0" w:space="0" w:color="auto"/>
                    <w:left w:val="none" w:sz="0" w:space="0" w:color="auto"/>
                    <w:bottom w:val="none" w:sz="0" w:space="0" w:color="auto"/>
                    <w:right w:val="none" w:sz="0" w:space="0" w:color="auto"/>
                  </w:divBdr>
                </w:div>
                <w:div w:id="1666736133">
                  <w:marLeft w:val="0"/>
                  <w:marRight w:val="0"/>
                  <w:marTop w:val="0"/>
                  <w:marBottom w:val="0"/>
                  <w:divBdr>
                    <w:top w:val="none" w:sz="0" w:space="0" w:color="auto"/>
                    <w:left w:val="none" w:sz="0" w:space="0" w:color="auto"/>
                    <w:bottom w:val="none" w:sz="0" w:space="0" w:color="auto"/>
                    <w:right w:val="none" w:sz="0" w:space="0" w:color="auto"/>
                  </w:divBdr>
                </w:div>
                <w:div w:id="1010915996">
                  <w:marLeft w:val="0"/>
                  <w:marRight w:val="0"/>
                  <w:marTop w:val="0"/>
                  <w:marBottom w:val="0"/>
                  <w:divBdr>
                    <w:top w:val="none" w:sz="0" w:space="0" w:color="auto"/>
                    <w:left w:val="none" w:sz="0" w:space="0" w:color="auto"/>
                    <w:bottom w:val="none" w:sz="0" w:space="0" w:color="auto"/>
                    <w:right w:val="none" w:sz="0" w:space="0" w:color="auto"/>
                  </w:divBdr>
                </w:div>
                <w:div w:id="1141921266">
                  <w:marLeft w:val="0"/>
                  <w:marRight w:val="0"/>
                  <w:marTop w:val="0"/>
                  <w:marBottom w:val="0"/>
                  <w:divBdr>
                    <w:top w:val="none" w:sz="0" w:space="0" w:color="auto"/>
                    <w:left w:val="none" w:sz="0" w:space="0" w:color="auto"/>
                    <w:bottom w:val="none" w:sz="0" w:space="0" w:color="auto"/>
                    <w:right w:val="none" w:sz="0" w:space="0" w:color="auto"/>
                  </w:divBdr>
                </w:div>
                <w:div w:id="1093863139">
                  <w:marLeft w:val="0"/>
                  <w:marRight w:val="0"/>
                  <w:marTop w:val="0"/>
                  <w:marBottom w:val="0"/>
                  <w:divBdr>
                    <w:top w:val="none" w:sz="0" w:space="0" w:color="auto"/>
                    <w:left w:val="none" w:sz="0" w:space="0" w:color="auto"/>
                    <w:bottom w:val="none" w:sz="0" w:space="0" w:color="auto"/>
                    <w:right w:val="none" w:sz="0" w:space="0" w:color="auto"/>
                  </w:divBdr>
                </w:div>
                <w:div w:id="124888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918994">
          <w:marLeft w:val="0"/>
          <w:marRight w:val="0"/>
          <w:marTop w:val="15"/>
          <w:marBottom w:val="0"/>
          <w:divBdr>
            <w:top w:val="none" w:sz="0" w:space="0" w:color="auto"/>
            <w:left w:val="none" w:sz="0" w:space="0" w:color="auto"/>
            <w:bottom w:val="none" w:sz="0" w:space="0" w:color="auto"/>
            <w:right w:val="none" w:sz="0" w:space="0" w:color="auto"/>
          </w:divBdr>
          <w:divsChild>
            <w:div w:id="223948702">
              <w:marLeft w:val="0"/>
              <w:marRight w:val="0"/>
              <w:marTop w:val="0"/>
              <w:marBottom w:val="0"/>
              <w:divBdr>
                <w:top w:val="none" w:sz="0" w:space="0" w:color="auto"/>
                <w:left w:val="none" w:sz="0" w:space="0" w:color="auto"/>
                <w:bottom w:val="none" w:sz="0" w:space="0" w:color="auto"/>
                <w:right w:val="none" w:sz="0" w:space="0" w:color="auto"/>
              </w:divBdr>
              <w:divsChild>
                <w:div w:id="2062946786">
                  <w:marLeft w:val="0"/>
                  <w:marRight w:val="0"/>
                  <w:marTop w:val="0"/>
                  <w:marBottom w:val="0"/>
                  <w:divBdr>
                    <w:top w:val="none" w:sz="0" w:space="0" w:color="auto"/>
                    <w:left w:val="none" w:sz="0" w:space="0" w:color="auto"/>
                    <w:bottom w:val="none" w:sz="0" w:space="0" w:color="auto"/>
                    <w:right w:val="none" w:sz="0" w:space="0" w:color="auto"/>
                  </w:divBdr>
                </w:div>
                <w:div w:id="704717884">
                  <w:marLeft w:val="0"/>
                  <w:marRight w:val="0"/>
                  <w:marTop w:val="0"/>
                  <w:marBottom w:val="0"/>
                  <w:divBdr>
                    <w:top w:val="none" w:sz="0" w:space="0" w:color="auto"/>
                    <w:left w:val="none" w:sz="0" w:space="0" w:color="auto"/>
                    <w:bottom w:val="none" w:sz="0" w:space="0" w:color="auto"/>
                    <w:right w:val="none" w:sz="0" w:space="0" w:color="auto"/>
                  </w:divBdr>
                </w:div>
                <w:div w:id="305088536">
                  <w:marLeft w:val="0"/>
                  <w:marRight w:val="0"/>
                  <w:marTop w:val="0"/>
                  <w:marBottom w:val="0"/>
                  <w:divBdr>
                    <w:top w:val="none" w:sz="0" w:space="0" w:color="auto"/>
                    <w:left w:val="none" w:sz="0" w:space="0" w:color="auto"/>
                    <w:bottom w:val="none" w:sz="0" w:space="0" w:color="auto"/>
                    <w:right w:val="none" w:sz="0" w:space="0" w:color="auto"/>
                  </w:divBdr>
                </w:div>
                <w:div w:id="1493568535">
                  <w:marLeft w:val="0"/>
                  <w:marRight w:val="0"/>
                  <w:marTop w:val="0"/>
                  <w:marBottom w:val="0"/>
                  <w:divBdr>
                    <w:top w:val="none" w:sz="0" w:space="0" w:color="auto"/>
                    <w:left w:val="none" w:sz="0" w:space="0" w:color="auto"/>
                    <w:bottom w:val="none" w:sz="0" w:space="0" w:color="auto"/>
                    <w:right w:val="none" w:sz="0" w:space="0" w:color="auto"/>
                  </w:divBdr>
                </w:div>
                <w:div w:id="1809785490">
                  <w:marLeft w:val="0"/>
                  <w:marRight w:val="0"/>
                  <w:marTop w:val="0"/>
                  <w:marBottom w:val="0"/>
                  <w:divBdr>
                    <w:top w:val="none" w:sz="0" w:space="0" w:color="auto"/>
                    <w:left w:val="none" w:sz="0" w:space="0" w:color="auto"/>
                    <w:bottom w:val="none" w:sz="0" w:space="0" w:color="auto"/>
                    <w:right w:val="none" w:sz="0" w:space="0" w:color="auto"/>
                  </w:divBdr>
                </w:div>
                <w:div w:id="1439521295">
                  <w:marLeft w:val="0"/>
                  <w:marRight w:val="0"/>
                  <w:marTop w:val="0"/>
                  <w:marBottom w:val="0"/>
                  <w:divBdr>
                    <w:top w:val="none" w:sz="0" w:space="0" w:color="auto"/>
                    <w:left w:val="none" w:sz="0" w:space="0" w:color="auto"/>
                    <w:bottom w:val="none" w:sz="0" w:space="0" w:color="auto"/>
                    <w:right w:val="none" w:sz="0" w:space="0" w:color="auto"/>
                  </w:divBdr>
                </w:div>
                <w:div w:id="626549650">
                  <w:marLeft w:val="0"/>
                  <w:marRight w:val="0"/>
                  <w:marTop w:val="0"/>
                  <w:marBottom w:val="0"/>
                  <w:divBdr>
                    <w:top w:val="none" w:sz="0" w:space="0" w:color="auto"/>
                    <w:left w:val="none" w:sz="0" w:space="0" w:color="auto"/>
                    <w:bottom w:val="none" w:sz="0" w:space="0" w:color="auto"/>
                    <w:right w:val="none" w:sz="0" w:space="0" w:color="auto"/>
                  </w:divBdr>
                </w:div>
                <w:div w:id="2093744145">
                  <w:marLeft w:val="0"/>
                  <w:marRight w:val="0"/>
                  <w:marTop w:val="0"/>
                  <w:marBottom w:val="0"/>
                  <w:divBdr>
                    <w:top w:val="none" w:sz="0" w:space="0" w:color="auto"/>
                    <w:left w:val="none" w:sz="0" w:space="0" w:color="auto"/>
                    <w:bottom w:val="none" w:sz="0" w:space="0" w:color="auto"/>
                    <w:right w:val="none" w:sz="0" w:space="0" w:color="auto"/>
                  </w:divBdr>
                </w:div>
                <w:div w:id="545068077">
                  <w:marLeft w:val="0"/>
                  <w:marRight w:val="0"/>
                  <w:marTop w:val="0"/>
                  <w:marBottom w:val="0"/>
                  <w:divBdr>
                    <w:top w:val="none" w:sz="0" w:space="0" w:color="auto"/>
                    <w:left w:val="none" w:sz="0" w:space="0" w:color="auto"/>
                    <w:bottom w:val="none" w:sz="0" w:space="0" w:color="auto"/>
                    <w:right w:val="none" w:sz="0" w:space="0" w:color="auto"/>
                  </w:divBdr>
                </w:div>
                <w:div w:id="247346622">
                  <w:marLeft w:val="0"/>
                  <w:marRight w:val="0"/>
                  <w:marTop w:val="0"/>
                  <w:marBottom w:val="0"/>
                  <w:divBdr>
                    <w:top w:val="none" w:sz="0" w:space="0" w:color="auto"/>
                    <w:left w:val="none" w:sz="0" w:space="0" w:color="auto"/>
                    <w:bottom w:val="none" w:sz="0" w:space="0" w:color="auto"/>
                    <w:right w:val="none" w:sz="0" w:space="0" w:color="auto"/>
                  </w:divBdr>
                </w:div>
                <w:div w:id="1441611647">
                  <w:marLeft w:val="0"/>
                  <w:marRight w:val="0"/>
                  <w:marTop w:val="0"/>
                  <w:marBottom w:val="0"/>
                  <w:divBdr>
                    <w:top w:val="none" w:sz="0" w:space="0" w:color="auto"/>
                    <w:left w:val="none" w:sz="0" w:space="0" w:color="auto"/>
                    <w:bottom w:val="none" w:sz="0" w:space="0" w:color="auto"/>
                    <w:right w:val="none" w:sz="0" w:space="0" w:color="auto"/>
                  </w:divBdr>
                </w:div>
                <w:div w:id="261963569">
                  <w:marLeft w:val="0"/>
                  <w:marRight w:val="0"/>
                  <w:marTop w:val="0"/>
                  <w:marBottom w:val="0"/>
                  <w:divBdr>
                    <w:top w:val="none" w:sz="0" w:space="0" w:color="auto"/>
                    <w:left w:val="none" w:sz="0" w:space="0" w:color="auto"/>
                    <w:bottom w:val="none" w:sz="0" w:space="0" w:color="auto"/>
                    <w:right w:val="none" w:sz="0" w:space="0" w:color="auto"/>
                  </w:divBdr>
                </w:div>
                <w:div w:id="1692417076">
                  <w:marLeft w:val="0"/>
                  <w:marRight w:val="0"/>
                  <w:marTop w:val="0"/>
                  <w:marBottom w:val="0"/>
                  <w:divBdr>
                    <w:top w:val="none" w:sz="0" w:space="0" w:color="auto"/>
                    <w:left w:val="none" w:sz="0" w:space="0" w:color="auto"/>
                    <w:bottom w:val="none" w:sz="0" w:space="0" w:color="auto"/>
                    <w:right w:val="none" w:sz="0" w:space="0" w:color="auto"/>
                  </w:divBdr>
                </w:div>
                <w:div w:id="834952669">
                  <w:marLeft w:val="0"/>
                  <w:marRight w:val="0"/>
                  <w:marTop w:val="0"/>
                  <w:marBottom w:val="0"/>
                  <w:divBdr>
                    <w:top w:val="none" w:sz="0" w:space="0" w:color="auto"/>
                    <w:left w:val="none" w:sz="0" w:space="0" w:color="auto"/>
                    <w:bottom w:val="none" w:sz="0" w:space="0" w:color="auto"/>
                    <w:right w:val="none" w:sz="0" w:space="0" w:color="auto"/>
                  </w:divBdr>
                </w:div>
                <w:div w:id="210000533">
                  <w:marLeft w:val="0"/>
                  <w:marRight w:val="0"/>
                  <w:marTop w:val="0"/>
                  <w:marBottom w:val="0"/>
                  <w:divBdr>
                    <w:top w:val="none" w:sz="0" w:space="0" w:color="auto"/>
                    <w:left w:val="none" w:sz="0" w:space="0" w:color="auto"/>
                    <w:bottom w:val="none" w:sz="0" w:space="0" w:color="auto"/>
                    <w:right w:val="none" w:sz="0" w:space="0" w:color="auto"/>
                  </w:divBdr>
                </w:div>
                <w:div w:id="671377598">
                  <w:marLeft w:val="0"/>
                  <w:marRight w:val="0"/>
                  <w:marTop w:val="0"/>
                  <w:marBottom w:val="0"/>
                  <w:divBdr>
                    <w:top w:val="none" w:sz="0" w:space="0" w:color="auto"/>
                    <w:left w:val="none" w:sz="0" w:space="0" w:color="auto"/>
                    <w:bottom w:val="none" w:sz="0" w:space="0" w:color="auto"/>
                    <w:right w:val="none" w:sz="0" w:space="0" w:color="auto"/>
                  </w:divBdr>
                </w:div>
                <w:div w:id="1950551199">
                  <w:marLeft w:val="0"/>
                  <w:marRight w:val="0"/>
                  <w:marTop w:val="0"/>
                  <w:marBottom w:val="0"/>
                  <w:divBdr>
                    <w:top w:val="none" w:sz="0" w:space="0" w:color="auto"/>
                    <w:left w:val="none" w:sz="0" w:space="0" w:color="auto"/>
                    <w:bottom w:val="none" w:sz="0" w:space="0" w:color="auto"/>
                    <w:right w:val="none" w:sz="0" w:space="0" w:color="auto"/>
                  </w:divBdr>
                </w:div>
                <w:div w:id="917329746">
                  <w:marLeft w:val="0"/>
                  <w:marRight w:val="0"/>
                  <w:marTop w:val="0"/>
                  <w:marBottom w:val="0"/>
                  <w:divBdr>
                    <w:top w:val="none" w:sz="0" w:space="0" w:color="auto"/>
                    <w:left w:val="none" w:sz="0" w:space="0" w:color="auto"/>
                    <w:bottom w:val="none" w:sz="0" w:space="0" w:color="auto"/>
                    <w:right w:val="none" w:sz="0" w:space="0" w:color="auto"/>
                  </w:divBdr>
                </w:div>
                <w:div w:id="2077312812">
                  <w:marLeft w:val="0"/>
                  <w:marRight w:val="0"/>
                  <w:marTop w:val="0"/>
                  <w:marBottom w:val="0"/>
                  <w:divBdr>
                    <w:top w:val="none" w:sz="0" w:space="0" w:color="auto"/>
                    <w:left w:val="none" w:sz="0" w:space="0" w:color="auto"/>
                    <w:bottom w:val="none" w:sz="0" w:space="0" w:color="auto"/>
                    <w:right w:val="none" w:sz="0" w:space="0" w:color="auto"/>
                  </w:divBdr>
                </w:div>
                <w:div w:id="92287336">
                  <w:marLeft w:val="0"/>
                  <w:marRight w:val="0"/>
                  <w:marTop w:val="0"/>
                  <w:marBottom w:val="0"/>
                  <w:divBdr>
                    <w:top w:val="none" w:sz="0" w:space="0" w:color="auto"/>
                    <w:left w:val="none" w:sz="0" w:space="0" w:color="auto"/>
                    <w:bottom w:val="none" w:sz="0" w:space="0" w:color="auto"/>
                    <w:right w:val="none" w:sz="0" w:space="0" w:color="auto"/>
                  </w:divBdr>
                </w:div>
                <w:div w:id="1922833694">
                  <w:marLeft w:val="0"/>
                  <w:marRight w:val="0"/>
                  <w:marTop w:val="0"/>
                  <w:marBottom w:val="0"/>
                  <w:divBdr>
                    <w:top w:val="none" w:sz="0" w:space="0" w:color="auto"/>
                    <w:left w:val="none" w:sz="0" w:space="0" w:color="auto"/>
                    <w:bottom w:val="none" w:sz="0" w:space="0" w:color="auto"/>
                    <w:right w:val="none" w:sz="0" w:space="0" w:color="auto"/>
                  </w:divBdr>
                </w:div>
                <w:div w:id="686177378">
                  <w:marLeft w:val="0"/>
                  <w:marRight w:val="0"/>
                  <w:marTop w:val="0"/>
                  <w:marBottom w:val="0"/>
                  <w:divBdr>
                    <w:top w:val="none" w:sz="0" w:space="0" w:color="auto"/>
                    <w:left w:val="none" w:sz="0" w:space="0" w:color="auto"/>
                    <w:bottom w:val="none" w:sz="0" w:space="0" w:color="auto"/>
                    <w:right w:val="none" w:sz="0" w:space="0" w:color="auto"/>
                  </w:divBdr>
                </w:div>
                <w:div w:id="638922688">
                  <w:marLeft w:val="0"/>
                  <w:marRight w:val="0"/>
                  <w:marTop w:val="0"/>
                  <w:marBottom w:val="0"/>
                  <w:divBdr>
                    <w:top w:val="none" w:sz="0" w:space="0" w:color="auto"/>
                    <w:left w:val="none" w:sz="0" w:space="0" w:color="auto"/>
                    <w:bottom w:val="none" w:sz="0" w:space="0" w:color="auto"/>
                    <w:right w:val="none" w:sz="0" w:space="0" w:color="auto"/>
                  </w:divBdr>
                </w:div>
                <w:div w:id="2067292990">
                  <w:marLeft w:val="0"/>
                  <w:marRight w:val="0"/>
                  <w:marTop w:val="0"/>
                  <w:marBottom w:val="0"/>
                  <w:divBdr>
                    <w:top w:val="none" w:sz="0" w:space="0" w:color="auto"/>
                    <w:left w:val="none" w:sz="0" w:space="0" w:color="auto"/>
                    <w:bottom w:val="none" w:sz="0" w:space="0" w:color="auto"/>
                    <w:right w:val="none" w:sz="0" w:space="0" w:color="auto"/>
                  </w:divBdr>
                </w:div>
                <w:div w:id="1598177392">
                  <w:marLeft w:val="0"/>
                  <w:marRight w:val="0"/>
                  <w:marTop w:val="0"/>
                  <w:marBottom w:val="0"/>
                  <w:divBdr>
                    <w:top w:val="none" w:sz="0" w:space="0" w:color="auto"/>
                    <w:left w:val="none" w:sz="0" w:space="0" w:color="auto"/>
                    <w:bottom w:val="none" w:sz="0" w:space="0" w:color="auto"/>
                    <w:right w:val="none" w:sz="0" w:space="0" w:color="auto"/>
                  </w:divBdr>
                </w:div>
                <w:div w:id="629287678">
                  <w:marLeft w:val="0"/>
                  <w:marRight w:val="0"/>
                  <w:marTop w:val="0"/>
                  <w:marBottom w:val="0"/>
                  <w:divBdr>
                    <w:top w:val="none" w:sz="0" w:space="0" w:color="auto"/>
                    <w:left w:val="none" w:sz="0" w:space="0" w:color="auto"/>
                    <w:bottom w:val="none" w:sz="0" w:space="0" w:color="auto"/>
                    <w:right w:val="none" w:sz="0" w:space="0" w:color="auto"/>
                  </w:divBdr>
                </w:div>
                <w:div w:id="1756975799">
                  <w:marLeft w:val="0"/>
                  <w:marRight w:val="0"/>
                  <w:marTop w:val="0"/>
                  <w:marBottom w:val="0"/>
                  <w:divBdr>
                    <w:top w:val="none" w:sz="0" w:space="0" w:color="auto"/>
                    <w:left w:val="none" w:sz="0" w:space="0" w:color="auto"/>
                    <w:bottom w:val="none" w:sz="0" w:space="0" w:color="auto"/>
                    <w:right w:val="none" w:sz="0" w:space="0" w:color="auto"/>
                  </w:divBdr>
                </w:div>
                <w:div w:id="1294018068">
                  <w:marLeft w:val="0"/>
                  <w:marRight w:val="0"/>
                  <w:marTop w:val="0"/>
                  <w:marBottom w:val="0"/>
                  <w:divBdr>
                    <w:top w:val="none" w:sz="0" w:space="0" w:color="auto"/>
                    <w:left w:val="none" w:sz="0" w:space="0" w:color="auto"/>
                    <w:bottom w:val="none" w:sz="0" w:space="0" w:color="auto"/>
                    <w:right w:val="none" w:sz="0" w:space="0" w:color="auto"/>
                  </w:divBdr>
                </w:div>
                <w:div w:id="1504322721">
                  <w:marLeft w:val="0"/>
                  <w:marRight w:val="0"/>
                  <w:marTop w:val="0"/>
                  <w:marBottom w:val="0"/>
                  <w:divBdr>
                    <w:top w:val="none" w:sz="0" w:space="0" w:color="auto"/>
                    <w:left w:val="none" w:sz="0" w:space="0" w:color="auto"/>
                    <w:bottom w:val="none" w:sz="0" w:space="0" w:color="auto"/>
                    <w:right w:val="none" w:sz="0" w:space="0" w:color="auto"/>
                  </w:divBdr>
                </w:div>
                <w:div w:id="1446997096">
                  <w:marLeft w:val="0"/>
                  <w:marRight w:val="0"/>
                  <w:marTop w:val="0"/>
                  <w:marBottom w:val="0"/>
                  <w:divBdr>
                    <w:top w:val="none" w:sz="0" w:space="0" w:color="auto"/>
                    <w:left w:val="none" w:sz="0" w:space="0" w:color="auto"/>
                    <w:bottom w:val="none" w:sz="0" w:space="0" w:color="auto"/>
                    <w:right w:val="none" w:sz="0" w:space="0" w:color="auto"/>
                  </w:divBdr>
                </w:div>
                <w:div w:id="2004816135">
                  <w:marLeft w:val="0"/>
                  <w:marRight w:val="0"/>
                  <w:marTop w:val="0"/>
                  <w:marBottom w:val="0"/>
                  <w:divBdr>
                    <w:top w:val="none" w:sz="0" w:space="0" w:color="auto"/>
                    <w:left w:val="none" w:sz="0" w:space="0" w:color="auto"/>
                    <w:bottom w:val="none" w:sz="0" w:space="0" w:color="auto"/>
                    <w:right w:val="none" w:sz="0" w:space="0" w:color="auto"/>
                  </w:divBdr>
                </w:div>
                <w:div w:id="1328244508">
                  <w:marLeft w:val="0"/>
                  <w:marRight w:val="0"/>
                  <w:marTop w:val="0"/>
                  <w:marBottom w:val="0"/>
                  <w:divBdr>
                    <w:top w:val="none" w:sz="0" w:space="0" w:color="auto"/>
                    <w:left w:val="none" w:sz="0" w:space="0" w:color="auto"/>
                    <w:bottom w:val="none" w:sz="0" w:space="0" w:color="auto"/>
                    <w:right w:val="none" w:sz="0" w:space="0" w:color="auto"/>
                  </w:divBdr>
                </w:div>
                <w:div w:id="1423331212">
                  <w:marLeft w:val="0"/>
                  <w:marRight w:val="0"/>
                  <w:marTop w:val="0"/>
                  <w:marBottom w:val="0"/>
                  <w:divBdr>
                    <w:top w:val="none" w:sz="0" w:space="0" w:color="auto"/>
                    <w:left w:val="none" w:sz="0" w:space="0" w:color="auto"/>
                    <w:bottom w:val="none" w:sz="0" w:space="0" w:color="auto"/>
                    <w:right w:val="none" w:sz="0" w:space="0" w:color="auto"/>
                  </w:divBdr>
                </w:div>
                <w:div w:id="158586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766701">
          <w:marLeft w:val="0"/>
          <w:marRight w:val="0"/>
          <w:marTop w:val="15"/>
          <w:marBottom w:val="0"/>
          <w:divBdr>
            <w:top w:val="none" w:sz="0" w:space="0" w:color="auto"/>
            <w:left w:val="none" w:sz="0" w:space="0" w:color="auto"/>
            <w:bottom w:val="none" w:sz="0" w:space="0" w:color="auto"/>
            <w:right w:val="none" w:sz="0" w:space="0" w:color="auto"/>
          </w:divBdr>
          <w:divsChild>
            <w:div w:id="437994684">
              <w:marLeft w:val="0"/>
              <w:marRight w:val="0"/>
              <w:marTop w:val="0"/>
              <w:marBottom w:val="0"/>
              <w:divBdr>
                <w:top w:val="none" w:sz="0" w:space="0" w:color="auto"/>
                <w:left w:val="none" w:sz="0" w:space="0" w:color="auto"/>
                <w:bottom w:val="none" w:sz="0" w:space="0" w:color="auto"/>
                <w:right w:val="none" w:sz="0" w:space="0" w:color="auto"/>
              </w:divBdr>
              <w:divsChild>
                <w:div w:id="203256245">
                  <w:marLeft w:val="0"/>
                  <w:marRight w:val="0"/>
                  <w:marTop w:val="0"/>
                  <w:marBottom w:val="0"/>
                  <w:divBdr>
                    <w:top w:val="none" w:sz="0" w:space="0" w:color="auto"/>
                    <w:left w:val="none" w:sz="0" w:space="0" w:color="auto"/>
                    <w:bottom w:val="none" w:sz="0" w:space="0" w:color="auto"/>
                    <w:right w:val="none" w:sz="0" w:space="0" w:color="auto"/>
                  </w:divBdr>
                </w:div>
                <w:div w:id="1176113122">
                  <w:marLeft w:val="0"/>
                  <w:marRight w:val="0"/>
                  <w:marTop w:val="0"/>
                  <w:marBottom w:val="0"/>
                  <w:divBdr>
                    <w:top w:val="none" w:sz="0" w:space="0" w:color="auto"/>
                    <w:left w:val="none" w:sz="0" w:space="0" w:color="auto"/>
                    <w:bottom w:val="none" w:sz="0" w:space="0" w:color="auto"/>
                    <w:right w:val="none" w:sz="0" w:space="0" w:color="auto"/>
                  </w:divBdr>
                </w:div>
                <w:div w:id="1827160467">
                  <w:marLeft w:val="0"/>
                  <w:marRight w:val="0"/>
                  <w:marTop w:val="0"/>
                  <w:marBottom w:val="0"/>
                  <w:divBdr>
                    <w:top w:val="none" w:sz="0" w:space="0" w:color="auto"/>
                    <w:left w:val="none" w:sz="0" w:space="0" w:color="auto"/>
                    <w:bottom w:val="none" w:sz="0" w:space="0" w:color="auto"/>
                    <w:right w:val="none" w:sz="0" w:space="0" w:color="auto"/>
                  </w:divBdr>
                </w:div>
                <w:div w:id="1000347888">
                  <w:marLeft w:val="0"/>
                  <w:marRight w:val="0"/>
                  <w:marTop w:val="0"/>
                  <w:marBottom w:val="0"/>
                  <w:divBdr>
                    <w:top w:val="none" w:sz="0" w:space="0" w:color="auto"/>
                    <w:left w:val="none" w:sz="0" w:space="0" w:color="auto"/>
                    <w:bottom w:val="none" w:sz="0" w:space="0" w:color="auto"/>
                    <w:right w:val="none" w:sz="0" w:space="0" w:color="auto"/>
                  </w:divBdr>
                </w:div>
                <w:div w:id="1183789079">
                  <w:marLeft w:val="0"/>
                  <w:marRight w:val="0"/>
                  <w:marTop w:val="0"/>
                  <w:marBottom w:val="0"/>
                  <w:divBdr>
                    <w:top w:val="none" w:sz="0" w:space="0" w:color="auto"/>
                    <w:left w:val="none" w:sz="0" w:space="0" w:color="auto"/>
                    <w:bottom w:val="none" w:sz="0" w:space="0" w:color="auto"/>
                    <w:right w:val="none" w:sz="0" w:space="0" w:color="auto"/>
                  </w:divBdr>
                </w:div>
                <w:div w:id="1738358484">
                  <w:marLeft w:val="0"/>
                  <w:marRight w:val="0"/>
                  <w:marTop w:val="0"/>
                  <w:marBottom w:val="0"/>
                  <w:divBdr>
                    <w:top w:val="none" w:sz="0" w:space="0" w:color="auto"/>
                    <w:left w:val="none" w:sz="0" w:space="0" w:color="auto"/>
                    <w:bottom w:val="none" w:sz="0" w:space="0" w:color="auto"/>
                    <w:right w:val="none" w:sz="0" w:space="0" w:color="auto"/>
                  </w:divBdr>
                </w:div>
                <w:div w:id="1681934654">
                  <w:marLeft w:val="0"/>
                  <w:marRight w:val="0"/>
                  <w:marTop w:val="0"/>
                  <w:marBottom w:val="0"/>
                  <w:divBdr>
                    <w:top w:val="none" w:sz="0" w:space="0" w:color="auto"/>
                    <w:left w:val="none" w:sz="0" w:space="0" w:color="auto"/>
                    <w:bottom w:val="none" w:sz="0" w:space="0" w:color="auto"/>
                    <w:right w:val="none" w:sz="0" w:space="0" w:color="auto"/>
                  </w:divBdr>
                </w:div>
                <w:div w:id="1909535917">
                  <w:marLeft w:val="0"/>
                  <w:marRight w:val="0"/>
                  <w:marTop w:val="0"/>
                  <w:marBottom w:val="0"/>
                  <w:divBdr>
                    <w:top w:val="none" w:sz="0" w:space="0" w:color="auto"/>
                    <w:left w:val="none" w:sz="0" w:space="0" w:color="auto"/>
                    <w:bottom w:val="none" w:sz="0" w:space="0" w:color="auto"/>
                    <w:right w:val="none" w:sz="0" w:space="0" w:color="auto"/>
                  </w:divBdr>
                </w:div>
                <w:div w:id="1634285516">
                  <w:marLeft w:val="0"/>
                  <w:marRight w:val="0"/>
                  <w:marTop w:val="0"/>
                  <w:marBottom w:val="0"/>
                  <w:divBdr>
                    <w:top w:val="none" w:sz="0" w:space="0" w:color="auto"/>
                    <w:left w:val="none" w:sz="0" w:space="0" w:color="auto"/>
                    <w:bottom w:val="none" w:sz="0" w:space="0" w:color="auto"/>
                    <w:right w:val="none" w:sz="0" w:space="0" w:color="auto"/>
                  </w:divBdr>
                </w:div>
                <w:div w:id="550574665">
                  <w:marLeft w:val="0"/>
                  <w:marRight w:val="0"/>
                  <w:marTop w:val="0"/>
                  <w:marBottom w:val="0"/>
                  <w:divBdr>
                    <w:top w:val="none" w:sz="0" w:space="0" w:color="auto"/>
                    <w:left w:val="none" w:sz="0" w:space="0" w:color="auto"/>
                    <w:bottom w:val="none" w:sz="0" w:space="0" w:color="auto"/>
                    <w:right w:val="none" w:sz="0" w:space="0" w:color="auto"/>
                  </w:divBdr>
                </w:div>
                <w:div w:id="46269894">
                  <w:marLeft w:val="0"/>
                  <w:marRight w:val="0"/>
                  <w:marTop w:val="0"/>
                  <w:marBottom w:val="0"/>
                  <w:divBdr>
                    <w:top w:val="none" w:sz="0" w:space="0" w:color="auto"/>
                    <w:left w:val="none" w:sz="0" w:space="0" w:color="auto"/>
                    <w:bottom w:val="none" w:sz="0" w:space="0" w:color="auto"/>
                    <w:right w:val="none" w:sz="0" w:space="0" w:color="auto"/>
                  </w:divBdr>
                </w:div>
                <w:div w:id="1990089346">
                  <w:marLeft w:val="0"/>
                  <w:marRight w:val="0"/>
                  <w:marTop w:val="0"/>
                  <w:marBottom w:val="0"/>
                  <w:divBdr>
                    <w:top w:val="none" w:sz="0" w:space="0" w:color="auto"/>
                    <w:left w:val="none" w:sz="0" w:space="0" w:color="auto"/>
                    <w:bottom w:val="none" w:sz="0" w:space="0" w:color="auto"/>
                    <w:right w:val="none" w:sz="0" w:space="0" w:color="auto"/>
                  </w:divBdr>
                </w:div>
                <w:div w:id="1107388749">
                  <w:marLeft w:val="0"/>
                  <w:marRight w:val="0"/>
                  <w:marTop w:val="0"/>
                  <w:marBottom w:val="0"/>
                  <w:divBdr>
                    <w:top w:val="none" w:sz="0" w:space="0" w:color="auto"/>
                    <w:left w:val="none" w:sz="0" w:space="0" w:color="auto"/>
                    <w:bottom w:val="none" w:sz="0" w:space="0" w:color="auto"/>
                    <w:right w:val="none" w:sz="0" w:space="0" w:color="auto"/>
                  </w:divBdr>
                </w:div>
                <w:div w:id="1561595400">
                  <w:marLeft w:val="0"/>
                  <w:marRight w:val="0"/>
                  <w:marTop w:val="0"/>
                  <w:marBottom w:val="0"/>
                  <w:divBdr>
                    <w:top w:val="none" w:sz="0" w:space="0" w:color="auto"/>
                    <w:left w:val="none" w:sz="0" w:space="0" w:color="auto"/>
                    <w:bottom w:val="none" w:sz="0" w:space="0" w:color="auto"/>
                    <w:right w:val="none" w:sz="0" w:space="0" w:color="auto"/>
                  </w:divBdr>
                </w:div>
                <w:div w:id="1700083124">
                  <w:marLeft w:val="0"/>
                  <w:marRight w:val="0"/>
                  <w:marTop w:val="0"/>
                  <w:marBottom w:val="0"/>
                  <w:divBdr>
                    <w:top w:val="none" w:sz="0" w:space="0" w:color="auto"/>
                    <w:left w:val="none" w:sz="0" w:space="0" w:color="auto"/>
                    <w:bottom w:val="none" w:sz="0" w:space="0" w:color="auto"/>
                    <w:right w:val="none" w:sz="0" w:space="0" w:color="auto"/>
                  </w:divBdr>
                </w:div>
                <w:div w:id="1142622038">
                  <w:marLeft w:val="0"/>
                  <w:marRight w:val="0"/>
                  <w:marTop w:val="0"/>
                  <w:marBottom w:val="0"/>
                  <w:divBdr>
                    <w:top w:val="none" w:sz="0" w:space="0" w:color="auto"/>
                    <w:left w:val="none" w:sz="0" w:space="0" w:color="auto"/>
                    <w:bottom w:val="none" w:sz="0" w:space="0" w:color="auto"/>
                    <w:right w:val="none" w:sz="0" w:space="0" w:color="auto"/>
                  </w:divBdr>
                </w:div>
                <w:div w:id="45881440">
                  <w:marLeft w:val="0"/>
                  <w:marRight w:val="0"/>
                  <w:marTop w:val="0"/>
                  <w:marBottom w:val="0"/>
                  <w:divBdr>
                    <w:top w:val="none" w:sz="0" w:space="0" w:color="auto"/>
                    <w:left w:val="none" w:sz="0" w:space="0" w:color="auto"/>
                    <w:bottom w:val="none" w:sz="0" w:space="0" w:color="auto"/>
                    <w:right w:val="none" w:sz="0" w:space="0" w:color="auto"/>
                  </w:divBdr>
                </w:div>
                <w:div w:id="597786307">
                  <w:marLeft w:val="0"/>
                  <w:marRight w:val="0"/>
                  <w:marTop w:val="0"/>
                  <w:marBottom w:val="0"/>
                  <w:divBdr>
                    <w:top w:val="none" w:sz="0" w:space="0" w:color="auto"/>
                    <w:left w:val="none" w:sz="0" w:space="0" w:color="auto"/>
                    <w:bottom w:val="none" w:sz="0" w:space="0" w:color="auto"/>
                    <w:right w:val="none" w:sz="0" w:space="0" w:color="auto"/>
                  </w:divBdr>
                </w:div>
                <w:div w:id="733510099">
                  <w:marLeft w:val="0"/>
                  <w:marRight w:val="0"/>
                  <w:marTop w:val="0"/>
                  <w:marBottom w:val="0"/>
                  <w:divBdr>
                    <w:top w:val="none" w:sz="0" w:space="0" w:color="auto"/>
                    <w:left w:val="none" w:sz="0" w:space="0" w:color="auto"/>
                    <w:bottom w:val="none" w:sz="0" w:space="0" w:color="auto"/>
                    <w:right w:val="none" w:sz="0" w:space="0" w:color="auto"/>
                  </w:divBdr>
                </w:div>
                <w:div w:id="1281842008">
                  <w:marLeft w:val="0"/>
                  <w:marRight w:val="0"/>
                  <w:marTop w:val="0"/>
                  <w:marBottom w:val="0"/>
                  <w:divBdr>
                    <w:top w:val="none" w:sz="0" w:space="0" w:color="auto"/>
                    <w:left w:val="none" w:sz="0" w:space="0" w:color="auto"/>
                    <w:bottom w:val="none" w:sz="0" w:space="0" w:color="auto"/>
                    <w:right w:val="none" w:sz="0" w:space="0" w:color="auto"/>
                  </w:divBdr>
                </w:div>
                <w:div w:id="1907376277">
                  <w:marLeft w:val="0"/>
                  <w:marRight w:val="0"/>
                  <w:marTop w:val="0"/>
                  <w:marBottom w:val="0"/>
                  <w:divBdr>
                    <w:top w:val="none" w:sz="0" w:space="0" w:color="auto"/>
                    <w:left w:val="none" w:sz="0" w:space="0" w:color="auto"/>
                    <w:bottom w:val="none" w:sz="0" w:space="0" w:color="auto"/>
                    <w:right w:val="none" w:sz="0" w:space="0" w:color="auto"/>
                  </w:divBdr>
                </w:div>
                <w:div w:id="718237511">
                  <w:marLeft w:val="0"/>
                  <w:marRight w:val="0"/>
                  <w:marTop w:val="0"/>
                  <w:marBottom w:val="0"/>
                  <w:divBdr>
                    <w:top w:val="none" w:sz="0" w:space="0" w:color="auto"/>
                    <w:left w:val="none" w:sz="0" w:space="0" w:color="auto"/>
                    <w:bottom w:val="none" w:sz="0" w:space="0" w:color="auto"/>
                    <w:right w:val="none" w:sz="0" w:space="0" w:color="auto"/>
                  </w:divBdr>
                </w:div>
                <w:div w:id="727612448">
                  <w:marLeft w:val="0"/>
                  <w:marRight w:val="0"/>
                  <w:marTop w:val="0"/>
                  <w:marBottom w:val="0"/>
                  <w:divBdr>
                    <w:top w:val="none" w:sz="0" w:space="0" w:color="auto"/>
                    <w:left w:val="none" w:sz="0" w:space="0" w:color="auto"/>
                    <w:bottom w:val="none" w:sz="0" w:space="0" w:color="auto"/>
                    <w:right w:val="none" w:sz="0" w:space="0" w:color="auto"/>
                  </w:divBdr>
                </w:div>
                <w:div w:id="1913272186">
                  <w:marLeft w:val="0"/>
                  <w:marRight w:val="0"/>
                  <w:marTop w:val="0"/>
                  <w:marBottom w:val="0"/>
                  <w:divBdr>
                    <w:top w:val="none" w:sz="0" w:space="0" w:color="auto"/>
                    <w:left w:val="none" w:sz="0" w:space="0" w:color="auto"/>
                    <w:bottom w:val="none" w:sz="0" w:space="0" w:color="auto"/>
                    <w:right w:val="none" w:sz="0" w:space="0" w:color="auto"/>
                  </w:divBdr>
                </w:div>
                <w:div w:id="144842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97547">
          <w:marLeft w:val="0"/>
          <w:marRight w:val="0"/>
          <w:marTop w:val="15"/>
          <w:marBottom w:val="0"/>
          <w:divBdr>
            <w:top w:val="none" w:sz="0" w:space="0" w:color="auto"/>
            <w:left w:val="none" w:sz="0" w:space="0" w:color="auto"/>
            <w:bottom w:val="none" w:sz="0" w:space="0" w:color="auto"/>
            <w:right w:val="none" w:sz="0" w:space="0" w:color="auto"/>
          </w:divBdr>
          <w:divsChild>
            <w:div w:id="603613835">
              <w:marLeft w:val="0"/>
              <w:marRight w:val="0"/>
              <w:marTop w:val="0"/>
              <w:marBottom w:val="0"/>
              <w:divBdr>
                <w:top w:val="none" w:sz="0" w:space="0" w:color="auto"/>
                <w:left w:val="none" w:sz="0" w:space="0" w:color="auto"/>
                <w:bottom w:val="none" w:sz="0" w:space="0" w:color="auto"/>
                <w:right w:val="none" w:sz="0" w:space="0" w:color="auto"/>
              </w:divBdr>
              <w:divsChild>
                <w:div w:id="1510480687">
                  <w:marLeft w:val="0"/>
                  <w:marRight w:val="0"/>
                  <w:marTop w:val="0"/>
                  <w:marBottom w:val="0"/>
                  <w:divBdr>
                    <w:top w:val="none" w:sz="0" w:space="0" w:color="auto"/>
                    <w:left w:val="none" w:sz="0" w:space="0" w:color="auto"/>
                    <w:bottom w:val="none" w:sz="0" w:space="0" w:color="auto"/>
                    <w:right w:val="none" w:sz="0" w:space="0" w:color="auto"/>
                  </w:divBdr>
                </w:div>
                <w:div w:id="1906379276">
                  <w:marLeft w:val="0"/>
                  <w:marRight w:val="0"/>
                  <w:marTop w:val="0"/>
                  <w:marBottom w:val="0"/>
                  <w:divBdr>
                    <w:top w:val="none" w:sz="0" w:space="0" w:color="auto"/>
                    <w:left w:val="none" w:sz="0" w:space="0" w:color="auto"/>
                    <w:bottom w:val="none" w:sz="0" w:space="0" w:color="auto"/>
                    <w:right w:val="none" w:sz="0" w:space="0" w:color="auto"/>
                  </w:divBdr>
                </w:div>
                <w:div w:id="2100322186">
                  <w:marLeft w:val="0"/>
                  <w:marRight w:val="0"/>
                  <w:marTop w:val="0"/>
                  <w:marBottom w:val="0"/>
                  <w:divBdr>
                    <w:top w:val="none" w:sz="0" w:space="0" w:color="auto"/>
                    <w:left w:val="none" w:sz="0" w:space="0" w:color="auto"/>
                    <w:bottom w:val="none" w:sz="0" w:space="0" w:color="auto"/>
                    <w:right w:val="none" w:sz="0" w:space="0" w:color="auto"/>
                  </w:divBdr>
                </w:div>
                <w:div w:id="1509981707">
                  <w:marLeft w:val="0"/>
                  <w:marRight w:val="0"/>
                  <w:marTop w:val="0"/>
                  <w:marBottom w:val="0"/>
                  <w:divBdr>
                    <w:top w:val="none" w:sz="0" w:space="0" w:color="auto"/>
                    <w:left w:val="none" w:sz="0" w:space="0" w:color="auto"/>
                    <w:bottom w:val="none" w:sz="0" w:space="0" w:color="auto"/>
                    <w:right w:val="none" w:sz="0" w:space="0" w:color="auto"/>
                  </w:divBdr>
                </w:div>
                <w:div w:id="158927234">
                  <w:marLeft w:val="0"/>
                  <w:marRight w:val="0"/>
                  <w:marTop w:val="0"/>
                  <w:marBottom w:val="0"/>
                  <w:divBdr>
                    <w:top w:val="none" w:sz="0" w:space="0" w:color="auto"/>
                    <w:left w:val="none" w:sz="0" w:space="0" w:color="auto"/>
                    <w:bottom w:val="none" w:sz="0" w:space="0" w:color="auto"/>
                    <w:right w:val="none" w:sz="0" w:space="0" w:color="auto"/>
                  </w:divBdr>
                </w:div>
                <w:div w:id="1327126999">
                  <w:marLeft w:val="0"/>
                  <w:marRight w:val="0"/>
                  <w:marTop w:val="0"/>
                  <w:marBottom w:val="0"/>
                  <w:divBdr>
                    <w:top w:val="none" w:sz="0" w:space="0" w:color="auto"/>
                    <w:left w:val="none" w:sz="0" w:space="0" w:color="auto"/>
                    <w:bottom w:val="none" w:sz="0" w:space="0" w:color="auto"/>
                    <w:right w:val="none" w:sz="0" w:space="0" w:color="auto"/>
                  </w:divBdr>
                </w:div>
                <w:div w:id="796096956">
                  <w:marLeft w:val="0"/>
                  <w:marRight w:val="0"/>
                  <w:marTop w:val="0"/>
                  <w:marBottom w:val="0"/>
                  <w:divBdr>
                    <w:top w:val="none" w:sz="0" w:space="0" w:color="auto"/>
                    <w:left w:val="none" w:sz="0" w:space="0" w:color="auto"/>
                    <w:bottom w:val="none" w:sz="0" w:space="0" w:color="auto"/>
                    <w:right w:val="none" w:sz="0" w:space="0" w:color="auto"/>
                  </w:divBdr>
                </w:div>
                <w:div w:id="1391424258">
                  <w:marLeft w:val="0"/>
                  <w:marRight w:val="0"/>
                  <w:marTop w:val="0"/>
                  <w:marBottom w:val="0"/>
                  <w:divBdr>
                    <w:top w:val="none" w:sz="0" w:space="0" w:color="auto"/>
                    <w:left w:val="none" w:sz="0" w:space="0" w:color="auto"/>
                    <w:bottom w:val="none" w:sz="0" w:space="0" w:color="auto"/>
                    <w:right w:val="none" w:sz="0" w:space="0" w:color="auto"/>
                  </w:divBdr>
                </w:div>
                <w:div w:id="805702973">
                  <w:marLeft w:val="0"/>
                  <w:marRight w:val="0"/>
                  <w:marTop w:val="0"/>
                  <w:marBottom w:val="0"/>
                  <w:divBdr>
                    <w:top w:val="none" w:sz="0" w:space="0" w:color="auto"/>
                    <w:left w:val="none" w:sz="0" w:space="0" w:color="auto"/>
                    <w:bottom w:val="none" w:sz="0" w:space="0" w:color="auto"/>
                    <w:right w:val="none" w:sz="0" w:space="0" w:color="auto"/>
                  </w:divBdr>
                </w:div>
                <w:div w:id="1621565410">
                  <w:marLeft w:val="0"/>
                  <w:marRight w:val="0"/>
                  <w:marTop w:val="0"/>
                  <w:marBottom w:val="0"/>
                  <w:divBdr>
                    <w:top w:val="none" w:sz="0" w:space="0" w:color="auto"/>
                    <w:left w:val="none" w:sz="0" w:space="0" w:color="auto"/>
                    <w:bottom w:val="none" w:sz="0" w:space="0" w:color="auto"/>
                    <w:right w:val="none" w:sz="0" w:space="0" w:color="auto"/>
                  </w:divBdr>
                </w:div>
                <w:div w:id="918099844">
                  <w:marLeft w:val="0"/>
                  <w:marRight w:val="0"/>
                  <w:marTop w:val="0"/>
                  <w:marBottom w:val="0"/>
                  <w:divBdr>
                    <w:top w:val="none" w:sz="0" w:space="0" w:color="auto"/>
                    <w:left w:val="none" w:sz="0" w:space="0" w:color="auto"/>
                    <w:bottom w:val="none" w:sz="0" w:space="0" w:color="auto"/>
                    <w:right w:val="none" w:sz="0" w:space="0" w:color="auto"/>
                  </w:divBdr>
                </w:div>
                <w:div w:id="1004865513">
                  <w:marLeft w:val="0"/>
                  <w:marRight w:val="0"/>
                  <w:marTop w:val="0"/>
                  <w:marBottom w:val="0"/>
                  <w:divBdr>
                    <w:top w:val="none" w:sz="0" w:space="0" w:color="auto"/>
                    <w:left w:val="none" w:sz="0" w:space="0" w:color="auto"/>
                    <w:bottom w:val="none" w:sz="0" w:space="0" w:color="auto"/>
                    <w:right w:val="none" w:sz="0" w:space="0" w:color="auto"/>
                  </w:divBdr>
                </w:div>
                <w:div w:id="1954945948">
                  <w:marLeft w:val="0"/>
                  <w:marRight w:val="0"/>
                  <w:marTop w:val="0"/>
                  <w:marBottom w:val="0"/>
                  <w:divBdr>
                    <w:top w:val="none" w:sz="0" w:space="0" w:color="auto"/>
                    <w:left w:val="none" w:sz="0" w:space="0" w:color="auto"/>
                    <w:bottom w:val="none" w:sz="0" w:space="0" w:color="auto"/>
                    <w:right w:val="none" w:sz="0" w:space="0" w:color="auto"/>
                  </w:divBdr>
                </w:div>
                <w:div w:id="1016924480">
                  <w:marLeft w:val="0"/>
                  <w:marRight w:val="0"/>
                  <w:marTop w:val="0"/>
                  <w:marBottom w:val="0"/>
                  <w:divBdr>
                    <w:top w:val="none" w:sz="0" w:space="0" w:color="auto"/>
                    <w:left w:val="none" w:sz="0" w:space="0" w:color="auto"/>
                    <w:bottom w:val="none" w:sz="0" w:space="0" w:color="auto"/>
                    <w:right w:val="none" w:sz="0" w:space="0" w:color="auto"/>
                  </w:divBdr>
                </w:div>
                <w:div w:id="1799297358">
                  <w:marLeft w:val="0"/>
                  <w:marRight w:val="0"/>
                  <w:marTop w:val="0"/>
                  <w:marBottom w:val="0"/>
                  <w:divBdr>
                    <w:top w:val="none" w:sz="0" w:space="0" w:color="auto"/>
                    <w:left w:val="none" w:sz="0" w:space="0" w:color="auto"/>
                    <w:bottom w:val="none" w:sz="0" w:space="0" w:color="auto"/>
                    <w:right w:val="none" w:sz="0" w:space="0" w:color="auto"/>
                  </w:divBdr>
                </w:div>
                <w:div w:id="1422946004">
                  <w:marLeft w:val="0"/>
                  <w:marRight w:val="0"/>
                  <w:marTop w:val="0"/>
                  <w:marBottom w:val="0"/>
                  <w:divBdr>
                    <w:top w:val="none" w:sz="0" w:space="0" w:color="auto"/>
                    <w:left w:val="none" w:sz="0" w:space="0" w:color="auto"/>
                    <w:bottom w:val="none" w:sz="0" w:space="0" w:color="auto"/>
                    <w:right w:val="none" w:sz="0" w:space="0" w:color="auto"/>
                  </w:divBdr>
                </w:div>
                <w:div w:id="1834948202">
                  <w:marLeft w:val="0"/>
                  <w:marRight w:val="0"/>
                  <w:marTop w:val="0"/>
                  <w:marBottom w:val="0"/>
                  <w:divBdr>
                    <w:top w:val="none" w:sz="0" w:space="0" w:color="auto"/>
                    <w:left w:val="none" w:sz="0" w:space="0" w:color="auto"/>
                    <w:bottom w:val="none" w:sz="0" w:space="0" w:color="auto"/>
                    <w:right w:val="none" w:sz="0" w:space="0" w:color="auto"/>
                  </w:divBdr>
                </w:div>
                <w:div w:id="1990597161">
                  <w:marLeft w:val="0"/>
                  <w:marRight w:val="0"/>
                  <w:marTop w:val="0"/>
                  <w:marBottom w:val="0"/>
                  <w:divBdr>
                    <w:top w:val="none" w:sz="0" w:space="0" w:color="auto"/>
                    <w:left w:val="none" w:sz="0" w:space="0" w:color="auto"/>
                    <w:bottom w:val="none" w:sz="0" w:space="0" w:color="auto"/>
                    <w:right w:val="none" w:sz="0" w:space="0" w:color="auto"/>
                  </w:divBdr>
                </w:div>
                <w:div w:id="531192231">
                  <w:marLeft w:val="0"/>
                  <w:marRight w:val="0"/>
                  <w:marTop w:val="0"/>
                  <w:marBottom w:val="0"/>
                  <w:divBdr>
                    <w:top w:val="none" w:sz="0" w:space="0" w:color="auto"/>
                    <w:left w:val="none" w:sz="0" w:space="0" w:color="auto"/>
                    <w:bottom w:val="none" w:sz="0" w:space="0" w:color="auto"/>
                    <w:right w:val="none" w:sz="0" w:space="0" w:color="auto"/>
                  </w:divBdr>
                </w:div>
                <w:div w:id="2112698332">
                  <w:marLeft w:val="0"/>
                  <w:marRight w:val="0"/>
                  <w:marTop w:val="0"/>
                  <w:marBottom w:val="0"/>
                  <w:divBdr>
                    <w:top w:val="none" w:sz="0" w:space="0" w:color="auto"/>
                    <w:left w:val="none" w:sz="0" w:space="0" w:color="auto"/>
                    <w:bottom w:val="none" w:sz="0" w:space="0" w:color="auto"/>
                    <w:right w:val="none" w:sz="0" w:space="0" w:color="auto"/>
                  </w:divBdr>
                </w:div>
                <w:div w:id="76749425">
                  <w:marLeft w:val="0"/>
                  <w:marRight w:val="0"/>
                  <w:marTop w:val="0"/>
                  <w:marBottom w:val="0"/>
                  <w:divBdr>
                    <w:top w:val="none" w:sz="0" w:space="0" w:color="auto"/>
                    <w:left w:val="none" w:sz="0" w:space="0" w:color="auto"/>
                    <w:bottom w:val="none" w:sz="0" w:space="0" w:color="auto"/>
                    <w:right w:val="none" w:sz="0" w:space="0" w:color="auto"/>
                  </w:divBdr>
                </w:div>
                <w:div w:id="1874920070">
                  <w:marLeft w:val="0"/>
                  <w:marRight w:val="0"/>
                  <w:marTop w:val="0"/>
                  <w:marBottom w:val="0"/>
                  <w:divBdr>
                    <w:top w:val="none" w:sz="0" w:space="0" w:color="auto"/>
                    <w:left w:val="none" w:sz="0" w:space="0" w:color="auto"/>
                    <w:bottom w:val="none" w:sz="0" w:space="0" w:color="auto"/>
                    <w:right w:val="none" w:sz="0" w:space="0" w:color="auto"/>
                  </w:divBdr>
                </w:div>
                <w:div w:id="1721174279">
                  <w:marLeft w:val="0"/>
                  <w:marRight w:val="0"/>
                  <w:marTop w:val="0"/>
                  <w:marBottom w:val="0"/>
                  <w:divBdr>
                    <w:top w:val="none" w:sz="0" w:space="0" w:color="auto"/>
                    <w:left w:val="none" w:sz="0" w:space="0" w:color="auto"/>
                    <w:bottom w:val="none" w:sz="0" w:space="0" w:color="auto"/>
                    <w:right w:val="none" w:sz="0" w:space="0" w:color="auto"/>
                  </w:divBdr>
                </w:div>
                <w:div w:id="1482885815">
                  <w:marLeft w:val="0"/>
                  <w:marRight w:val="0"/>
                  <w:marTop w:val="0"/>
                  <w:marBottom w:val="0"/>
                  <w:divBdr>
                    <w:top w:val="none" w:sz="0" w:space="0" w:color="auto"/>
                    <w:left w:val="none" w:sz="0" w:space="0" w:color="auto"/>
                    <w:bottom w:val="none" w:sz="0" w:space="0" w:color="auto"/>
                    <w:right w:val="none" w:sz="0" w:space="0" w:color="auto"/>
                  </w:divBdr>
                </w:div>
                <w:div w:id="726030582">
                  <w:marLeft w:val="0"/>
                  <w:marRight w:val="0"/>
                  <w:marTop w:val="0"/>
                  <w:marBottom w:val="0"/>
                  <w:divBdr>
                    <w:top w:val="none" w:sz="0" w:space="0" w:color="auto"/>
                    <w:left w:val="none" w:sz="0" w:space="0" w:color="auto"/>
                    <w:bottom w:val="none" w:sz="0" w:space="0" w:color="auto"/>
                    <w:right w:val="none" w:sz="0" w:space="0" w:color="auto"/>
                  </w:divBdr>
                </w:div>
                <w:div w:id="20208135">
                  <w:marLeft w:val="0"/>
                  <w:marRight w:val="0"/>
                  <w:marTop w:val="0"/>
                  <w:marBottom w:val="0"/>
                  <w:divBdr>
                    <w:top w:val="none" w:sz="0" w:space="0" w:color="auto"/>
                    <w:left w:val="none" w:sz="0" w:space="0" w:color="auto"/>
                    <w:bottom w:val="none" w:sz="0" w:space="0" w:color="auto"/>
                    <w:right w:val="none" w:sz="0" w:space="0" w:color="auto"/>
                  </w:divBdr>
                </w:div>
                <w:div w:id="1404837394">
                  <w:marLeft w:val="0"/>
                  <w:marRight w:val="0"/>
                  <w:marTop w:val="0"/>
                  <w:marBottom w:val="0"/>
                  <w:divBdr>
                    <w:top w:val="none" w:sz="0" w:space="0" w:color="auto"/>
                    <w:left w:val="none" w:sz="0" w:space="0" w:color="auto"/>
                    <w:bottom w:val="none" w:sz="0" w:space="0" w:color="auto"/>
                    <w:right w:val="none" w:sz="0" w:space="0" w:color="auto"/>
                  </w:divBdr>
                </w:div>
                <w:div w:id="948270527">
                  <w:marLeft w:val="0"/>
                  <w:marRight w:val="0"/>
                  <w:marTop w:val="0"/>
                  <w:marBottom w:val="0"/>
                  <w:divBdr>
                    <w:top w:val="none" w:sz="0" w:space="0" w:color="auto"/>
                    <w:left w:val="none" w:sz="0" w:space="0" w:color="auto"/>
                    <w:bottom w:val="none" w:sz="0" w:space="0" w:color="auto"/>
                    <w:right w:val="none" w:sz="0" w:space="0" w:color="auto"/>
                  </w:divBdr>
                </w:div>
                <w:div w:id="115155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74688">
          <w:marLeft w:val="0"/>
          <w:marRight w:val="0"/>
          <w:marTop w:val="15"/>
          <w:marBottom w:val="0"/>
          <w:divBdr>
            <w:top w:val="none" w:sz="0" w:space="0" w:color="auto"/>
            <w:left w:val="none" w:sz="0" w:space="0" w:color="auto"/>
            <w:bottom w:val="none" w:sz="0" w:space="0" w:color="auto"/>
            <w:right w:val="none" w:sz="0" w:space="0" w:color="auto"/>
          </w:divBdr>
          <w:divsChild>
            <w:div w:id="636030500">
              <w:marLeft w:val="0"/>
              <w:marRight w:val="0"/>
              <w:marTop w:val="0"/>
              <w:marBottom w:val="0"/>
              <w:divBdr>
                <w:top w:val="none" w:sz="0" w:space="0" w:color="auto"/>
                <w:left w:val="none" w:sz="0" w:space="0" w:color="auto"/>
                <w:bottom w:val="none" w:sz="0" w:space="0" w:color="auto"/>
                <w:right w:val="none" w:sz="0" w:space="0" w:color="auto"/>
              </w:divBdr>
              <w:divsChild>
                <w:div w:id="1580868942">
                  <w:marLeft w:val="0"/>
                  <w:marRight w:val="0"/>
                  <w:marTop w:val="0"/>
                  <w:marBottom w:val="0"/>
                  <w:divBdr>
                    <w:top w:val="none" w:sz="0" w:space="0" w:color="auto"/>
                    <w:left w:val="none" w:sz="0" w:space="0" w:color="auto"/>
                    <w:bottom w:val="none" w:sz="0" w:space="0" w:color="auto"/>
                    <w:right w:val="none" w:sz="0" w:space="0" w:color="auto"/>
                  </w:divBdr>
                </w:div>
                <w:div w:id="1170411280">
                  <w:marLeft w:val="0"/>
                  <w:marRight w:val="0"/>
                  <w:marTop w:val="0"/>
                  <w:marBottom w:val="0"/>
                  <w:divBdr>
                    <w:top w:val="none" w:sz="0" w:space="0" w:color="auto"/>
                    <w:left w:val="none" w:sz="0" w:space="0" w:color="auto"/>
                    <w:bottom w:val="none" w:sz="0" w:space="0" w:color="auto"/>
                    <w:right w:val="none" w:sz="0" w:space="0" w:color="auto"/>
                  </w:divBdr>
                </w:div>
                <w:div w:id="1993244321">
                  <w:marLeft w:val="0"/>
                  <w:marRight w:val="0"/>
                  <w:marTop w:val="0"/>
                  <w:marBottom w:val="0"/>
                  <w:divBdr>
                    <w:top w:val="none" w:sz="0" w:space="0" w:color="auto"/>
                    <w:left w:val="none" w:sz="0" w:space="0" w:color="auto"/>
                    <w:bottom w:val="none" w:sz="0" w:space="0" w:color="auto"/>
                    <w:right w:val="none" w:sz="0" w:space="0" w:color="auto"/>
                  </w:divBdr>
                </w:div>
                <w:div w:id="473260839">
                  <w:marLeft w:val="0"/>
                  <w:marRight w:val="0"/>
                  <w:marTop w:val="0"/>
                  <w:marBottom w:val="0"/>
                  <w:divBdr>
                    <w:top w:val="none" w:sz="0" w:space="0" w:color="auto"/>
                    <w:left w:val="none" w:sz="0" w:space="0" w:color="auto"/>
                    <w:bottom w:val="none" w:sz="0" w:space="0" w:color="auto"/>
                    <w:right w:val="none" w:sz="0" w:space="0" w:color="auto"/>
                  </w:divBdr>
                </w:div>
                <w:div w:id="1984962895">
                  <w:marLeft w:val="0"/>
                  <w:marRight w:val="0"/>
                  <w:marTop w:val="0"/>
                  <w:marBottom w:val="0"/>
                  <w:divBdr>
                    <w:top w:val="none" w:sz="0" w:space="0" w:color="auto"/>
                    <w:left w:val="none" w:sz="0" w:space="0" w:color="auto"/>
                    <w:bottom w:val="none" w:sz="0" w:space="0" w:color="auto"/>
                    <w:right w:val="none" w:sz="0" w:space="0" w:color="auto"/>
                  </w:divBdr>
                </w:div>
                <w:div w:id="1930698536">
                  <w:marLeft w:val="0"/>
                  <w:marRight w:val="0"/>
                  <w:marTop w:val="0"/>
                  <w:marBottom w:val="0"/>
                  <w:divBdr>
                    <w:top w:val="none" w:sz="0" w:space="0" w:color="auto"/>
                    <w:left w:val="none" w:sz="0" w:space="0" w:color="auto"/>
                    <w:bottom w:val="none" w:sz="0" w:space="0" w:color="auto"/>
                    <w:right w:val="none" w:sz="0" w:space="0" w:color="auto"/>
                  </w:divBdr>
                </w:div>
                <w:div w:id="1667633843">
                  <w:marLeft w:val="0"/>
                  <w:marRight w:val="0"/>
                  <w:marTop w:val="0"/>
                  <w:marBottom w:val="0"/>
                  <w:divBdr>
                    <w:top w:val="none" w:sz="0" w:space="0" w:color="auto"/>
                    <w:left w:val="none" w:sz="0" w:space="0" w:color="auto"/>
                    <w:bottom w:val="none" w:sz="0" w:space="0" w:color="auto"/>
                    <w:right w:val="none" w:sz="0" w:space="0" w:color="auto"/>
                  </w:divBdr>
                </w:div>
                <w:div w:id="1853496983">
                  <w:marLeft w:val="0"/>
                  <w:marRight w:val="0"/>
                  <w:marTop w:val="0"/>
                  <w:marBottom w:val="0"/>
                  <w:divBdr>
                    <w:top w:val="none" w:sz="0" w:space="0" w:color="auto"/>
                    <w:left w:val="none" w:sz="0" w:space="0" w:color="auto"/>
                    <w:bottom w:val="none" w:sz="0" w:space="0" w:color="auto"/>
                    <w:right w:val="none" w:sz="0" w:space="0" w:color="auto"/>
                  </w:divBdr>
                </w:div>
                <w:div w:id="83109269">
                  <w:marLeft w:val="0"/>
                  <w:marRight w:val="0"/>
                  <w:marTop w:val="0"/>
                  <w:marBottom w:val="0"/>
                  <w:divBdr>
                    <w:top w:val="none" w:sz="0" w:space="0" w:color="auto"/>
                    <w:left w:val="none" w:sz="0" w:space="0" w:color="auto"/>
                    <w:bottom w:val="none" w:sz="0" w:space="0" w:color="auto"/>
                    <w:right w:val="none" w:sz="0" w:space="0" w:color="auto"/>
                  </w:divBdr>
                </w:div>
                <w:div w:id="1243643774">
                  <w:marLeft w:val="0"/>
                  <w:marRight w:val="0"/>
                  <w:marTop w:val="0"/>
                  <w:marBottom w:val="0"/>
                  <w:divBdr>
                    <w:top w:val="none" w:sz="0" w:space="0" w:color="auto"/>
                    <w:left w:val="none" w:sz="0" w:space="0" w:color="auto"/>
                    <w:bottom w:val="none" w:sz="0" w:space="0" w:color="auto"/>
                    <w:right w:val="none" w:sz="0" w:space="0" w:color="auto"/>
                  </w:divBdr>
                </w:div>
                <w:div w:id="1091312502">
                  <w:marLeft w:val="0"/>
                  <w:marRight w:val="0"/>
                  <w:marTop w:val="0"/>
                  <w:marBottom w:val="0"/>
                  <w:divBdr>
                    <w:top w:val="none" w:sz="0" w:space="0" w:color="auto"/>
                    <w:left w:val="none" w:sz="0" w:space="0" w:color="auto"/>
                    <w:bottom w:val="none" w:sz="0" w:space="0" w:color="auto"/>
                    <w:right w:val="none" w:sz="0" w:space="0" w:color="auto"/>
                  </w:divBdr>
                </w:div>
                <w:div w:id="87236605">
                  <w:marLeft w:val="0"/>
                  <w:marRight w:val="0"/>
                  <w:marTop w:val="0"/>
                  <w:marBottom w:val="0"/>
                  <w:divBdr>
                    <w:top w:val="none" w:sz="0" w:space="0" w:color="auto"/>
                    <w:left w:val="none" w:sz="0" w:space="0" w:color="auto"/>
                    <w:bottom w:val="none" w:sz="0" w:space="0" w:color="auto"/>
                    <w:right w:val="none" w:sz="0" w:space="0" w:color="auto"/>
                  </w:divBdr>
                </w:div>
                <w:div w:id="801188230">
                  <w:marLeft w:val="0"/>
                  <w:marRight w:val="0"/>
                  <w:marTop w:val="0"/>
                  <w:marBottom w:val="0"/>
                  <w:divBdr>
                    <w:top w:val="none" w:sz="0" w:space="0" w:color="auto"/>
                    <w:left w:val="none" w:sz="0" w:space="0" w:color="auto"/>
                    <w:bottom w:val="none" w:sz="0" w:space="0" w:color="auto"/>
                    <w:right w:val="none" w:sz="0" w:space="0" w:color="auto"/>
                  </w:divBdr>
                </w:div>
                <w:div w:id="534274777">
                  <w:marLeft w:val="0"/>
                  <w:marRight w:val="0"/>
                  <w:marTop w:val="0"/>
                  <w:marBottom w:val="0"/>
                  <w:divBdr>
                    <w:top w:val="none" w:sz="0" w:space="0" w:color="auto"/>
                    <w:left w:val="none" w:sz="0" w:space="0" w:color="auto"/>
                    <w:bottom w:val="none" w:sz="0" w:space="0" w:color="auto"/>
                    <w:right w:val="none" w:sz="0" w:space="0" w:color="auto"/>
                  </w:divBdr>
                </w:div>
                <w:div w:id="1329332976">
                  <w:marLeft w:val="0"/>
                  <w:marRight w:val="0"/>
                  <w:marTop w:val="0"/>
                  <w:marBottom w:val="0"/>
                  <w:divBdr>
                    <w:top w:val="none" w:sz="0" w:space="0" w:color="auto"/>
                    <w:left w:val="none" w:sz="0" w:space="0" w:color="auto"/>
                    <w:bottom w:val="none" w:sz="0" w:space="0" w:color="auto"/>
                    <w:right w:val="none" w:sz="0" w:space="0" w:color="auto"/>
                  </w:divBdr>
                </w:div>
                <w:div w:id="1098141532">
                  <w:marLeft w:val="0"/>
                  <w:marRight w:val="0"/>
                  <w:marTop w:val="0"/>
                  <w:marBottom w:val="0"/>
                  <w:divBdr>
                    <w:top w:val="none" w:sz="0" w:space="0" w:color="auto"/>
                    <w:left w:val="none" w:sz="0" w:space="0" w:color="auto"/>
                    <w:bottom w:val="none" w:sz="0" w:space="0" w:color="auto"/>
                    <w:right w:val="none" w:sz="0" w:space="0" w:color="auto"/>
                  </w:divBdr>
                </w:div>
                <w:div w:id="599022087">
                  <w:marLeft w:val="0"/>
                  <w:marRight w:val="0"/>
                  <w:marTop w:val="0"/>
                  <w:marBottom w:val="0"/>
                  <w:divBdr>
                    <w:top w:val="none" w:sz="0" w:space="0" w:color="auto"/>
                    <w:left w:val="none" w:sz="0" w:space="0" w:color="auto"/>
                    <w:bottom w:val="none" w:sz="0" w:space="0" w:color="auto"/>
                    <w:right w:val="none" w:sz="0" w:space="0" w:color="auto"/>
                  </w:divBdr>
                </w:div>
                <w:div w:id="1416367056">
                  <w:marLeft w:val="0"/>
                  <w:marRight w:val="0"/>
                  <w:marTop w:val="0"/>
                  <w:marBottom w:val="0"/>
                  <w:divBdr>
                    <w:top w:val="none" w:sz="0" w:space="0" w:color="auto"/>
                    <w:left w:val="none" w:sz="0" w:space="0" w:color="auto"/>
                    <w:bottom w:val="none" w:sz="0" w:space="0" w:color="auto"/>
                    <w:right w:val="none" w:sz="0" w:space="0" w:color="auto"/>
                  </w:divBdr>
                </w:div>
                <w:div w:id="1047221860">
                  <w:marLeft w:val="0"/>
                  <w:marRight w:val="0"/>
                  <w:marTop w:val="0"/>
                  <w:marBottom w:val="0"/>
                  <w:divBdr>
                    <w:top w:val="none" w:sz="0" w:space="0" w:color="auto"/>
                    <w:left w:val="none" w:sz="0" w:space="0" w:color="auto"/>
                    <w:bottom w:val="none" w:sz="0" w:space="0" w:color="auto"/>
                    <w:right w:val="none" w:sz="0" w:space="0" w:color="auto"/>
                  </w:divBdr>
                </w:div>
                <w:div w:id="1686903994">
                  <w:marLeft w:val="0"/>
                  <w:marRight w:val="0"/>
                  <w:marTop w:val="0"/>
                  <w:marBottom w:val="0"/>
                  <w:divBdr>
                    <w:top w:val="none" w:sz="0" w:space="0" w:color="auto"/>
                    <w:left w:val="none" w:sz="0" w:space="0" w:color="auto"/>
                    <w:bottom w:val="none" w:sz="0" w:space="0" w:color="auto"/>
                    <w:right w:val="none" w:sz="0" w:space="0" w:color="auto"/>
                  </w:divBdr>
                </w:div>
                <w:div w:id="349841787">
                  <w:marLeft w:val="0"/>
                  <w:marRight w:val="0"/>
                  <w:marTop w:val="0"/>
                  <w:marBottom w:val="0"/>
                  <w:divBdr>
                    <w:top w:val="none" w:sz="0" w:space="0" w:color="auto"/>
                    <w:left w:val="none" w:sz="0" w:space="0" w:color="auto"/>
                    <w:bottom w:val="none" w:sz="0" w:space="0" w:color="auto"/>
                    <w:right w:val="none" w:sz="0" w:space="0" w:color="auto"/>
                  </w:divBdr>
                </w:div>
                <w:div w:id="1703481583">
                  <w:marLeft w:val="0"/>
                  <w:marRight w:val="0"/>
                  <w:marTop w:val="0"/>
                  <w:marBottom w:val="0"/>
                  <w:divBdr>
                    <w:top w:val="none" w:sz="0" w:space="0" w:color="auto"/>
                    <w:left w:val="none" w:sz="0" w:space="0" w:color="auto"/>
                    <w:bottom w:val="none" w:sz="0" w:space="0" w:color="auto"/>
                    <w:right w:val="none" w:sz="0" w:space="0" w:color="auto"/>
                  </w:divBdr>
                </w:div>
                <w:div w:id="574825365">
                  <w:marLeft w:val="0"/>
                  <w:marRight w:val="0"/>
                  <w:marTop w:val="0"/>
                  <w:marBottom w:val="0"/>
                  <w:divBdr>
                    <w:top w:val="none" w:sz="0" w:space="0" w:color="auto"/>
                    <w:left w:val="none" w:sz="0" w:space="0" w:color="auto"/>
                    <w:bottom w:val="none" w:sz="0" w:space="0" w:color="auto"/>
                    <w:right w:val="none" w:sz="0" w:space="0" w:color="auto"/>
                  </w:divBdr>
                </w:div>
                <w:div w:id="534926855">
                  <w:marLeft w:val="0"/>
                  <w:marRight w:val="0"/>
                  <w:marTop w:val="0"/>
                  <w:marBottom w:val="0"/>
                  <w:divBdr>
                    <w:top w:val="none" w:sz="0" w:space="0" w:color="auto"/>
                    <w:left w:val="none" w:sz="0" w:space="0" w:color="auto"/>
                    <w:bottom w:val="none" w:sz="0" w:space="0" w:color="auto"/>
                    <w:right w:val="none" w:sz="0" w:space="0" w:color="auto"/>
                  </w:divBdr>
                </w:div>
                <w:div w:id="1706445646">
                  <w:marLeft w:val="0"/>
                  <w:marRight w:val="0"/>
                  <w:marTop w:val="0"/>
                  <w:marBottom w:val="0"/>
                  <w:divBdr>
                    <w:top w:val="none" w:sz="0" w:space="0" w:color="auto"/>
                    <w:left w:val="none" w:sz="0" w:space="0" w:color="auto"/>
                    <w:bottom w:val="none" w:sz="0" w:space="0" w:color="auto"/>
                    <w:right w:val="none" w:sz="0" w:space="0" w:color="auto"/>
                  </w:divBdr>
                </w:div>
                <w:div w:id="343094227">
                  <w:marLeft w:val="0"/>
                  <w:marRight w:val="0"/>
                  <w:marTop w:val="0"/>
                  <w:marBottom w:val="0"/>
                  <w:divBdr>
                    <w:top w:val="none" w:sz="0" w:space="0" w:color="auto"/>
                    <w:left w:val="none" w:sz="0" w:space="0" w:color="auto"/>
                    <w:bottom w:val="none" w:sz="0" w:space="0" w:color="auto"/>
                    <w:right w:val="none" w:sz="0" w:space="0" w:color="auto"/>
                  </w:divBdr>
                </w:div>
                <w:div w:id="1133330920">
                  <w:marLeft w:val="0"/>
                  <w:marRight w:val="0"/>
                  <w:marTop w:val="0"/>
                  <w:marBottom w:val="0"/>
                  <w:divBdr>
                    <w:top w:val="none" w:sz="0" w:space="0" w:color="auto"/>
                    <w:left w:val="none" w:sz="0" w:space="0" w:color="auto"/>
                    <w:bottom w:val="none" w:sz="0" w:space="0" w:color="auto"/>
                    <w:right w:val="none" w:sz="0" w:space="0" w:color="auto"/>
                  </w:divBdr>
                </w:div>
                <w:div w:id="1934164248">
                  <w:marLeft w:val="0"/>
                  <w:marRight w:val="0"/>
                  <w:marTop w:val="0"/>
                  <w:marBottom w:val="0"/>
                  <w:divBdr>
                    <w:top w:val="none" w:sz="0" w:space="0" w:color="auto"/>
                    <w:left w:val="none" w:sz="0" w:space="0" w:color="auto"/>
                    <w:bottom w:val="none" w:sz="0" w:space="0" w:color="auto"/>
                    <w:right w:val="none" w:sz="0" w:space="0" w:color="auto"/>
                  </w:divBdr>
                </w:div>
                <w:div w:id="189781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41636">
          <w:marLeft w:val="0"/>
          <w:marRight w:val="0"/>
          <w:marTop w:val="15"/>
          <w:marBottom w:val="0"/>
          <w:divBdr>
            <w:top w:val="none" w:sz="0" w:space="0" w:color="auto"/>
            <w:left w:val="none" w:sz="0" w:space="0" w:color="auto"/>
            <w:bottom w:val="none" w:sz="0" w:space="0" w:color="auto"/>
            <w:right w:val="none" w:sz="0" w:space="0" w:color="auto"/>
          </w:divBdr>
          <w:divsChild>
            <w:div w:id="2058501962">
              <w:marLeft w:val="0"/>
              <w:marRight w:val="0"/>
              <w:marTop w:val="0"/>
              <w:marBottom w:val="0"/>
              <w:divBdr>
                <w:top w:val="none" w:sz="0" w:space="0" w:color="auto"/>
                <w:left w:val="none" w:sz="0" w:space="0" w:color="auto"/>
                <w:bottom w:val="none" w:sz="0" w:space="0" w:color="auto"/>
                <w:right w:val="none" w:sz="0" w:space="0" w:color="auto"/>
              </w:divBdr>
              <w:divsChild>
                <w:div w:id="1609042464">
                  <w:marLeft w:val="0"/>
                  <w:marRight w:val="0"/>
                  <w:marTop w:val="0"/>
                  <w:marBottom w:val="0"/>
                  <w:divBdr>
                    <w:top w:val="none" w:sz="0" w:space="0" w:color="auto"/>
                    <w:left w:val="none" w:sz="0" w:space="0" w:color="auto"/>
                    <w:bottom w:val="none" w:sz="0" w:space="0" w:color="auto"/>
                    <w:right w:val="none" w:sz="0" w:space="0" w:color="auto"/>
                  </w:divBdr>
                </w:div>
                <w:div w:id="1921061955">
                  <w:marLeft w:val="0"/>
                  <w:marRight w:val="0"/>
                  <w:marTop w:val="0"/>
                  <w:marBottom w:val="0"/>
                  <w:divBdr>
                    <w:top w:val="none" w:sz="0" w:space="0" w:color="auto"/>
                    <w:left w:val="none" w:sz="0" w:space="0" w:color="auto"/>
                    <w:bottom w:val="none" w:sz="0" w:space="0" w:color="auto"/>
                    <w:right w:val="none" w:sz="0" w:space="0" w:color="auto"/>
                  </w:divBdr>
                </w:div>
                <w:div w:id="1438132483">
                  <w:marLeft w:val="0"/>
                  <w:marRight w:val="0"/>
                  <w:marTop w:val="0"/>
                  <w:marBottom w:val="0"/>
                  <w:divBdr>
                    <w:top w:val="none" w:sz="0" w:space="0" w:color="auto"/>
                    <w:left w:val="none" w:sz="0" w:space="0" w:color="auto"/>
                    <w:bottom w:val="none" w:sz="0" w:space="0" w:color="auto"/>
                    <w:right w:val="none" w:sz="0" w:space="0" w:color="auto"/>
                  </w:divBdr>
                </w:div>
                <w:div w:id="1963999495">
                  <w:marLeft w:val="0"/>
                  <w:marRight w:val="0"/>
                  <w:marTop w:val="0"/>
                  <w:marBottom w:val="0"/>
                  <w:divBdr>
                    <w:top w:val="none" w:sz="0" w:space="0" w:color="auto"/>
                    <w:left w:val="none" w:sz="0" w:space="0" w:color="auto"/>
                    <w:bottom w:val="none" w:sz="0" w:space="0" w:color="auto"/>
                    <w:right w:val="none" w:sz="0" w:space="0" w:color="auto"/>
                  </w:divBdr>
                </w:div>
                <w:div w:id="1042251097">
                  <w:marLeft w:val="0"/>
                  <w:marRight w:val="0"/>
                  <w:marTop w:val="0"/>
                  <w:marBottom w:val="0"/>
                  <w:divBdr>
                    <w:top w:val="none" w:sz="0" w:space="0" w:color="auto"/>
                    <w:left w:val="none" w:sz="0" w:space="0" w:color="auto"/>
                    <w:bottom w:val="none" w:sz="0" w:space="0" w:color="auto"/>
                    <w:right w:val="none" w:sz="0" w:space="0" w:color="auto"/>
                  </w:divBdr>
                </w:div>
                <w:div w:id="1587767230">
                  <w:marLeft w:val="0"/>
                  <w:marRight w:val="0"/>
                  <w:marTop w:val="0"/>
                  <w:marBottom w:val="0"/>
                  <w:divBdr>
                    <w:top w:val="none" w:sz="0" w:space="0" w:color="auto"/>
                    <w:left w:val="none" w:sz="0" w:space="0" w:color="auto"/>
                    <w:bottom w:val="none" w:sz="0" w:space="0" w:color="auto"/>
                    <w:right w:val="none" w:sz="0" w:space="0" w:color="auto"/>
                  </w:divBdr>
                </w:div>
                <w:div w:id="92821528">
                  <w:marLeft w:val="0"/>
                  <w:marRight w:val="0"/>
                  <w:marTop w:val="0"/>
                  <w:marBottom w:val="0"/>
                  <w:divBdr>
                    <w:top w:val="none" w:sz="0" w:space="0" w:color="auto"/>
                    <w:left w:val="none" w:sz="0" w:space="0" w:color="auto"/>
                    <w:bottom w:val="none" w:sz="0" w:space="0" w:color="auto"/>
                    <w:right w:val="none" w:sz="0" w:space="0" w:color="auto"/>
                  </w:divBdr>
                </w:div>
                <w:div w:id="695081974">
                  <w:marLeft w:val="0"/>
                  <w:marRight w:val="0"/>
                  <w:marTop w:val="0"/>
                  <w:marBottom w:val="0"/>
                  <w:divBdr>
                    <w:top w:val="none" w:sz="0" w:space="0" w:color="auto"/>
                    <w:left w:val="none" w:sz="0" w:space="0" w:color="auto"/>
                    <w:bottom w:val="none" w:sz="0" w:space="0" w:color="auto"/>
                    <w:right w:val="none" w:sz="0" w:space="0" w:color="auto"/>
                  </w:divBdr>
                </w:div>
                <w:div w:id="986860603">
                  <w:marLeft w:val="0"/>
                  <w:marRight w:val="0"/>
                  <w:marTop w:val="0"/>
                  <w:marBottom w:val="0"/>
                  <w:divBdr>
                    <w:top w:val="none" w:sz="0" w:space="0" w:color="auto"/>
                    <w:left w:val="none" w:sz="0" w:space="0" w:color="auto"/>
                    <w:bottom w:val="none" w:sz="0" w:space="0" w:color="auto"/>
                    <w:right w:val="none" w:sz="0" w:space="0" w:color="auto"/>
                  </w:divBdr>
                </w:div>
                <w:div w:id="611715246">
                  <w:marLeft w:val="0"/>
                  <w:marRight w:val="0"/>
                  <w:marTop w:val="0"/>
                  <w:marBottom w:val="0"/>
                  <w:divBdr>
                    <w:top w:val="none" w:sz="0" w:space="0" w:color="auto"/>
                    <w:left w:val="none" w:sz="0" w:space="0" w:color="auto"/>
                    <w:bottom w:val="none" w:sz="0" w:space="0" w:color="auto"/>
                    <w:right w:val="none" w:sz="0" w:space="0" w:color="auto"/>
                  </w:divBdr>
                </w:div>
                <w:div w:id="2111852173">
                  <w:marLeft w:val="0"/>
                  <w:marRight w:val="0"/>
                  <w:marTop w:val="0"/>
                  <w:marBottom w:val="0"/>
                  <w:divBdr>
                    <w:top w:val="none" w:sz="0" w:space="0" w:color="auto"/>
                    <w:left w:val="none" w:sz="0" w:space="0" w:color="auto"/>
                    <w:bottom w:val="none" w:sz="0" w:space="0" w:color="auto"/>
                    <w:right w:val="none" w:sz="0" w:space="0" w:color="auto"/>
                  </w:divBdr>
                </w:div>
                <w:div w:id="503789797">
                  <w:marLeft w:val="0"/>
                  <w:marRight w:val="0"/>
                  <w:marTop w:val="0"/>
                  <w:marBottom w:val="0"/>
                  <w:divBdr>
                    <w:top w:val="none" w:sz="0" w:space="0" w:color="auto"/>
                    <w:left w:val="none" w:sz="0" w:space="0" w:color="auto"/>
                    <w:bottom w:val="none" w:sz="0" w:space="0" w:color="auto"/>
                    <w:right w:val="none" w:sz="0" w:space="0" w:color="auto"/>
                  </w:divBdr>
                </w:div>
                <w:div w:id="916324614">
                  <w:marLeft w:val="0"/>
                  <w:marRight w:val="0"/>
                  <w:marTop w:val="0"/>
                  <w:marBottom w:val="0"/>
                  <w:divBdr>
                    <w:top w:val="none" w:sz="0" w:space="0" w:color="auto"/>
                    <w:left w:val="none" w:sz="0" w:space="0" w:color="auto"/>
                    <w:bottom w:val="none" w:sz="0" w:space="0" w:color="auto"/>
                    <w:right w:val="none" w:sz="0" w:space="0" w:color="auto"/>
                  </w:divBdr>
                </w:div>
                <w:div w:id="1541556055">
                  <w:marLeft w:val="0"/>
                  <w:marRight w:val="0"/>
                  <w:marTop w:val="0"/>
                  <w:marBottom w:val="0"/>
                  <w:divBdr>
                    <w:top w:val="none" w:sz="0" w:space="0" w:color="auto"/>
                    <w:left w:val="none" w:sz="0" w:space="0" w:color="auto"/>
                    <w:bottom w:val="none" w:sz="0" w:space="0" w:color="auto"/>
                    <w:right w:val="none" w:sz="0" w:space="0" w:color="auto"/>
                  </w:divBdr>
                </w:div>
                <w:div w:id="1933199784">
                  <w:marLeft w:val="0"/>
                  <w:marRight w:val="0"/>
                  <w:marTop w:val="0"/>
                  <w:marBottom w:val="0"/>
                  <w:divBdr>
                    <w:top w:val="none" w:sz="0" w:space="0" w:color="auto"/>
                    <w:left w:val="none" w:sz="0" w:space="0" w:color="auto"/>
                    <w:bottom w:val="none" w:sz="0" w:space="0" w:color="auto"/>
                    <w:right w:val="none" w:sz="0" w:space="0" w:color="auto"/>
                  </w:divBdr>
                </w:div>
                <w:div w:id="1437677142">
                  <w:marLeft w:val="0"/>
                  <w:marRight w:val="0"/>
                  <w:marTop w:val="0"/>
                  <w:marBottom w:val="0"/>
                  <w:divBdr>
                    <w:top w:val="none" w:sz="0" w:space="0" w:color="auto"/>
                    <w:left w:val="none" w:sz="0" w:space="0" w:color="auto"/>
                    <w:bottom w:val="none" w:sz="0" w:space="0" w:color="auto"/>
                    <w:right w:val="none" w:sz="0" w:space="0" w:color="auto"/>
                  </w:divBdr>
                </w:div>
                <w:div w:id="108092312">
                  <w:marLeft w:val="0"/>
                  <w:marRight w:val="0"/>
                  <w:marTop w:val="0"/>
                  <w:marBottom w:val="0"/>
                  <w:divBdr>
                    <w:top w:val="none" w:sz="0" w:space="0" w:color="auto"/>
                    <w:left w:val="none" w:sz="0" w:space="0" w:color="auto"/>
                    <w:bottom w:val="none" w:sz="0" w:space="0" w:color="auto"/>
                    <w:right w:val="none" w:sz="0" w:space="0" w:color="auto"/>
                  </w:divBdr>
                </w:div>
                <w:div w:id="2050761248">
                  <w:marLeft w:val="0"/>
                  <w:marRight w:val="0"/>
                  <w:marTop w:val="0"/>
                  <w:marBottom w:val="0"/>
                  <w:divBdr>
                    <w:top w:val="none" w:sz="0" w:space="0" w:color="auto"/>
                    <w:left w:val="none" w:sz="0" w:space="0" w:color="auto"/>
                    <w:bottom w:val="none" w:sz="0" w:space="0" w:color="auto"/>
                    <w:right w:val="none" w:sz="0" w:space="0" w:color="auto"/>
                  </w:divBdr>
                </w:div>
                <w:div w:id="902716946">
                  <w:marLeft w:val="0"/>
                  <w:marRight w:val="0"/>
                  <w:marTop w:val="0"/>
                  <w:marBottom w:val="0"/>
                  <w:divBdr>
                    <w:top w:val="none" w:sz="0" w:space="0" w:color="auto"/>
                    <w:left w:val="none" w:sz="0" w:space="0" w:color="auto"/>
                    <w:bottom w:val="none" w:sz="0" w:space="0" w:color="auto"/>
                    <w:right w:val="none" w:sz="0" w:space="0" w:color="auto"/>
                  </w:divBdr>
                </w:div>
                <w:div w:id="1923029918">
                  <w:marLeft w:val="0"/>
                  <w:marRight w:val="0"/>
                  <w:marTop w:val="0"/>
                  <w:marBottom w:val="0"/>
                  <w:divBdr>
                    <w:top w:val="none" w:sz="0" w:space="0" w:color="auto"/>
                    <w:left w:val="none" w:sz="0" w:space="0" w:color="auto"/>
                    <w:bottom w:val="none" w:sz="0" w:space="0" w:color="auto"/>
                    <w:right w:val="none" w:sz="0" w:space="0" w:color="auto"/>
                  </w:divBdr>
                </w:div>
                <w:div w:id="331686339">
                  <w:marLeft w:val="0"/>
                  <w:marRight w:val="0"/>
                  <w:marTop w:val="0"/>
                  <w:marBottom w:val="0"/>
                  <w:divBdr>
                    <w:top w:val="none" w:sz="0" w:space="0" w:color="auto"/>
                    <w:left w:val="none" w:sz="0" w:space="0" w:color="auto"/>
                    <w:bottom w:val="none" w:sz="0" w:space="0" w:color="auto"/>
                    <w:right w:val="none" w:sz="0" w:space="0" w:color="auto"/>
                  </w:divBdr>
                </w:div>
                <w:div w:id="922185554">
                  <w:marLeft w:val="0"/>
                  <w:marRight w:val="0"/>
                  <w:marTop w:val="0"/>
                  <w:marBottom w:val="0"/>
                  <w:divBdr>
                    <w:top w:val="none" w:sz="0" w:space="0" w:color="auto"/>
                    <w:left w:val="none" w:sz="0" w:space="0" w:color="auto"/>
                    <w:bottom w:val="none" w:sz="0" w:space="0" w:color="auto"/>
                    <w:right w:val="none" w:sz="0" w:space="0" w:color="auto"/>
                  </w:divBdr>
                </w:div>
                <w:div w:id="1271430995">
                  <w:marLeft w:val="0"/>
                  <w:marRight w:val="0"/>
                  <w:marTop w:val="0"/>
                  <w:marBottom w:val="0"/>
                  <w:divBdr>
                    <w:top w:val="none" w:sz="0" w:space="0" w:color="auto"/>
                    <w:left w:val="none" w:sz="0" w:space="0" w:color="auto"/>
                    <w:bottom w:val="none" w:sz="0" w:space="0" w:color="auto"/>
                    <w:right w:val="none" w:sz="0" w:space="0" w:color="auto"/>
                  </w:divBdr>
                </w:div>
                <w:div w:id="1354108320">
                  <w:marLeft w:val="0"/>
                  <w:marRight w:val="0"/>
                  <w:marTop w:val="0"/>
                  <w:marBottom w:val="0"/>
                  <w:divBdr>
                    <w:top w:val="none" w:sz="0" w:space="0" w:color="auto"/>
                    <w:left w:val="none" w:sz="0" w:space="0" w:color="auto"/>
                    <w:bottom w:val="none" w:sz="0" w:space="0" w:color="auto"/>
                    <w:right w:val="none" w:sz="0" w:space="0" w:color="auto"/>
                  </w:divBdr>
                </w:div>
                <w:div w:id="999773202">
                  <w:marLeft w:val="0"/>
                  <w:marRight w:val="0"/>
                  <w:marTop w:val="0"/>
                  <w:marBottom w:val="0"/>
                  <w:divBdr>
                    <w:top w:val="none" w:sz="0" w:space="0" w:color="auto"/>
                    <w:left w:val="none" w:sz="0" w:space="0" w:color="auto"/>
                    <w:bottom w:val="none" w:sz="0" w:space="0" w:color="auto"/>
                    <w:right w:val="none" w:sz="0" w:space="0" w:color="auto"/>
                  </w:divBdr>
                </w:div>
                <w:div w:id="1479224349">
                  <w:marLeft w:val="0"/>
                  <w:marRight w:val="0"/>
                  <w:marTop w:val="0"/>
                  <w:marBottom w:val="0"/>
                  <w:divBdr>
                    <w:top w:val="none" w:sz="0" w:space="0" w:color="auto"/>
                    <w:left w:val="none" w:sz="0" w:space="0" w:color="auto"/>
                    <w:bottom w:val="none" w:sz="0" w:space="0" w:color="auto"/>
                    <w:right w:val="none" w:sz="0" w:space="0" w:color="auto"/>
                  </w:divBdr>
                </w:div>
                <w:div w:id="1960405579">
                  <w:marLeft w:val="0"/>
                  <w:marRight w:val="0"/>
                  <w:marTop w:val="0"/>
                  <w:marBottom w:val="0"/>
                  <w:divBdr>
                    <w:top w:val="none" w:sz="0" w:space="0" w:color="auto"/>
                    <w:left w:val="none" w:sz="0" w:space="0" w:color="auto"/>
                    <w:bottom w:val="none" w:sz="0" w:space="0" w:color="auto"/>
                    <w:right w:val="none" w:sz="0" w:space="0" w:color="auto"/>
                  </w:divBdr>
                </w:div>
                <w:div w:id="189716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924480">
          <w:marLeft w:val="0"/>
          <w:marRight w:val="0"/>
          <w:marTop w:val="15"/>
          <w:marBottom w:val="0"/>
          <w:divBdr>
            <w:top w:val="none" w:sz="0" w:space="0" w:color="auto"/>
            <w:left w:val="none" w:sz="0" w:space="0" w:color="auto"/>
            <w:bottom w:val="none" w:sz="0" w:space="0" w:color="auto"/>
            <w:right w:val="none" w:sz="0" w:space="0" w:color="auto"/>
          </w:divBdr>
          <w:divsChild>
            <w:div w:id="893270753">
              <w:marLeft w:val="0"/>
              <w:marRight w:val="0"/>
              <w:marTop w:val="0"/>
              <w:marBottom w:val="0"/>
              <w:divBdr>
                <w:top w:val="none" w:sz="0" w:space="0" w:color="auto"/>
                <w:left w:val="none" w:sz="0" w:space="0" w:color="auto"/>
                <w:bottom w:val="none" w:sz="0" w:space="0" w:color="auto"/>
                <w:right w:val="none" w:sz="0" w:space="0" w:color="auto"/>
              </w:divBdr>
              <w:divsChild>
                <w:div w:id="1482769640">
                  <w:marLeft w:val="0"/>
                  <w:marRight w:val="0"/>
                  <w:marTop w:val="0"/>
                  <w:marBottom w:val="0"/>
                  <w:divBdr>
                    <w:top w:val="none" w:sz="0" w:space="0" w:color="auto"/>
                    <w:left w:val="none" w:sz="0" w:space="0" w:color="auto"/>
                    <w:bottom w:val="none" w:sz="0" w:space="0" w:color="auto"/>
                    <w:right w:val="none" w:sz="0" w:space="0" w:color="auto"/>
                  </w:divBdr>
                </w:div>
                <w:div w:id="494809401">
                  <w:marLeft w:val="0"/>
                  <w:marRight w:val="0"/>
                  <w:marTop w:val="0"/>
                  <w:marBottom w:val="0"/>
                  <w:divBdr>
                    <w:top w:val="none" w:sz="0" w:space="0" w:color="auto"/>
                    <w:left w:val="none" w:sz="0" w:space="0" w:color="auto"/>
                    <w:bottom w:val="none" w:sz="0" w:space="0" w:color="auto"/>
                    <w:right w:val="none" w:sz="0" w:space="0" w:color="auto"/>
                  </w:divBdr>
                </w:div>
                <w:div w:id="788308">
                  <w:marLeft w:val="0"/>
                  <w:marRight w:val="0"/>
                  <w:marTop w:val="0"/>
                  <w:marBottom w:val="0"/>
                  <w:divBdr>
                    <w:top w:val="none" w:sz="0" w:space="0" w:color="auto"/>
                    <w:left w:val="none" w:sz="0" w:space="0" w:color="auto"/>
                    <w:bottom w:val="none" w:sz="0" w:space="0" w:color="auto"/>
                    <w:right w:val="none" w:sz="0" w:space="0" w:color="auto"/>
                  </w:divBdr>
                </w:div>
                <w:div w:id="431048597">
                  <w:marLeft w:val="0"/>
                  <w:marRight w:val="0"/>
                  <w:marTop w:val="0"/>
                  <w:marBottom w:val="0"/>
                  <w:divBdr>
                    <w:top w:val="none" w:sz="0" w:space="0" w:color="auto"/>
                    <w:left w:val="none" w:sz="0" w:space="0" w:color="auto"/>
                    <w:bottom w:val="none" w:sz="0" w:space="0" w:color="auto"/>
                    <w:right w:val="none" w:sz="0" w:space="0" w:color="auto"/>
                  </w:divBdr>
                </w:div>
                <w:div w:id="1025716508">
                  <w:marLeft w:val="0"/>
                  <w:marRight w:val="0"/>
                  <w:marTop w:val="0"/>
                  <w:marBottom w:val="0"/>
                  <w:divBdr>
                    <w:top w:val="none" w:sz="0" w:space="0" w:color="auto"/>
                    <w:left w:val="none" w:sz="0" w:space="0" w:color="auto"/>
                    <w:bottom w:val="none" w:sz="0" w:space="0" w:color="auto"/>
                    <w:right w:val="none" w:sz="0" w:space="0" w:color="auto"/>
                  </w:divBdr>
                </w:div>
                <w:div w:id="628512921">
                  <w:marLeft w:val="0"/>
                  <w:marRight w:val="0"/>
                  <w:marTop w:val="0"/>
                  <w:marBottom w:val="0"/>
                  <w:divBdr>
                    <w:top w:val="none" w:sz="0" w:space="0" w:color="auto"/>
                    <w:left w:val="none" w:sz="0" w:space="0" w:color="auto"/>
                    <w:bottom w:val="none" w:sz="0" w:space="0" w:color="auto"/>
                    <w:right w:val="none" w:sz="0" w:space="0" w:color="auto"/>
                  </w:divBdr>
                </w:div>
                <w:div w:id="389622605">
                  <w:marLeft w:val="0"/>
                  <w:marRight w:val="0"/>
                  <w:marTop w:val="0"/>
                  <w:marBottom w:val="0"/>
                  <w:divBdr>
                    <w:top w:val="none" w:sz="0" w:space="0" w:color="auto"/>
                    <w:left w:val="none" w:sz="0" w:space="0" w:color="auto"/>
                    <w:bottom w:val="none" w:sz="0" w:space="0" w:color="auto"/>
                    <w:right w:val="none" w:sz="0" w:space="0" w:color="auto"/>
                  </w:divBdr>
                </w:div>
                <w:div w:id="1152719517">
                  <w:marLeft w:val="0"/>
                  <w:marRight w:val="0"/>
                  <w:marTop w:val="0"/>
                  <w:marBottom w:val="0"/>
                  <w:divBdr>
                    <w:top w:val="none" w:sz="0" w:space="0" w:color="auto"/>
                    <w:left w:val="none" w:sz="0" w:space="0" w:color="auto"/>
                    <w:bottom w:val="none" w:sz="0" w:space="0" w:color="auto"/>
                    <w:right w:val="none" w:sz="0" w:space="0" w:color="auto"/>
                  </w:divBdr>
                </w:div>
                <w:div w:id="396631645">
                  <w:marLeft w:val="0"/>
                  <w:marRight w:val="0"/>
                  <w:marTop w:val="0"/>
                  <w:marBottom w:val="0"/>
                  <w:divBdr>
                    <w:top w:val="none" w:sz="0" w:space="0" w:color="auto"/>
                    <w:left w:val="none" w:sz="0" w:space="0" w:color="auto"/>
                    <w:bottom w:val="none" w:sz="0" w:space="0" w:color="auto"/>
                    <w:right w:val="none" w:sz="0" w:space="0" w:color="auto"/>
                  </w:divBdr>
                </w:div>
                <w:div w:id="1425998356">
                  <w:marLeft w:val="0"/>
                  <w:marRight w:val="0"/>
                  <w:marTop w:val="0"/>
                  <w:marBottom w:val="0"/>
                  <w:divBdr>
                    <w:top w:val="none" w:sz="0" w:space="0" w:color="auto"/>
                    <w:left w:val="none" w:sz="0" w:space="0" w:color="auto"/>
                    <w:bottom w:val="none" w:sz="0" w:space="0" w:color="auto"/>
                    <w:right w:val="none" w:sz="0" w:space="0" w:color="auto"/>
                  </w:divBdr>
                </w:div>
                <w:div w:id="1275751517">
                  <w:marLeft w:val="0"/>
                  <w:marRight w:val="0"/>
                  <w:marTop w:val="0"/>
                  <w:marBottom w:val="0"/>
                  <w:divBdr>
                    <w:top w:val="none" w:sz="0" w:space="0" w:color="auto"/>
                    <w:left w:val="none" w:sz="0" w:space="0" w:color="auto"/>
                    <w:bottom w:val="none" w:sz="0" w:space="0" w:color="auto"/>
                    <w:right w:val="none" w:sz="0" w:space="0" w:color="auto"/>
                  </w:divBdr>
                </w:div>
                <w:div w:id="1401976837">
                  <w:marLeft w:val="0"/>
                  <w:marRight w:val="0"/>
                  <w:marTop w:val="0"/>
                  <w:marBottom w:val="0"/>
                  <w:divBdr>
                    <w:top w:val="none" w:sz="0" w:space="0" w:color="auto"/>
                    <w:left w:val="none" w:sz="0" w:space="0" w:color="auto"/>
                    <w:bottom w:val="none" w:sz="0" w:space="0" w:color="auto"/>
                    <w:right w:val="none" w:sz="0" w:space="0" w:color="auto"/>
                  </w:divBdr>
                </w:div>
                <w:div w:id="379060250">
                  <w:marLeft w:val="0"/>
                  <w:marRight w:val="0"/>
                  <w:marTop w:val="0"/>
                  <w:marBottom w:val="0"/>
                  <w:divBdr>
                    <w:top w:val="none" w:sz="0" w:space="0" w:color="auto"/>
                    <w:left w:val="none" w:sz="0" w:space="0" w:color="auto"/>
                    <w:bottom w:val="none" w:sz="0" w:space="0" w:color="auto"/>
                    <w:right w:val="none" w:sz="0" w:space="0" w:color="auto"/>
                  </w:divBdr>
                </w:div>
                <w:div w:id="2061243438">
                  <w:marLeft w:val="0"/>
                  <w:marRight w:val="0"/>
                  <w:marTop w:val="0"/>
                  <w:marBottom w:val="0"/>
                  <w:divBdr>
                    <w:top w:val="none" w:sz="0" w:space="0" w:color="auto"/>
                    <w:left w:val="none" w:sz="0" w:space="0" w:color="auto"/>
                    <w:bottom w:val="none" w:sz="0" w:space="0" w:color="auto"/>
                    <w:right w:val="none" w:sz="0" w:space="0" w:color="auto"/>
                  </w:divBdr>
                </w:div>
                <w:div w:id="638264849">
                  <w:marLeft w:val="0"/>
                  <w:marRight w:val="0"/>
                  <w:marTop w:val="0"/>
                  <w:marBottom w:val="0"/>
                  <w:divBdr>
                    <w:top w:val="none" w:sz="0" w:space="0" w:color="auto"/>
                    <w:left w:val="none" w:sz="0" w:space="0" w:color="auto"/>
                    <w:bottom w:val="none" w:sz="0" w:space="0" w:color="auto"/>
                    <w:right w:val="none" w:sz="0" w:space="0" w:color="auto"/>
                  </w:divBdr>
                </w:div>
                <w:div w:id="1934237855">
                  <w:marLeft w:val="0"/>
                  <w:marRight w:val="0"/>
                  <w:marTop w:val="0"/>
                  <w:marBottom w:val="0"/>
                  <w:divBdr>
                    <w:top w:val="none" w:sz="0" w:space="0" w:color="auto"/>
                    <w:left w:val="none" w:sz="0" w:space="0" w:color="auto"/>
                    <w:bottom w:val="none" w:sz="0" w:space="0" w:color="auto"/>
                    <w:right w:val="none" w:sz="0" w:space="0" w:color="auto"/>
                  </w:divBdr>
                </w:div>
                <w:div w:id="36781531">
                  <w:marLeft w:val="0"/>
                  <w:marRight w:val="0"/>
                  <w:marTop w:val="0"/>
                  <w:marBottom w:val="0"/>
                  <w:divBdr>
                    <w:top w:val="none" w:sz="0" w:space="0" w:color="auto"/>
                    <w:left w:val="none" w:sz="0" w:space="0" w:color="auto"/>
                    <w:bottom w:val="none" w:sz="0" w:space="0" w:color="auto"/>
                    <w:right w:val="none" w:sz="0" w:space="0" w:color="auto"/>
                  </w:divBdr>
                </w:div>
                <w:div w:id="387456674">
                  <w:marLeft w:val="0"/>
                  <w:marRight w:val="0"/>
                  <w:marTop w:val="0"/>
                  <w:marBottom w:val="0"/>
                  <w:divBdr>
                    <w:top w:val="none" w:sz="0" w:space="0" w:color="auto"/>
                    <w:left w:val="none" w:sz="0" w:space="0" w:color="auto"/>
                    <w:bottom w:val="none" w:sz="0" w:space="0" w:color="auto"/>
                    <w:right w:val="none" w:sz="0" w:space="0" w:color="auto"/>
                  </w:divBdr>
                </w:div>
                <w:div w:id="794952207">
                  <w:marLeft w:val="0"/>
                  <w:marRight w:val="0"/>
                  <w:marTop w:val="0"/>
                  <w:marBottom w:val="0"/>
                  <w:divBdr>
                    <w:top w:val="none" w:sz="0" w:space="0" w:color="auto"/>
                    <w:left w:val="none" w:sz="0" w:space="0" w:color="auto"/>
                    <w:bottom w:val="none" w:sz="0" w:space="0" w:color="auto"/>
                    <w:right w:val="none" w:sz="0" w:space="0" w:color="auto"/>
                  </w:divBdr>
                </w:div>
                <w:div w:id="1958901874">
                  <w:marLeft w:val="0"/>
                  <w:marRight w:val="0"/>
                  <w:marTop w:val="0"/>
                  <w:marBottom w:val="0"/>
                  <w:divBdr>
                    <w:top w:val="none" w:sz="0" w:space="0" w:color="auto"/>
                    <w:left w:val="none" w:sz="0" w:space="0" w:color="auto"/>
                    <w:bottom w:val="none" w:sz="0" w:space="0" w:color="auto"/>
                    <w:right w:val="none" w:sz="0" w:space="0" w:color="auto"/>
                  </w:divBdr>
                </w:div>
                <w:div w:id="1328247273">
                  <w:marLeft w:val="0"/>
                  <w:marRight w:val="0"/>
                  <w:marTop w:val="0"/>
                  <w:marBottom w:val="0"/>
                  <w:divBdr>
                    <w:top w:val="none" w:sz="0" w:space="0" w:color="auto"/>
                    <w:left w:val="none" w:sz="0" w:space="0" w:color="auto"/>
                    <w:bottom w:val="none" w:sz="0" w:space="0" w:color="auto"/>
                    <w:right w:val="none" w:sz="0" w:space="0" w:color="auto"/>
                  </w:divBdr>
                </w:div>
                <w:div w:id="825169960">
                  <w:marLeft w:val="0"/>
                  <w:marRight w:val="0"/>
                  <w:marTop w:val="0"/>
                  <w:marBottom w:val="0"/>
                  <w:divBdr>
                    <w:top w:val="none" w:sz="0" w:space="0" w:color="auto"/>
                    <w:left w:val="none" w:sz="0" w:space="0" w:color="auto"/>
                    <w:bottom w:val="none" w:sz="0" w:space="0" w:color="auto"/>
                    <w:right w:val="none" w:sz="0" w:space="0" w:color="auto"/>
                  </w:divBdr>
                </w:div>
                <w:div w:id="1322613543">
                  <w:marLeft w:val="0"/>
                  <w:marRight w:val="0"/>
                  <w:marTop w:val="0"/>
                  <w:marBottom w:val="0"/>
                  <w:divBdr>
                    <w:top w:val="none" w:sz="0" w:space="0" w:color="auto"/>
                    <w:left w:val="none" w:sz="0" w:space="0" w:color="auto"/>
                    <w:bottom w:val="none" w:sz="0" w:space="0" w:color="auto"/>
                    <w:right w:val="none" w:sz="0" w:space="0" w:color="auto"/>
                  </w:divBdr>
                </w:div>
                <w:div w:id="867721202">
                  <w:marLeft w:val="0"/>
                  <w:marRight w:val="0"/>
                  <w:marTop w:val="0"/>
                  <w:marBottom w:val="0"/>
                  <w:divBdr>
                    <w:top w:val="none" w:sz="0" w:space="0" w:color="auto"/>
                    <w:left w:val="none" w:sz="0" w:space="0" w:color="auto"/>
                    <w:bottom w:val="none" w:sz="0" w:space="0" w:color="auto"/>
                    <w:right w:val="none" w:sz="0" w:space="0" w:color="auto"/>
                  </w:divBdr>
                </w:div>
                <w:div w:id="1702705098">
                  <w:marLeft w:val="0"/>
                  <w:marRight w:val="0"/>
                  <w:marTop w:val="0"/>
                  <w:marBottom w:val="0"/>
                  <w:divBdr>
                    <w:top w:val="none" w:sz="0" w:space="0" w:color="auto"/>
                    <w:left w:val="none" w:sz="0" w:space="0" w:color="auto"/>
                    <w:bottom w:val="none" w:sz="0" w:space="0" w:color="auto"/>
                    <w:right w:val="none" w:sz="0" w:space="0" w:color="auto"/>
                  </w:divBdr>
                </w:div>
                <w:div w:id="1672828739">
                  <w:marLeft w:val="0"/>
                  <w:marRight w:val="0"/>
                  <w:marTop w:val="0"/>
                  <w:marBottom w:val="0"/>
                  <w:divBdr>
                    <w:top w:val="none" w:sz="0" w:space="0" w:color="auto"/>
                    <w:left w:val="none" w:sz="0" w:space="0" w:color="auto"/>
                    <w:bottom w:val="none" w:sz="0" w:space="0" w:color="auto"/>
                    <w:right w:val="none" w:sz="0" w:space="0" w:color="auto"/>
                  </w:divBdr>
                </w:div>
                <w:div w:id="149503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538596">
          <w:marLeft w:val="0"/>
          <w:marRight w:val="0"/>
          <w:marTop w:val="15"/>
          <w:marBottom w:val="0"/>
          <w:divBdr>
            <w:top w:val="none" w:sz="0" w:space="0" w:color="auto"/>
            <w:left w:val="none" w:sz="0" w:space="0" w:color="auto"/>
            <w:bottom w:val="none" w:sz="0" w:space="0" w:color="auto"/>
            <w:right w:val="none" w:sz="0" w:space="0" w:color="auto"/>
          </w:divBdr>
          <w:divsChild>
            <w:div w:id="982127062">
              <w:marLeft w:val="0"/>
              <w:marRight w:val="0"/>
              <w:marTop w:val="0"/>
              <w:marBottom w:val="0"/>
              <w:divBdr>
                <w:top w:val="none" w:sz="0" w:space="0" w:color="auto"/>
                <w:left w:val="none" w:sz="0" w:space="0" w:color="auto"/>
                <w:bottom w:val="none" w:sz="0" w:space="0" w:color="auto"/>
                <w:right w:val="none" w:sz="0" w:space="0" w:color="auto"/>
              </w:divBdr>
              <w:divsChild>
                <w:div w:id="2068524794">
                  <w:marLeft w:val="0"/>
                  <w:marRight w:val="0"/>
                  <w:marTop w:val="0"/>
                  <w:marBottom w:val="0"/>
                  <w:divBdr>
                    <w:top w:val="none" w:sz="0" w:space="0" w:color="auto"/>
                    <w:left w:val="none" w:sz="0" w:space="0" w:color="auto"/>
                    <w:bottom w:val="none" w:sz="0" w:space="0" w:color="auto"/>
                    <w:right w:val="none" w:sz="0" w:space="0" w:color="auto"/>
                  </w:divBdr>
                </w:div>
                <w:div w:id="1396466678">
                  <w:marLeft w:val="0"/>
                  <w:marRight w:val="0"/>
                  <w:marTop w:val="0"/>
                  <w:marBottom w:val="0"/>
                  <w:divBdr>
                    <w:top w:val="none" w:sz="0" w:space="0" w:color="auto"/>
                    <w:left w:val="none" w:sz="0" w:space="0" w:color="auto"/>
                    <w:bottom w:val="none" w:sz="0" w:space="0" w:color="auto"/>
                    <w:right w:val="none" w:sz="0" w:space="0" w:color="auto"/>
                  </w:divBdr>
                </w:div>
                <w:div w:id="1912809931">
                  <w:marLeft w:val="0"/>
                  <w:marRight w:val="0"/>
                  <w:marTop w:val="0"/>
                  <w:marBottom w:val="0"/>
                  <w:divBdr>
                    <w:top w:val="none" w:sz="0" w:space="0" w:color="auto"/>
                    <w:left w:val="none" w:sz="0" w:space="0" w:color="auto"/>
                    <w:bottom w:val="none" w:sz="0" w:space="0" w:color="auto"/>
                    <w:right w:val="none" w:sz="0" w:space="0" w:color="auto"/>
                  </w:divBdr>
                </w:div>
                <w:div w:id="1852261215">
                  <w:marLeft w:val="0"/>
                  <w:marRight w:val="0"/>
                  <w:marTop w:val="0"/>
                  <w:marBottom w:val="0"/>
                  <w:divBdr>
                    <w:top w:val="none" w:sz="0" w:space="0" w:color="auto"/>
                    <w:left w:val="none" w:sz="0" w:space="0" w:color="auto"/>
                    <w:bottom w:val="none" w:sz="0" w:space="0" w:color="auto"/>
                    <w:right w:val="none" w:sz="0" w:space="0" w:color="auto"/>
                  </w:divBdr>
                </w:div>
                <w:div w:id="693653678">
                  <w:marLeft w:val="0"/>
                  <w:marRight w:val="0"/>
                  <w:marTop w:val="0"/>
                  <w:marBottom w:val="0"/>
                  <w:divBdr>
                    <w:top w:val="none" w:sz="0" w:space="0" w:color="auto"/>
                    <w:left w:val="none" w:sz="0" w:space="0" w:color="auto"/>
                    <w:bottom w:val="none" w:sz="0" w:space="0" w:color="auto"/>
                    <w:right w:val="none" w:sz="0" w:space="0" w:color="auto"/>
                  </w:divBdr>
                </w:div>
                <w:div w:id="1091661074">
                  <w:marLeft w:val="0"/>
                  <w:marRight w:val="0"/>
                  <w:marTop w:val="0"/>
                  <w:marBottom w:val="0"/>
                  <w:divBdr>
                    <w:top w:val="none" w:sz="0" w:space="0" w:color="auto"/>
                    <w:left w:val="none" w:sz="0" w:space="0" w:color="auto"/>
                    <w:bottom w:val="none" w:sz="0" w:space="0" w:color="auto"/>
                    <w:right w:val="none" w:sz="0" w:space="0" w:color="auto"/>
                  </w:divBdr>
                </w:div>
                <w:div w:id="1888836074">
                  <w:marLeft w:val="0"/>
                  <w:marRight w:val="0"/>
                  <w:marTop w:val="0"/>
                  <w:marBottom w:val="0"/>
                  <w:divBdr>
                    <w:top w:val="none" w:sz="0" w:space="0" w:color="auto"/>
                    <w:left w:val="none" w:sz="0" w:space="0" w:color="auto"/>
                    <w:bottom w:val="none" w:sz="0" w:space="0" w:color="auto"/>
                    <w:right w:val="none" w:sz="0" w:space="0" w:color="auto"/>
                  </w:divBdr>
                </w:div>
                <w:div w:id="258803256">
                  <w:marLeft w:val="0"/>
                  <w:marRight w:val="0"/>
                  <w:marTop w:val="0"/>
                  <w:marBottom w:val="0"/>
                  <w:divBdr>
                    <w:top w:val="none" w:sz="0" w:space="0" w:color="auto"/>
                    <w:left w:val="none" w:sz="0" w:space="0" w:color="auto"/>
                    <w:bottom w:val="none" w:sz="0" w:space="0" w:color="auto"/>
                    <w:right w:val="none" w:sz="0" w:space="0" w:color="auto"/>
                  </w:divBdr>
                </w:div>
                <w:div w:id="341205308">
                  <w:marLeft w:val="0"/>
                  <w:marRight w:val="0"/>
                  <w:marTop w:val="0"/>
                  <w:marBottom w:val="0"/>
                  <w:divBdr>
                    <w:top w:val="none" w:sz="0" w:space="0" w:color="auto"/>
                    <w:left w:val="none" w:sz="0" w:space="0" w:color="auto"/>
                    <w:bottom w:val="none" w:sz="0" w:space="0" w:color="auto"/>
                    <w:right w:val="none" w:sz="0" w:space="0" w:color="auto"/>
                  </w:divBdr>
                </w:div>
                <w:div w:id="1910460705">
                  <w:marLeft w:val="0"/>
                  <w:marRight w:val="0"/>
                  <w:marTop w:val="0"/>
                  <w:marBottom w:val="0"/>
                  <w:divBdr>
                    <w:top w:val="none" w:sz="0" w:space="0" w:color="auto"/>
                    <w:left w:val="none" w:sz="0" w:space="0" w:color="auto"/>
                    <w:bottom w:val="none" w:sz="0" w:space="0" w:color="auto"/>
                    <w:right w:val="none" w:sz="0" w:space="0" w:color="auto"/>
                  </w:divBdr>
                </w:div>
                <w:div w:id="241069300">
                  <w:marLeft w:val="0"/>
                  <w:marRight w:val="0"/>
                  <w:marTop w:val="0"/>
                  <w:marBottom w:val="0"/>
                  <w:divBdr>
                    <w:top w:val="none" w:sz="0" w:space="0" w:color="auto"/>
                    <w:left w:val="none" w:sz="0" w:space="0" w:color="auto"/>
                    <w:bottom w:val="none" w:sz="0" w:space="0" w:color="auto"/>
                    <w:right w:val="none" w:sz="0" w:space="0" w:color="auto"/>
                  </w:divBdr>
                </w:div>
                <w:div w:id="1954941450">
                  <w:marLeft w:val="0"/>
                  <w:marRight w:val="0"/>
                  <w:marTop w:val="0"/>
                  <w:marBottom w:val="0"/>
                  <w:divBdr>
                    <w:top w:val="none" w:sz="0" w:space="0" w:color="auto"/>
                    <w:left w:val="none" w:sz="0" w:space="0" w:color="auto"/>
                    <w:bottom w:val="none" w:sz="0" w:space="0" w:color="auto"/>
                    <w:right w:val="none" w:sz="0" w:space="0" w:color="auto"/>
                  </w:divBdr>
                </w:div>
                <w:div w:id="712536662">
                  <w:marLeft w:val="0"/>
                  <w:marRight w:val="0"/>
                  <w:marTop w:val="0"/>
                  <w:marBottom w:val="0"/>
                  <w:divBdr>
                    <w:top w:val="none" w:sz="0" w:space="0" w:color="auto"/>
                    <w:left w:val="none" w:sz="0" w:space="0" w:color="auto"/>
                    <w:bottom w:val="none" w:sz="0" w:space="0" w:color="auto"/>
                    <w:right w:val="none" w:sz="0" w:space="0" w:color="auto"/>
                  </w:divBdr>
                </w:div>
                <w:div w:id="1764571875">
                  <w:marLeft w:val="0"/>
                  <w:marRight w:val="0"/>
                  <w:marTop w:val="0"/>
                  <w:marBottom w:val="0"/>
                  <w:divBdr>
                    <w:top w:val="none" w:sz="0" w:space="0" w:color="auto"/>
                    <w:left w:val="none" w:sz="0" w:space="0" w:color="auto"/>
                    <w:bottom w:val="none" w:sz="0" w:space="0" w:color="auto"/>
                    <w:right w:val="none" w:sz="0" w:space="0" w:color="auto"/>
                  </w:divBdr>
                </w:div>
                <w:div w:id="712845179">
                  <w:marLeft w:val="0"/>
                  <w:marRight w:val="0"/>
                  <w:marTop w:val="0"/>
                  <w:marBottom w:val="0"/>
                  <w:divBdr>
                    <w:top w:val="none" w:sz="0" w:space="0" w:color="auto"/>
                    <w:left w:val="none" w:sz="0" w:space="0" w:color="auto"/>
                    <w:bottom w:val="none" w:sz="0" w:space="0" w:color="auto"/>
                    <w:right w:val="none" w:sz="0" w:space="0" w:color="auto"/>
                  </w:divBdr>
                </w:div>
                <w:div w:id="966860342">
                  <w:marLeft w:val="0"/>
                  <w:marRight w:val="0"/>
                  <w:marTop w:val="0"/>
                  <w:marBottom w:val="0"/>
                  <w:divBdr>
                    <w:top w:val="none" w:sz="0" w:space="0" w:color="auto"/>
                    <w:left w:val="none" w:sz="0" w:space="0" w:color="auto"/>
                    <w:bottom w:val="none" w:sz="0" w:space="0" w:color="auto"/>
                    <w:right w:val="none" w:sz="0" w:space="0" w:color="auto"/>
                  </w:divBdr>
                </w:div>
                <w:div w:id="259993751">
                  <w:marLeft w:val="0"/>
                  <w:marRight w:val="0"/>
                  <w:marTop w:val="0"/>
                  <w:marBottom w:val="0"/>
                  <w:divBdr>
                    <w:top w:val="none" w:sz="0" w:space="0" w:color="auto"/>
                    <w:left w:val="none" w:sz="0" w:space="0" w:color="auto"/>
                    <w:bottom w:val="none" w:sz="0" w:space="0" w:color="auto"/>
                    <w:right w:val="none" w:sz="0" w:space="0" w:color="auto"/>
                  </w:divBdr>
                </w:div>
                <w:div w:id="535197736">
                  <w:marLeft w:val="0"/>
                  <w:marRight w:val="0"/>
                  <w:marTop w:val="0"/>
                  <w:marBottom w:val="0"/>
                  <w:divBdr>
                    <w:top w:val="none" w:sz="0" w:space="0" w:color="auto"/>
                    <w:left w:val="none" w:sz="0" w:space="0" w:color="auto"/>
                    <w:bottom w:val="none" w:sz="0" w:space="0" w:color="auto"/>
                    <w:right w:val="none" w:sz="0" w:space="0" w:color="auto"/>
                  </w:divBdr>
                </w:div>
                <w:div w:id="923874051">
                  <w:marLeft w:val="0"/>
                  <w:marRight w:val="0"/>
                  <w:marTop w:val="0"/>
                  <w:marBottom w:val="0"/>
                  <w:divBdr>
                    <w:top w:val="none" w:sz="0" w:space="0" w:color="auto"/>
                    <w:left w:val="none" w:sz="0" w:space="0" w:color="auto"/>
                    <w:bottom w:val="none" w:sz="0" w:space="0" w:color="auto"/>
                    <w:right w:val="none" w:sz="0" w:space="0" w:color="auto"/>
                  </w:divBdr>
                </w:div>
                <w:div w:id="152528800">
                  <w:marLeft w:val="0"/>
                  <w:marRight w:val="0"/>
                  <w:marTop w:val="0"/>
                  <w:marBottom w:val="0"/>
                  <w:divBdr>
                    <w:top w:val="none" w:sz="0" w:space="0" w:color="auto"/>
                    <w:left w:val="none" w:sz="0" w:space="0" w:color="auto"/>
                    <w:bottom w:val="none" w:sz="0" w:space="0" w:color="auto"/>
                    <w:right w:val="none" w:sz="0" w:space="0" w:color="auto"/>
                  </w:divBdr>
                </w:div>
                <w:div w:id="2136679909">
                  <w:marLeft w:val="0"/>
                  <w:marRight w:val="0"/>
                  <w:marTop w:val="0"/>
                  <w:marBottom w:val="0"/>
                  <w:divBdr>
                    <w:top w:val="none" w:sz="0" w:space="0" w:color="auto"/>
                    <w:left w:val="none" w:sz="0" w:space="0" w:color="auto"/>
                    <w:bottom w:val="none" w:sz="0" w:space="0" w:color="auto"/>
                    <w:right w:val="none" w:sz="0" w:space="0" w:color="auto"/>
                  </w:divBdr>
                </w:div>
                <w:div w:id="1147435169">
                  <w:marLeft w:val="0"/>
                  <w:marRight w:val="0"/>
                  <w:marTop w:val="0"/>
                  <w:marBottom w:val="0"/>
                  <w:divBdr>
                    <w:top w:val="none" w:sz="0" w:space="0" w:color="auto"/>
                    <w:left w:val="none" w:sz="0" w:space="0" w:color="auto"/>
                    <w:bottom w:val="none" w:sz="0" w:space="0" w:color="auto"/>
                    <w:right w:val="none" w:sz="0" w:space="0" w:color="auto"/>
                  </w:divBdr>
                </w:div>
                <w:div w:id="1632638433">
                  <w:marLeft w:val="0"/>
                  <w:marRight w:val="0"/>
                  <w:marTop w:val="0"/>
                  <w:marBottom w:val="0"/>
                  <w:divBdr>
                    <w:top w:val="none" w:sz="0" w:space="0" w:color="auto"/>
                    <w:left w:val="none" w:sz="0" w:space="0" w:color="auto"/>
                    <w:bottom w:val="none" w:sz="0" w:space="0" w:color="auto"/>
                    <w:right w:val="none" w:sz="0" w:space="0" w:color="auto"/>
                  </w:divBdr>
                </w:div>
                <w:div w:id="167858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99373">
          <w:marLeft w:val="0"/>
          <w:marRight w:val="0"/>
          <w:marTop w:val="15"/>
          <w:marBottom w:val="0"/>
          <w:divBdr>
            <w:top w:val="none" w:sz="0" w:space="0" w:color="auto"/>
            <w:left w:val="none" w:sz="0" w:space="0" w:color="auto"/>
            <w:bottom w:val="none" w:sz="0" w:space="0" w:color="auto"/>
            <w:right w:val="none" w:sz="0" w:space="0" w:color="auto"/>
          </w:divBdr>
          <w:divsChild>
            <w:div w:id="312178556">
              <w:marLeft w:val="0"/>
              <w:marRight w:val="0"/>
              <w:marTop w:val="0"/>
              <w:marBottom w:val="0"/>
              <w:divBdr>
                <w:top w:val="none" w:sz="0" w:space="0" w:color="auto"/>
                <w:left w:val="none" w:sz="0" w:space="0" w:color="auto"/>
                <w:bottom w:val="none" w:sz="0" w:space="0" w:color="auto"/>
                <w:right w:val="none" w:sz="0" w:space="0" w:color="auto"/>
              </w:divBdr>
              <w:divsChild>
                <w:div w:id="1166091187">
                  <w:marLeft w:val="0"/>
                  <w:marRight w:val="0"/>
                  <w:marTop w:val="0"/>
                  <w:marBottom w:val="0"/>
                  <w:divBdr>
                    <w:top w:val="none" w:sz="0" w:space="0" w:color="auto"/>
                    <w:left w:val="none" w:sz="0" w:space="0" w:color="auto"/>
                    <w:bottom w:val="none" w:sz="0" w:space="0" w:color="auto"/>
                    <w:right w:val="none" w:sz="0" w:space="0" w:color="auto"/>
                  </w:divBdr>
                </w:div>
                <w:div w:id="397627844">
                  <w:marLeft w:val="0"/>
                  <w:marRight w:val="0"/>
                  <w:marTop w:val="0"/>
                  <w:marBottom w:val="0"/>
                  <w:divBdr>
                    <w:top w:val="none" w:sz="0" w:space="0" w:color="auto"/>
                    <w:left w:val="none" w:sz="0" w:space="0" w:color="auto"/>
                    <w:bottom w:val="none" w:sz="0" w:space="0" w:color="auto"/>
                    <w:right w:val="none" w:sz="0" w:space="0" w:color="auto"/>
                  </w:divBdr>
                </w:div>
                <w:div w:id="1977443385">
                  <w:marLeft w:val="0"/>
                  <w:marRight w:val="0"/>
                  <w:marTop w:val="0"/>
                  <w:marBottom w:val="0"/>
                  <w:divBdr>
                    <w:top w:val="none" w:sz="0" w:space="0" w:color="auto"/>
                    <w:left w:val="none" w:sz="0" w:space="0" w:color="auto"/>
                    <w:bottom w:val="none" w:sz="0" w:space="0" w:color="auto"/>
                    <w:right w:val="none" w:sz="0" w:space="0" w:color="auto"/>
                  </w:divBdr>
                </w:div>
                <w:div w:id="1966038926">
                  <w:marLeft w:val="0"/>
                  <w:marRight w:val="0"/>
                  <w:marTop w:val="0"/>
                  <w:marBottom w:val="0"/>
                  <w:divBdr>
                    <w:top w:val="none" w:sz="0" w:space="0" w:color="auto"/>
                    <w:left w:val="none" w:sz="0" w:space="0" w:color="auto"/>
                    <w:bottom w:val="none" w:sz="0" w:space="0" w:color="auto"/>
                    <w:right w:val="none" w:sz="0" w:space="0" w:color="auto"/>
                  </w:divBdr>
                </w:div>
                <w:div w:id="1843232272">
                  <w:marLeft w:val="0"/>
                  <w:marRight w:val="0"/>
                  <w:marTop w:val="0"/>
                  <w:marBottom w:val="0"/>
                  <w:divBdr>
                    <w:top w:val="none" w:sz="0" w:space="0" w:color="auto"/>
                    <w:left w:val="none" w:sz="0" w:space="0" w:color="auto"/>
                    <w:bottom w:val="none" w:sz="0" w:space="0" w:color="auto"/>
                    <w:right w:val="none" w:sz="0" w:space="0" w:color="auto"/>
                  </w:divBdr>
                </w:div>
                <w:div w:id="1317153219">
                  <w:marLeft w:val="0"/>
                  <w:marRight w:val="0"/>
                  <w:marTop w:val="0"/>
                  <w:marBottom w:val="0"/>
                  <w:divBdr>
                    <w:top w:val="none" w:sz="0" w:space="0" w:color="auto"/>
                    <w:left w:val="none" w:sz="0" w:space="0" w:color="auto"/>
                    <w:bottom w:val="none" w:sz="0" w:space="0" w:color="auto"/>
                    <w:right w:val="none" w:sz="0" w:space="0" w:color="auto"/>
                  </w:divBdr>
                </w:div>
                <w:div w:id="1002123109">
                  <w:marLeft w:val="0"/>
                  <w:marRight w:val="0"/>
                  <w:marTop w:val="0"/>
                  <w:marBottom w:val="0"/>
                  <w:divBdr>
                    <w:top w:val="none" w:sz="0" w:space="0" w:color="auto"/>
                    <w:left w:val="none" w:sz="0" w:space="0" w:color="auto"/>
                    <w:bottom w:val="none" w:sz="0" w:space="0" w:color="auto"/>
                    <w:right w:val="none" w:sz="0" w:space="0" w:color="auto"/>
                  </w:divBdr>
                </w:div>
                <w:div w:id="1049647589">
                  <w:marLeft w:val="0"/>
                  <w:marRight w:val="0"/>
                  <w:marTop w:val="0"/>
                  <w:marBottom w:val="0"/>
                  <w:divBdr>
                    <w:top w:val="none" w:sz="0" w:space="0" w:color="auto"/>
                    <w:left w:val="none" w:sz="0" w:space="0" w:color="auto"/>
                    <w:bottom w:val="none" w:sz="0" w:space="0" w:color="auto"/>
                    <w:right w:val="none" w:sz="0" w:space="0" w:color="auto"/>
                  </w:divBdr>
                </w:div>
                <w:div w:id="1497722466">
                  <w:marLeft w:val="0"/>
                  <w:marRight w:val="0"/>
                  <w:marTop w:val="0"/>
                  <w:marBottom w:val="0"/>
                  <w:divBdr>
                    <w:top w:val="none" w:sz="0" w:space="0" w:color="auto"/>
                    <w:left w:val="none" w:sz="0" w:space="0" w:color="auto"/>
                    <w:bottom w:val="none" w:sz="0" w:space="0" w:color="auto"/>
                    <w:right w:val="none" w:sz="0" w:space="0" w:color="auto"/>
                  </w:divBdr>
                </w:div>
                <w:div w:id="1003627499">
                  <w:marLeft w:val="0"/>
                  <w:marRight w:val="0"/>
                  <w:marTop w:val="0"/>
                  <w:marBottom w:val="0"/>
                  <w:divBdr>
                    <w:top w:val="none" w:sz="0" w:space="0" w:color="auto"/>
                    <w:left w:val="none" w:sz="0" w:space="0" w:color="auto"/>
                    <w:bottom w:val="none" w:sz="0" w:space="0" w:color="auto"/>
                    <w:right w:val="none" w:sz="0" w:space="0" w:color="auto"/>
                  </w:divBdr>
                </w:div>
                <w:div w:id="2005234891">
                  <w:marLeft w:val="0"/>
                  <w:marRight w:val="0"/>
                  <w:marTop w:val="0"/>
                  <w:marBottom w:val="0"/>
                  <w:divBdr>
                    <w:top w:val="none" w:sz="0" w:space="0" w:color="auto"/>
                    <w:left w:val="none" w:sz="0" w:space="0" w:color="auto"/>
                    <w:bottom w:val="none" w:sz="0" w:space="0" w:color="auto"/>
                    <w:right w:val="none" w:sz="0" w:space="0" w:color="auto"/>
                  </w:divBdr>
                </w:div>
                <w:div w:id="1230000124">
                  <w:marLeft w:val="0"/>
                  <w:marRight w:val="0"/>
                  <w:marTop w:val="0"/>
                  <w:marBottom w:val="0"/>
                  <w:divBdr>
                    <w:top w:val="none" w:sz="0" w:space="0" w:color="auto"/>
                    <w:left w:val="none" w:sz="0" w:space="0" w:color="auto"/>
                    <w:bottom w:val="none" w:sz="0" w:space="0" w:color="auto"/>
                    <w:right w:val="none" w:sz="0" w:space="0" w:color="auto"/>
                  </w:divBdr>
                </w:div>
                <w:div w:id="680669651">
                  <w:marLeft w:val="0"/>
                  <w:marRight w:val="0"/>
                  <w:marTop w:val="0"/>
                  <w:marBottom w:val="0"/>
                  <w:divBdr>
                    <w:top w:val="none" w:sz="0" w:space="0" w:color="auto"/>
                    <w:left w:val="none" w:sz="0" w:space="0" w:color="auto"/>
                    <w:bottom w:val="none" w:sz="0" w:space="0" w:color="auto"/>
                    <w:right w:val="none" w:sz="0" w:space="0" w:color="auto"/>
                  </w:divBdr>
                </w:div>
                <w:div w:id="17052832">
                  <w:marLeft w:val="0"/>
                  <w:marRight w:val="0"/>
                  <w:marTop w:val="0"/>
                  <w:marBottom w:val="0"/>
                  <w:divBdr>
                    <w:top w:val="none" w:sz="0" w:space="0" w:color="auto"/>
                    <w:left w:val="none" w:sz="0" w:space="0" w:color="auto"/>
                    <w:bottom w:val="none" w:sz="0" w:space="0" w:color="auto"/>
                    <w:right w:val="none" w:sz="0" w:space="0" w:color="auto"/>
                  </w:divBdr>
                </w:div>
                <w:div w:id="1844319728">
                  <w:marLeft w:val="0"/>
                  <w:marRight w:val="0"/>
                  <w:marTop w:val="0"/>
                  <w:marBottom w:val="0"/>
                  <w:divBdr>
                    <w:top w:val="none" w:sz="0" w:space="0" w:color="auto"/>
                    <w:left w:val="none" w:sz="0" w:space="0" w:color="auto"/>
                    <w:bottom w:val="none" w:sz="0" w:space="0" w:color="auto"/>
                    <w:right w:val="none" w:sz="0" w:space="0" w:color="auto"/>
                  </w:divBdr>
                </w:div>
                <w:div w:id="653488949">
                  <w:marLeft w:val="0"/>
                  <w:marRight w:val="0"/>
                  <w:marTop w:val="0"/>
                  <w:marBottom w:val="0"/>
                  <w:divBdr>
                    <w:top w:val="none" w:sz="0" w:space="0" w:color="auto"/>
                    <w:left w:val="none" w:sz="0" w:space="0" w:color="auto"/>
                    <w:bottom w:val="none" w:sz="0" w:space="0" w:color="auto"/>
                    <w:right w:val="none" w:sz="0" w:space="0" w:color="auto"/>
                  </w:divBdr>
                </w:div>
                <w:div w:id="1822194408">
                  <w:marLeft w:val="0"/>
                  <w:marRight w:val="0"/>
                  <w:marTop w:val="0"/>
                  <w:marBottom w:val="0"/>
                  <w:divBdr>
                    <w:top w:val="none" w:sz="0" w:space="0" w:color="auto"/>
                    <w:left w:val="none" w:sz="0" w:space="0" w:color="auto"/>
                    <w:bottom w:val="none" w:sz="0" w:space="0" w:color="auto"/>
                    <w:right w:val="none" w:sz="0" w:space="0" w:color="auto"/>
                  </w:divBdr>
                </w:div>
                <w:div w:id="1369993013">
                  <w:marLeft w:val="0"/>
                  <w:marRight w:val="0"/>
                  <w:marTop w:val="0"/>
                  <w:marBottom w:val="0"/>
                  <w:divBdr>
                    <w:top w:val="none" w:sz="0" w:space="0" w:color="auto"/>
                    <w:left w:val="none" w:sz="0" w:space="0" w:color="auto"/>
                    <w:bottom w:val="none" w:sz="0" w:space="0" w:color="auto"/>
                    <w:right w:val="none" w:sz="0" w:space="0" w:color="auto"/>
                  </w:divBdr>
                </w:div>
                <w:div w:id="2008706402">
                  <w:marLeft w:val="0"/>
                  <w:marRight w:val="0"/>
                  <w:marTop w:val="0"/>
                  <w:marBottom w:val="0"/>
                  <w:divBdr>
                    <w:top w:val="none" w:sz="0" w:space="0" w:color="auto"/>
                    <w:left w:val="none" w:sz="0" w:space="0" w:color="auto"/>
                    <w:bottom w:val="none" w:sz="0" w:space="0" w:color="auto"/>
                    <w:right w:val="none" w:sz="0" w:space="0" w:color="auto"/>
                  </w:divBdr>
                </w:div>
                <w:div w:id="2029869359">
                  <w:marLeft w:val="0"/>
                  <w:marRight w:val="0"/>
                  <w:marTop w:val="0"/>
                  <w:marBottom w:val="0"/>
                  <w:divBdr>
                    <w:top w:val="none" w:sz="0" w:space="0" w:color="auto"/>
                    <w:left w:val="none" w:sz="0" w:space="0" w:color="auto"/>
                    <w:bottom w:val="none" w:sz="0" w:space="0" w:color="auto"/>
                    <w:right w:val="none" w:sz="0" w:space="0" w:color="auto"/>
                  </w:divBdr>
                </w:div>
                <w:div w:id="251087336">
                  <w:marLeft w:val="0"/>
                  <w:marRight w:val="0"/>
                  <w:marTop w:val="0"/>
                  <w:marBottom w:val="0"/>
                  <w:divBdr>
                    <w:top w:val="none" w:sz="0" w:space="0" w:color="auto"/>
                    <w:left w:val="none" w:sz="0" w:space="0" w:color="auto"/>
                    <w:bottom w:val="none" w:sz="0" w:space="0" w:color="auto"/>
                    <w:right w:val="none" w:sz="0" w:space="0" w:color="auto"/>
                  </w:divBdr>
                </w:div>
                <w:div w:id="1897010033">
                  <w:marLeft w:val="0"/>
                  <w:marRight w:val="0"/>
                  <w:marTop w:val="0"/>
                  <w:marBottom w:val="0"/>
                  <w:divBdr>
                    <w:top w:val="none" w:sz="0" w:space="0" w:color="auto"/>
                    <w:left w:val="none" w:sz="0" w:space="0" w:color="auto"/>
                    <w:bottom w:val="none" w:sz="0" w:space="0" w:color="auto"/>
                    <w:right w:val="none" w:sz="0" w:space="0" w:color="auto"/>
                  </w:divBdr>
                </w:div>
                <w:div w:id="1469126431">
                  <w:marLeft w:val="0"/>
                  <w:marRight w:val="0"/>
                  <w:marTop w:val="0"/>
                  <w:marBottom w:val="0"/>
                  <w:divBdr>
                    <w:top w:val="none" w:sz="0" w:space="0" w:color="auto"/>
                    <w:left w:val="none" w:sz="0" w:space="0" w:color="auto"/>
                    <w:bottom w:val="none" w:sz="0" w:space="0" w:color="auto"/>
                    <w:right w:val="none" w:sz="0" w:space="0" w:color="auto"/>
                  </w:divBdr>
                </w:div>
                <w:div w:id="2101677127">
                  <w:marLeft w:val="0"/>
                  <w:marRight w:val="0"/>
                  <w:marTop w:val="0"/>
                  <w:marBottom w:val="0"/>
                  <w:divBdr>
                    <w:top w:val="none" w:sz="0" w:space="0" w:color="auto"/>
                    <w:left w:val="none" w:sz="0" w:space="0" w:color="auto"/>
                    <w:bottom w:val="none" w:sz="0" w:space="0" w:color="auto"/>
                    <w:right w:val="none" w:sz="0" w:space="0" w:color="auto"/>
                  </w:divBdr>
                </w:div>
                <w:div w:id="2135169047">
                  <w:marLeft w:val="0"/>
                  <w:marRight w:val="0"/>
                  <w:marTop w:val="0"/>
                  <w:marBottom w:val="0"/>
                  <w:divBdr>
                    <w:top w:val="none" w:sz="0" w:space="0" w:color="auto"/>
                    <w:left w:val="none" w:sz="0" w:space="0" w:color="auto"/>
                    <w:bottom w:val="none" w:sz="0" w:space="0" w:color="auto"/>
                    <w:right w:val="none" w:sz="0" w:space="0" w:color="auto"/>
                  </w:divBdr>
                </w:div>
                <w:div w:id="701131708">
                  <w:marLeft w:val="0"/>
                  <w:marRight w:val="0"/>
                  <w:marTop w:val="0"/>
                  <w:marBottom w:val="0"/>
                  <w:divBdr>
                    <w:top w:val="none" w:sz="0" w:space="0" w:color="auto"/>
                    <w:left w:val="none" w:sz="0" w:space="0" w:color="auto"/>
                    <w:bottom w:val="none" w:sz="0" w:space="0" w:color="auto"/>
                    <w:right w:val="none" w:sz="0" w:space="0" w:color="auto"/>
                  </w:divBdr>
                </w:div>
                <w:div w:id="756947762">
                  <w:marLeft w:val="0"/>
                  <w:marRight w:val="0"/>
                  <w:marTop w:val="0"/>
                  <w:marBottom w:val="0"/>
                  <w:divBdr>
                    <w:top w:val="none" w:sz="0" w:space="0" w:color="auto"/>
                    <w:left w:val="none" w:sz="0" w:space="0" w:color="auto"/>
                    <w:bottom w:val="none" w:sz="0" w:space="0" w:color="auto"/>
                    <w:right w:val="none" w:sz="0" w:space="0" w:color="auto"/>
                  </w:divBdr>
                </w:div>
                <w:div w:id="1685671536">
                  <w:marLeft w:val="0"/>
                  <w:marRight w:val="0"/>
                  <w:marTop w:val="0"/>
                  <w:marBottom w:val="0"/>
                  <w:divBdr>
                    <w:top w:val="none" w:sz="0" w:space="0" w:color="auto"/>
                    <w:left w:val="none" w:sz="0" w:space="0" w:color="auto"/>
                    <w:bottom w:val="none" w:sz="0" w:space="0" w:color="auto"/>
                    <w:right w:val="none" w:sz="0" w:space="0" w:color="auto"/>
                  </w:divBdr>
                </w:div>
                <w:div w:id="79340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81965">
          <w:marLeft w:val="0"/>
          <w:marRight w:val="0"/>
          <w:marTop w:val="15"/>
          <w:marBottom w:val="0"/>
          <w:divBdr>
            <w:top w:val="none" w:sz="0" w:space="0" w:color="auto"/>
            <w:left w:val="none" w:sz="0" w:space="0" w:color="auto"/>
            <w:bottom w:val="none" w:sz="0" w:space="0" w:color="auto"/>
            <w:right w:val="none" w:sz="0" w:space="0" w:color="auto"/>
          </w:divBdr>
          <w:divsChild>
            <w:div w:id="86315415">
              <w:marLeft w:val="0"/>
              <w:marRight w:val="0"/>
              <w:marTop w:val="0"/>
              <w:marBottom w:val="0"/>
              <w:divBdr>
                <w:top w:val="none" w:sz="0" w:space="0" w:color="auto"/>
                <w:left w:val="none" w:sz="0" w:space="0" w:color="auto"/>
                <w:bottom w:val="none" w:sz="0" w:space="0" w:color="auto"/>
                <w:right w:val="none" w:sz="0" w:space="0" w:color="auto"/>
              </w:divBdr>
              <w:divsChild>
                <w:div w:id="315762454">
                  <w:marLeft w:val="0"/>
                  <w:marRight w:val="0"/>
                  <w:marTop w:val="0"/>
                  <w:marBottom w:val="0"/>
                  <w:divBdr>
                    <w:top w:val="none" w:sz="0" w:space="0" w:color="auto"/>
                    <w:left w:val="none" w:sz="0" w:space="0" w:color="auto"/>
                    <w:bottom w:val="none" w:sz="0" w:space="0" w:color="auto"/>
                    <w:right w:val="none" w:sz="0" w:space="0" w:color="auto"/>
                  </w:divBdr>
                </w:div>
                <w:div w:id="387803027">
                  <w:marLeft w:val="0"/>
                  <w:marRight w:val="0"/>
                  <w:marTop w:val="0"/>
                  <w:marBottom w:val="0"/>
                  <w:divBdr>
                    <w:top w:val="none" w:sz="0" w:space="0" w:color="auto"/>
                    <w:left w:val="none" w:sz="0" w:space="0" w:color="auto"/>
                    <w:bottom w:val="none" w:sz="0" w:space="0" w:color="auto"/>
                    <w:right w:val="none" w:sz="0" w:space="0" w:color="auto"/>
                  </w:divBdr>
                </w:div>
                <w:div w:id="159203540">
                  <w:marLeft w:val="0"/>
                  <w:marRight w:val="0"/>
                  <w:marTop w:val="0"/>
                  <w:marBottom w:val="0"/>
                  <w:divBdr>
                    <w:top w:val="none" w:sz="0" w:space="0" w:color="auto"/>
                    <w:left w:val="none" w:sz="0" w:space="0" w:color="auto"/>
                    <w:bottom w:val="none" w:sz="0" w:space="0" w:color="auto"/>
                    <w:right w:val="none" w:sz="0" w:space="0" w:color="auto"/>
                  </w:divBdr>
                </w:div>
                <w:div w:id="741879302">
                  <w:marLeft w:val="0"/>
                  <w:marRight w:val="0"/>
                  <w:marTop w:val="0"/>
                  <w:marBottom w:val="0"/>
                  <w:divBdr>
                    <w:top w:val="none" w:sz="0" w:space="0" w:color="auto"/>
                    <w:left w:val="none" w:sz="0" w:space="0" w:color="auto"/>
                    <w:bottom w:val="none" w:sz="0" w:space="0" w:color="auto"/>
                    <w:right w:val="none" w:sz="0" w:space="0" w:color="auto"/>
                  </w:divBdr>
                </w:div>
                <w:div w:id="935361533">
                  <w:marLeft w:val="0"/>
                  <w:marRight w:val="0"/>
                  <w:marTop w:val="0"/>
                  <w:marBottom w:val="0"/>
                  <w:divBdr>
                    <w:top w:val="none" w:sz="0" w:space="0" w:color="auto"/>
                    <w:left w:val="none" w:sz="0" w:space="0" w:color="auto"/>
                    <w:bottom w:val="none" w:sz="0" w:space="0" w:color="auto"/>
                    <w:right w:val="none" w:sz="0" w:space="0" w:color="auto"/>
                  </w:divBdr>
                </w:div>
                <w:div w:id="1262566805">
                  <w:marLeft w:val="0"/>
                  <w:marRight w:val="0"/>
                  <w:marTop w:val="0"/>
                  <w:marBottom w:val="0"/>
                  <w:divBdr>
                    <w:top w:val="none" w:sz="0" w:space="0" w:color="auto"/>
                    <w:left w:val="none" w:sz="0" w:space="0" w:color="auto"/>
                    <w:bottom w:val="none" w:sz="0" w:space="0" w:color="auto"/>
                    <w:right w:val="none" w:sz="0" w:space="0" w:color="auto"/>
                  </w:divBdr>
                </w:div>
                <w:div w:id="114253285">
                  <w:marLeft w:val="0"/>
                  <w:marRight w:val="0"/>
                  <w:marTop w:val="0"/>
                  <w:marBottom w:val="0"/>
                  <w:divBdr>
                    <w:top w:val="none" w:sz="0" w:space="0" w:color="auto"/>
                    <w:left w:val="none" w:sz="0" w:space="0" w:color="auto"/>
                    <w:bottom w:val="none" w:sz="0" w:space="0" w:color="auto"/>
                    <w:right w:val="none" w:sz="0" w:space="0" w:color="auto"/>
                  </w:divBdr>
                </w:div>
                <w:div w:id="1076777806">
                  <w:marLeft w:val="0"/>
                  <w:marRight w:val="0"/>
                  <w:marTop w:val="0"/>
                  <w:marBottom w:val="0"/>
                  <w:divBdr>
                    <w:top w:val="none" w:sz="0" w:space="0" w:color="auto"/>
                    <w:left w:val="none" w:sz="0" w:space="0" w:color="auto"/>
                    <w:bottom w:val="none" w:sz="0" w:space="0" w:color="auto"/>
                    <w:right w:val="none" w:sz="0" w:space="0" w:color="auto"/>
                  </w:divBdr>
                </w:div>
                <w:div w:id="139538171">
                  <w:marLeft w:val="0"/>
                  <w:marRight w:val="0"/>
                  <w:marTop w:val="0"/>
                  <w:marBottom w:val="0"/>
                  <w:divBdr>
                    <w:top w:val="none" w:sz="0" w:space="0" w:color="auto"/>
                    <w:left w:val="none" w:sz="0" w:space="0" w:color="auto"/>
                    <w:bottom w:val="none" w:sz="0" w:space="0" w:color="auto"/>
                    <w:right w:val="none" w:sz="0" w:space="0" w:color="auto"/>
                  </w:divBdr>
                </w:div>
                <w:div w:id="1764178128">
                  <w:marLeft w:val="0"/>
                  <w:marRight w:val="0"/>
                  <w:marTop w:val="0"/>
                  <w:marBottom w:val="0"/>
                  <w:divBdr>
                    <w:top w:val="none" w:sz="0" w:space="0" w:color="auto"/>
                    <w:left w:val="none" w:sz="0" w:space="0" w:color="auto"/>
                    <w:bottom w:val="none" w:sz="0" w:space="0" w:color="auto"/>
                    <w:right w:val="none" w:sz="0" w:space="0" w:color="auto"/>
                  </w:divBdr>
                </w:div>
                <w:div w:id="379325849">
                  <w:marLeft w:val="0"/>
                  <w:marRight w:val="0"/>
                  <w:marTop w:val="0"/>
                  <w:marBottom w:val="0"/>
                  <w:divBdr>
                    <w:top w:val="none" w:sz="0" w:space="0" w:color="auto"/>
                    <w:left w:val="none" w:sz="0" w:space="0" w:color="auto"/>
                    <w:bottom w:val="none" w:sz="0" w:space="0" w:color="auto"/>
                    <w:right w:val="none" w:sz="0" w:space="0" w:color="auto"/>
                  </w:divBdr>
                </w:div>
                <w:div w:id="559294820">
                  <w:marLeft w:val="0"/>
                  <w:marRight w:val="0"/>
                  <w:marTop w:val="0"/>
                  <w:marBottom w:val="0"/>
                  <w:divBdr>
                    <w:top w:val="none" w:sz="0" w:space="0" w:color="auto"/>
                    <w:left w:val="none" w:sz="0" w:space="0" w:color="auto"/>
                    <w:bottom w:val="none" w:sz="0" w:space="0" w:color="auto"/>
                    <w:right w:val="none" w:sz="0" w:space="0" w:color="auto"/>
                  </w:divBdr>
                </w:div>
                <w:div w:id="1889221606">
                  <w:marLeft w:val="0"/>
                  <w:marRight w:val="0"/>
                  <w:marTop w:val="0"/>
                  <w:marBottom w:val="0"/>
                  <w:divBdr>
                    <w:top w:val="none" w:sz="0" w:space="0" w:color="auto"/>
                    <w:left w:val="none" w:sz="0" w:space="0" w:color="auto"/>
                    <w:bottom w:val="none" w:sz="0" w:space="0" w:color="auto"/>
                    <w:right w:val="none" w:sz="0" w:space="0" w:color="auto"/>
                  </w:divBdr>
                </w:div>
                <w:div w:id="1971010832">
                  <w:marLeft w:val="0"/>
                  <w:marRight w:val="0"/>
                  <w:marTop w:val="0"/>
                  <w:marBottom w:val="0"/>
                  <w:divBdr>
                    <w:top w:val="none" w:sz="0" w:space="0" w:color="auto"/>
                    <w:left w:val="none" w:sz="0" w:space="0" w:color="auto"/>
                    <w:bottom w:val="none" w:sz="0" w:space="0" w:color="auto"/>
                    <w:right w:val="none" w:sz="0" w:space="0" w:color="auto"/>
                  </w:divBdr>
                </w:div>
                <w:div w:id="598102228">
                  <w:marLeft w:val="0"/>
                  <w:marRight w:val="0"/>
                  <w:marTop w:val="0"/>
                  <w:marBottom w:val="0"/>
                  <w:divBdr>
                    <w:top w:val="none" w:sz="0" w:space="0" w:color="auto"/>
                    <w:left w:val="none" w:sz="0" w:space="0" w:color="auto"/>
                    <w:bottom w:val="none" w:sz="0" w:space="0" w:color="auto"/>
                    <w:right w:val="none" w:sz="0" w:space="0" w:color="auto"/>
                  </w:divBdr>
                </w:div>
                <w:div w:id="1751660016">
                  <w:marLeft w:val="0"/>
                  <w:marRight w:val="0"/>
                  <w:marTop w:val="0"/>
                  <w:marBottom w:val="0"/>
                  <w:divBdr>
                    <w:top w:val="none" w:sz="0" w:space="0" w:color="auto"/>
                    <w:left w:val="none" w:sz="0" w:space="0" w:color="auto"/>
                    <w:bottom w:val="none" w:sz="0" w:space="0" w:color="auto"/>
                    <w:right w:val="none" w:sz="0" w:space="0" w:color="auto"/>
                  </w:divBdr>
                </w:div>
                <w:div w:id="1261644021">
                  <w:marLeft w:val="0"/>
                  <w:marRight w:val="0"/>
                  <w:marTop w:val="0"/>
                  <w:marBottom w:val="0"/>
                  <w:divBdr>
                    <w:top w:val="none" w:sz="0" w:space="0" w:color="auto"/>
                    <w:left w:val="none" w:sz="0" w:space="0" w:color="auto"/>
                    <w:bottom w:val="none" w:sz="0" w:space="0" w:color="auto"/>
                    <w:right w:val="none" w:sz="0" w:space="0" w:color="auto"/>
                  </w:divBdr>
                </w:div>
                <w:div w:id="138506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371808">
      <w:bodyDiv w:val="1"/>
      <w:marLeft w:val="0"/>
      <w:marRight w:val="0"/>
      <w:marTop w:val="0"/>
      <w:marBottom w:val="0"/>
      <w:divBdr>
        <w:top w:val="none" w:sz="0" w:space="0" w:color="auto"/>
        <w:left w:val="none" w:sz="0" w:space="0" w:color="auto"/>
        <w:bottom w:val="none" w:sz="0" w:space="0" w:color="auto"/>
        <w:right w:val="none" w:sz="0" w:space="0" w:color="auto"/>
      </w:divBdr>
    </w:div>
    <w:div w:id="925073245">
      <w:bodyDiv w:val="1"/>
      <w:marLeft w:val="0"/>
      <w:marRight w:val="0"/>
      <w:marTop w:val="0"/>
      <w:marBottom w:val="0"/>
      <w:divBdr>
        <w:top w:val="none" w:sz="0" w:space="0" w:color="auto"/>
        <w:left w:val="none" w:sz="0" w:space="0" w:color="auto"/>
        <w:bottom w:val="none" w:sz="0" w:space="0" w:color="auto"/>
        <w:right w:val="none" w:sz="0" w:space="0" w:color="auto"/>
      </w:divBdr>
    </w:div>
    <w:div w:id="927540038">
      <w:bodyDiv w:val="1"/>
      <w:marLeft w:val="0"/>
      <w:marRight w:val="0"/>
      <w:marTop w:val="0"/>
      <w:marBottom w:val="0"/>
      <w:divBdr>
        <w:top w:val="none" w:sz="0" w:space="0" w:color="auto"/>
        <w:left w:val="none" w:sz="0" w:space="0" w:color="auto"/>
        <w:bottom w:val="none" w:sz="0" w:space="0" w:color="auto"/>
        <w:right w:val="none" w:sz="0" w:space="0" w:color="auto"/>
      </w:divBdr>
    </w:div>
    <w:div w:id="934289399">
      <w:bodyDiv w:val="1"/>
      <w:marLeft w:val="0"/>
      <w:marRight w:val="0"/>
      <w:marTop w:val="0"/>
      <w:marBottom w:val="0"/>
      <w:divBdr>
        <w:top w:val="none" w:sz="0" w:space="0" w:color="auto"/>
        <w:left w:val="none" w:sz="0" w:space="0" w:color="auto"/>
        <w:bottom w:val="none" w:sz="0" w:space="0" w:color="auto"/>
        <w:right w:val="none" w:sz="0" w:space="0" w:color="auto"/>
      </w:divBdr>
    </w:div>
    <w:div w:id="934436329">
      <w:bodyDiv w:val="1"/>
      <w:marLeft w:val="0"/>
      <w:marRight w:val="0"/>
      <w:marTop w:val="0"/>
      <w:marBottom w:val="0"/>
      <w:divBdr>
        <w:top w:val="none" w:sz="0" w:space="0" w:color="auto"/>
        <w:left w:val="none" w:sz="0" w:space="0" w:color="auto"/>
        <w:bottom w:val="none" w:sz="0" w:space="0" w:color="auto"/>
        <w:right w:val="none" w:sz="0" w:space="0" w:color="auto"/>
      </w:divBdr>
    </w:div>
    <w:div w:id="935017892">
      <w:bodyDiv w:val="1"/>
      <w:marLeft w:val="0"/>
      <w:marRight w:val="0"/>
      <w:marTop w:val="0"/>
      <w:marBottom w:val="0"/>
      <w:divBdr>
        <w:top w:val="none" w:sz="0" w:space="0" w:color="auto"/>
        <w:left w:val="none" w:sz="0" w:space="0" w:color="auto"/>
        <w:bottom w:val="none" w:sz="0" w:space="0" w:color="auto"/>
        <w:right w:val="none" w:sz="0" w:space="0" w:color="auto"/>
      </w:divBdr>
    </w:div>
    <w:div w:id="937296436">
      <w:bodyDiv w:val="1"/>
      <w:marLeft w:val="0"/>
      <w:marRight w:val="0"/>
      <w:marTop w:val="0"/>
      <w:marBottom w:val="0"/>
      <w:divBdr>
        <w:top w:val="none" w:sz="0" w:space="0" w:color="auto"/>
        <w:left w:val="none" w:sz="0" w:space="0" w:color="auto"/>
        <w:bottom w:val="none" w:sz="0" w:space="0" w:color="auto"/>
        <w:right w:val="none" w:sz="0" w:space="0" w:color="auto"/>
      </w:divBdr>
    </w:div>
    <w:div w:id="938147951">
      <w:bodyDiv w:val="1"/>
      <w:marLeft w:val="0"/>
      <w:marRight w:val="0"/>
      <w:marTop w:val="0"/>
      <w:marBottom w:val="0"/>
      <w:divBdr>
        <w:top w:val="none" w:sz="0" w:space="0" w:color="auto"/>
        <w:left w:val="none" w:sz="0" w:space="0" w:color="auto"/>
        <w:bottom w:val="none" w:sz="0" w:space="0" w:color="auto"/>
        <w:right w:val="none" w:sz="0" w:space="0" w:color="auto"/>
      </w:divBdr>
    </w:div>
    <w:div w:id="939412864">
      <w:bodyDiv w:val="1"/>
      <w:marLeft w:val="0"/>
      <w:marRight w:val="0"/>
      <w:marTop w:val="0"/>
      <w:marBottom w:val="0"/>
      <w:divBdr>
        <w:top w:val="none" w:sz="0" w:space="0" w:color="auto"/>
        <w:left w:val="none" w:sz="0" w:space="0" w:color="auto"/>
        <w:bottom w:val="none" w:sz="0" w:space="0" w:color="auto"/>
        <w:right w:val="none" w:sz="0" w:space="0" w:color="auto"/>
      </w:divBdr>
    </w:div>
    <w:div w:id="941493521">
      <w:bodyDiv w:val="1"/>
      <w:marLeft w:val="0"/>
      <w:marRight w:val="0"/>
      <w:marTop w:val="0"/>
      <w:marBottom w:val="0"/>
      <w:divBdr>
        <w:top w:val="none" w:sz="0" w:space="0" w:color="auto"/>
        <w:left w:val="none" w:sz="0" w:space="0" w:color="auto"/>
        <w:bottom w:val="none" w:sz="0" w:space="0" w:color="auto"/>
        <w:right w:val="none" w:sz="0" w:space="0" w:color="auto"/>
      </w:divBdr>
      <w:divsChild>
        <w:div w:id="1332441888">
          <w:marLeft w:val="0"/>
          <w:marRight w:val="0"/>
          <w:marTop w:val="0"/>
          <w:marBottom w:val="0"/>
          <w:divBdr>
            <w:top w:val="none" w:sz="0" w:space="0" w:color="auto"/>
            <w:left w:val="none" w:sz="0" w:space="0" w:color="auto"/>
            <w:bottom w:val="none" w:sz="0" w:space="0" w:color="auto"/>
            <w:right w:val="none" w:sz="0" w:space="0" w:color="auto"/>
          </w:divBdr>
        </w:div>
      </w:divsChild>
    </w:div>
    <w:div w:id="941570607">
      <w:bodyDiv w:val="1"/>
      <w:marLeft w:val="0"/>
      <w:marRight w:val="0"/>
      <w:marTop w:val="0"/>
      <w:marBottom w:val="0"/>
      <w:divBdr>
        <w:top w:val="none" w:sz="0" w:space="0" w:color="auto"/>
        <w:left w:val="none" w:sz="0" w:space="0" w:color="auto"/>
        <w:bottom w:val="none" w:sz="0" w:space="0" w:color="auto"/>
        <w:right w:val="none" w:sz="0" w:space="0" w:color="auto"/>
      </w:divBdr>
    </w:div>
    <w:div w:id="941759722">
      <w:bodyDiv w:val="1"/>
      <w:marLeft w:val="0"/>
      <w:marRight w:val="0"/>
      <w:marTop w:val="0"/>
      <w:marBottom w:val="0"/>
      <w:divBdr>
        <w:top w:val="none" w:sz="0" w:space="0" w:color="auto"/>
        <w:left w:val="none" w:sz="0" w:space="0" w:color="auto"/>
        <w:bottom w:val="none" w:sz="0" w:space="0" w:color="auto"/>
        <w:right w:val="none" w:sz="0" w:space="0" w:color="auto"/>
      </w:divBdr>
    </w:div>
    <w:div w:id="946035886">
      <w:bodyDiv w:val="1"/>
      <w:marLeft w:val="0"/>
      <w:marRight w:val="0"/>
      <w:marTop w:val="0"/>
      <w:marBottom w:val="0"/>
      <w:divBdr>
        <w:top w:val="none" w:sz="0" w:space="0" w:color="auto"/>
        <w:left w:val="none" w:sz="0" w:space="0" w:color="auto"/>
        <w:bottom w:val="none" w:sz="0" w:space="0" w:color="auto"/>
        <w:right w:val="none" w:sz="0" w:space="0" w:color="auto"/>
      </w:divBdr>
    </w:div>
    <w:div w:id="954940637">
      <w:bodyDiv w:val="1"/>
      <w:marLeft w:val="0"/>
      <w:marRight w:val="0"/>
      <w:marTop w:val="0"/>
      <w:marBottom w:val="0"/>
      <w:divBdr>
        <w:top w:val="none" w:sz="0" w:space="0" w:color="auto"/>
        <w:left w:val="none" w:sz="0" w:space="0" w:color="auto"/>
        <w:bottom w:val="none" w:sz="0" w:space="0" w:color="auto"/>
        <w:right w:val="none" w:sz="0" w:space="0" w:color="auto"/>
      </w:divBdr>
    </w:div>
    <w:div w:id="956327583">
      <w:bodyDiv w:val="1"/>
      <w:marLeft w:val="0"/>
      <w:marRight w:val="0"/>
      <w:marTop w:val="0"/>
      <w:marBottom w:val="0"/>
      <w:divBdr>
        <w:top w:val="none" w:sz="0" w:space="0" w:color="auto"/>
        <w:left w:val="none" w:sz="0" w:space="0" w:color="auto"/>
        <w:bottom w:val="none" w:sz="0" w:space="0" w:color="auto"/>
        <w:right w:val="none" w:sz="0" w:space="0" w:color="auto"/>
      </w:divBdr>
      <w:divsChild>
        <w:div w:id="916594495">
          <w:marLeft w:val="0"/>
          <w:marRight w:val="0"/>
          <w:marTop w:val="0"/>
          <w:marBottom w:val="0"/>
          <w:divBdr>
            <w:top w:val="none" w:sz="0" w:space="0" w:color="auto"/>
            <w:left w:val="none" w:sz="0" w:space="0" w:color="auto"/>
            <w:bottom w:val="none" w:sz="0" w:space="0" w:color="auto"/>
            <w:right w:val="none" w:sz="0" w:space="0" w:color="auto"/>
          </w:divBdr>
        </w:div>
      </w:divsChild>
    </w:div>
    <w:div w:id="957758608">
      <w:bodyDiv w:val="1"/>
      <w:marLeft w:val="0"/>
      <w:marRight w:val="0"/>
      <w:marTop w:val="0"/>
      <w:marBottom w:val="0"/>
      <w:divBdr>
        <w:top w:val="none" w:sz="0" w:space="0" w:color="auto"/>
        <w:left w:val="none" w:sz="0" w:space="0" w:color="auto"/>
        <w:bottom w:val="none" w:sz="0" w:space="0" w:color="auto"/>
        <w:right w:val="none" w:sz="0" w:space="0" w:color="auto"/>
      </w:divBdr>
    </w:div>
    <w:div w:id="960497286">
      <w:bodyDiv w:val="1"/>
      <w:marLeft w:val="0"/>
      <w:marRight w:val="0"/>
      <w:marTop w:val="0"/>
      <w:marBottom w:val="0"/>
      <w:divBdr>
        <w:top w:val="none" w:sz="0" w:space="0" w:color="auto"/>
        <w:left w:val="none" w:sz="0" w:space="0" w:color="auto"/>
        <w:bottom w:val="none" w:sz="0" w:space="0" w:color="auto"/>
        <w:right w:val="none" w:sz="0" w:space="0" w:color="auto"/>
      </w:divBdr>
    </w:div>
    <w:div w:id="960847013">
      <w:bodyDiv w:val="1"/>
      <w:marLeft w:val="0"/>
      <w:marRight w:val="0"/>
      <w:marTop w:val="0"/>
      <w:marBottom w:val="0"/>
      <w:divBdr>
        <w:top w:val="none" w:sz="0" w:space="0" w:color="auto"/>
        <w:left w:val="none" w:sz="0" w:space="0" w:color="auto"/>
        <w:bottom w:val="none" w:sz="0" w:space="0" w:color="auto"/>
        <w:right w:val="none" w:sz="0" w:space="0" w:color="auto"/>
      </w:divBdr>
    </w:div>
    <w:div w:id="961152878">
      <w:bodyDiv w:val="1"/>
      <w:marLeft w:val="0"/>
      <w:marRight w:val="0"/>
      <w:marTop w:val="0"/>
      <w:marBottom w:val="0"/>
      <w:divBdr>
        <w:top w:val="none" w:sz="0" w:space="0" w:color="auto"/>
        <w:left w:val="none" w:sz="0" w:space="0" w:color="auto"/>
        <w:bottom w:val="none" w:sz="0" w:space="0" w:color="auto"/>
        <w:right w:val="none" w:sz="0" w:space="0" w:color="auto"/>
      </w:divBdr>
    </w:div>
    <w:div w:id="971444358">
      <w:bodyDiv w:val="1"/>
      <w:marLeft w:val="0"/>
      <w:marRight w:val="0"/>
      <w:marTop w:val="0"/>
      <w:marBottom w:val="0"/>
      <w:divBdr>
        <w:top w:val="none" w:sz="0" w:space="0" w:color="auto"/>
        <w:left w:val="none" w:sz="0" w:space="0" w:color="auto"/>
        <w:bottom w:val="none" w:sz="0" w:space="0" w:color="auto"/>
        <w:right w:val="none" w:sz="0" w:space="0" w:color="auto"/>
      </w:divBdr>
    </w:div>
    <w:div w:id="974945536">
      <w:bodyDiv w:val="1"/>
      <w:marLeft w:val="0"/>
      <w:marRight w:val="0"/>
      <w:marTop w:val="0"/>
      <w:marBottom w:val="0"/>
      <w:divBdr>
        <w:top w:val="none" w:sz="0" w:space="0" w:color="auto"/>
        <w:left w:val="none" w:sz="0" w:space="0" w:color="auto"/>
        <w:bottom w:val="none" w:sz="0" w:space="0" w:color="auto"/>
        <w:right w:val="none" w:sz="0" w:space="0" w:color="auto"/>
      </w:divBdr>
    </w:div>
    <w:div w:id="981811464">
      <w:bodyDiv w:val="1"/>
      <w:marLeft w:val="0"/>
      <w:marRight w:val="0"/>
      <w:marTop w:val="0"/>
      <w:marBottom w:val="0"/>
      <w:divBdr>
        <w:top w:val="none" w:sz="0" w:space="0" w:color="auto"/>
        <w:left w:val="none" w:sz="0" w:space="0" w:color="auto"/>
        <w:bottom w:val="none" w:sz="0" w:space="0" w:color="auto"/>
        <w:right w:val="none" w:sz="0" w:space="0" w:color="auto"/>
      </w:divBdr>
    </w:div>
    <w:div w:id="985744426">
      <w:bodyDiv w:val="1"/>
      <w:marLeft w:val="0"/>
      <w:marRight w:val="0"/>
      <w:marTop w:val="0"/>
      <w:marBottom w:val="0"/>
      <w:divBdr>
        <w:top w:val="none" w:sz="0" w:space="0" w:color="auto"/>
        <w:left w:val="none" w:sz="0" w:space="0" w:color="auto"/>
        <w:bottom w:val="none" w:sz="0" w:space="0" w:color="auto"/>
        <w:right w:val="none" w:sz="0" w:space="0" w:color="auto"/>
      </w:divBdr>
    </w:div>
    <w:div w:id="986206602">
      <w:bodyDiv w:val="1"/>
      <w:marLeft w:val="0"/>
      <w:marRight w:val="0"/>
      <w:marTop w:val="0"/>
      <w:marBottom w:val="0"/>
      <w:divBdr>
        <w:top w:val="none" w:sz="0" w:space="0" w:color="auto"/>
        <w:left w:val="none" w:sz="0" w:space="0" w:color="auto"/>
        <w:bottom w:val="none" w:sz="0" w:space="0" w:color="auto"/>
        <w:right w:val="none" w:sz="0" w:space="0" w:color="auto"/>
      </w:divBdr>
    </w:div>
    <w:div w:id="989791511">
      <w:bodyDiv w:val="1"/>
      <w:marLeft w:val="0"/>
      <w:marRight w:val="0"/>
      <w:marTop w:val="0"/>
      <w:marBottom w:val="0"/>
      <w:divBdr>
        <w:top w:val="none" w:sz="0" w:space="0" w:color="auto"/>
        <w:left w:val="none" w:sz="0" w:space="0" w:color="auto"/>
        <w:bottom w:val="none" w:sz="0" w:space="0" w:color="auto"/>
        <w:right w:val="none" w:sz="0" w:space="0" w:color="auto"/>
      </w:divBdr>
    </w:div>
    <w:div w:id="994146794">
      <w:bodyDiv w:val="1"/>
      <w:marLeft w:val="0"/>
      <w:marRight w:val="0"/>
      <w:marTop w:val="0"/>
      <w:marBottom w:val="0"/>
      <w:divBdr>
        <w:top w:val="none" w:sz="0" w:space="0" w:color="auto"/>
        <w:left w:val="none" w:sz="0" w:space="0" w:color="auto"/>
        <w:bottom w:val="none" w:sz="0" w:space="0" w:color="auto"/>
        <w:right w:val="none" w:sz="0" w:space="0" w:color="auto"/>
      </w:divBdr>
    </w:div>
    <w:div w:id="1002664294">
      <w:bodyDiv w:val="1"/>
      <w:marLeft w:val="0"/>
      <w:marRight w:val="0"/>
      <w:marTop w:val="0"/>
      <w:marBottom w:val="0"/>
      <w:divBdr>
        <w:top w:val="none" w:sz="0" w:space="0" w:color="auto"/>
        <w:left w:val="none" w:sz="0" w:space="0" w:color="auto"/>
        <w:bottom w:val="none" w:sz="0" w:space="0" w:color="auto"/>
        <w:right w:val="none" w:sz="0" w:space="0" w:color="auto"/>
      </w:divBdr>
    </w:div>
    <w:div w:id="1004237633">
      <w:bodyDiv w:val="1"/>
      <w:marLeft w:val="0"/>
      <w:marRight w:val="0"/>
      <w:marTop w:val="0"/>
      <w:marBottom w:val="0"/>
      <w:divBdr>
        <w:top w:val="none" w:sz="0" w:space="0" w:color="auto"/>
        <w:left w:val="none" w:sz="0" w:space="0" w:color="auto"/>
        <w:bottom w:val="none" w:sz="0" w:space="0" w:color="auto"/>
        <w:right w:val="none" w:sz="0" w:space="0" w:color="auto"/>
      </w:divBdr>
    </w:div>
    <w:div w:id="1007055961">
      <w:bodyDiv w:val="1"/>
      <w:marLeft w:val="0"/>
      <w:marRight w:val="0"/>
      <w:marTop w:val="0"/>
      <w:marBottom w:val="0"/>
      <w:divBdr>
        <w:top w:val="none" w:sz="0" w:space="0" w:color="auto"/>
        <w:left w:val="none" w:sz="0" w:space="0" w:color="auto"/>
        <w:bottom w:val="none" w:sz="0" w:space="0" w:color="auto"/>
        <w:right w:val="none" w:sz="0" w:space="0" w:color="auto"/>
      </w:divBdr>
    </w:div>
    <w:div w:id="1015958542">
      <w:bodyDiv w:val="1"/>
      <w:marLeft w:val="0"/>
      <w:marRight w:val="0"/>
      <w:marTop w:val="0"/>
      <w:marBottom w:val="0"/>
      <w:divBdr>
        <w:top w:val="none" w:sz="0" w:space="0" w:color="auto"/>
        <w:left w:val="none" w:sz="0" w:space="0" w:color="auto"/>
        <w:bottom w:val="none" w:sz="0" w:space="0" w:color="auto"/>
        <w:right w:val="none" w:sz="0" w:space="0" w:color="auto"/>
      </w:divBdr>
    </w:div>
    <w:div w:id="1017196046">
      <w:bodyDiv w:val="1"/>
      <w:marLeft w:val="0"/>
      <w:marRight w:val="0"/>
      <w:marTop w:val="0"/>
      <w:marBottom w:val="0"/>
      <w:divBdr>
        <w:top w:val="none" w:sz="0" w:space="0" w:color="auto"/>
        <w:left w:val="none" w:sz="0" w:space="0" w:color="auto"/>
        <w:bottom w:val="none" w:sz="0" w:space="0" w:color="auto"/>
        <w:right w:val="none" w:sz="0" w:space="0" w:color="auto"/>
      </w:divBdr>
    </w:div>
    <w:div w:id="1018700594">
      <w:bodyDiv w:val="1"/>
      <w:marLeft w:val="0"/>
      <w:marRight w:val="0"/>
      <w:marTop w:val="0"/>
      <w:marBottom w:val="0"/>
      <w:divBdr>
        <w:top w:val="none" w:sz="0" w:space="0" w:color="auto"/>
        <w:left w:val="none" w:sz="0" w:space="0" w:color="auto"/>
        <w:bottom w:val="none" w:sz="0" w:space="0" w:color="auto"/>
        <w:right w:val="none" w:sz="0" w:space="0" w:color="auto"/>
      </w:divBdr>
    </w:div>
    <w:div w:id="1021054809">
      <w:bodyDiv w:val="1"/>
      <w:marLeft w:val="0"/>
      <w:marRight w:val="0"/>
      <w:marTop w:val="0"/>
      <w:marBottom w:val="0"/>
      <w:divBdr>
        <w:top w:val="none" w:sz="0" w:space="0" w:color="auto"/>
        <w:left w:val="none" w:sz="0" w:space="0" w:color="auto"/>
        <w:bottom w:val="none" w:sz="0" w:space="0" w:color="auto"/>
        <w:right w:val="none" w:sz="0" w:space="0" w:color="auto"/>
      </w:divBdr>
    </w:div>
    <w:div w:id="1025054272">
      <w:bodyDiv w:val="1"/>
      <w:marLeft w:val="0"/>
      <w:marRight w:val="0"/>
      <w:marTop w:val="0"/>
      <w:marBottom w:val="0"/>
      <w:divBdr>
        <w:top w:val="none" w:sz="0" w:space="0" w:color="auto"/>
        <w:left w:val="none" w:sz="0" w:space="0" w:color="auto"/>
        <w:bottom w:val="none" w:sz="0" w:space="0" w:color="auto"/>
        <w:right w:val="none" w:sz="0" w:space="0" w:color="auto"/>
      </w:divBdr>
    </w:div>
    <w:div w:id="1027100579">
      <w:bodyDiv w:val="1"/>
      <w:marLeft w:val="0"/>
      <w:marRight w:val="0"/>
      <w:marTop w:val="0"/>
      <w:marBottom w:val="0"/>
      <w:divBdr>
        <w:top w:val="none" w:sz="0" w:space="0" w:color="auto"/>
        <w:left w:val="none" w:sz="0" w:space="0" w:color="auto"/>
        <w:bottom w:val="none" w:sz="0" w:space="0" w:color="auto"/>
        <w:right w:val="none" w:sz="0" w:space="0" w:color="auto"/>
      </w:divBdr>
    </w:div>
    <w:div w:id="1028873105">
      <w:bodyDiv w:val="1"/>
      <w:marLeft w:val="0"/>
      <w:marRight w:val="0"/>
      <w:marTop w:val="0"/>
      <w:marBottom w:val="0"/>
      <w:divBdr>
        <w:top w:val="none" w:sz="0" w:space="0" w:color="auto"/>
        <w:left w:val="none" w:sz="0" w:space="0" w:color="auto"/>
        <w:bottom w:val="none" w:sz="0" w:space="0" w:color="auto"/>
        <w:right w:val="none" w:sz="0" w:space="0" w:color="auto"/>
      </w:divBdr>
    </w:div>
    <w:div w:id="1030183786">
      <w:bodyDiv w:val="1"/>
      <w:marLeft w:val="0"/>
      <w:marRight w:val="0"/>
      <w:marTop w:val="0"/>
      <w:marBottom w:val="0"/>
      <w:divBdr>
        <w:top w:val="none" w:sz="0" w:space="0" w:color="auto"/>
        <w:left w:val="none" w:sz="0" w:space="0" w:color="auto"/>
        <w:bottom w:val="none" w:sz="0" w:space="0" w:color="auto"/>
        <w:right w:val="none" w:sz="0" w:space="0" w:color="auto"/>
      </w:divBdr>
    </w:div>
    <w:div w:id="1034691123">
      <w:bodyDiv w:val="1"/>
      <w:marLeft w:val="0"/>
      <w:marRight w:val="0"/>
      <w:marTop w:val="0"/>
      <w:marBottom w:val="0"/>
      <w:divBdr>
        <w:top w:val="none" w:sz="0" w:space="0" w:color="auto"/>
        <w:left w:val="none" w:sz="0" w:space="0" w:color="auto"/>
        <w:bottom w:val="none" w:sz="0" w:space="0" w:color="auto"/>
        <w:right w:val="none" w:sz="0" w:space="0" w:color="auto"/>
      </w:divBdr>
    </w:div>
    <w:div w:id="1038360477">
      <w:bodyDiv w:val="1"/>
      <w:marLeft w:val="0"/>
      <w:marRight w:val="0"/>
      <w:marTop w:val="0"/>
      <w:marBottom w:val="0"/>
      <w:divBdr>
        <w:top w:val="none" w:sz="0" w:space="0" w:color="auto"/>
        <w:left w:val="none" w:sz="0" w:space="0" w:color="auto"/>
        <w:bottom w:val="none" w:sz="0" w:space="0" w:color="auto"/>
        <w:right w:val="none" w:sz="0" w:space="0" w:color="auto"/>
      </w:divBdr>
    </w:div>
    <w:div w:id="1038890733">
      <w:bodyDiv w:val="1"/>
      <w:marLeft w:val="0"/>
      <w:marRight w:val="0"/>
      <w:marTop w:val="0"/>
      <w:marBottom w:val="0"/>
      <w:divBdr>
        <w:top w:val="none" w:sz="0" w:space="0" w:color="auto"/>
        <w:left w:val="none" w:sz="0" w:space="0" w:color="auto"/>
        <w:bottom w:val="none" w:sz="0" w:space="0" w:color="auto"/>
        <w:right w:val="none" w:sz="0" w:space="0" w:color="auto"/>
      </w:divBdr>
    </w:div>
    <w:div w:id="1040668632">
      <w:bodyDiv w:val="1"/>
      <w:marLeft w:val="0"/>
      <w:marRight w:val="0"/>
      <w:marTop w:val="0"/>
      <w:marBottom w:val="0"/>
      <w:divBdr>
        <w:top w:val="none" w:sz="0" w:space="0" w:color="auto"/>
        <w:left w:val="none" w:sz="0" w:space="0" w:color="auto"/>
        <w:bottom w:val="none" w:sz="0" w:space="0" w:color="auto"/>
        <w:right w:val="none" w:sz="0" w:space="0" w:color="auto"/>
      </w:divBdr>
    </w:div>
    <w:div w:id="1045257012">
      <w:bodyDiv w:val="1"/>
      <w:marLeft w:val="0"/>
      <w:marRight w:val="0"/>
      <w:marTop w:val="0"/>
      <w:marBottom w:val="0"/>
      <w:divBdr>
        <w:top w:val="none" w:sz="0" w:space="0" w:color="auto"/>
        <w:left w:val="none" w:sz="0" w:space="0" w:color="auto"/>
        <w:bottom w:val="none" w:sz="0" w:space="0" w:color="auto"/>
        <w:right w:val="none" w:sz="0" w:space="0" w:color="auto"/>
      </w:divBdr>
    </w:div>
    <w:div w:id="1045373253">
      <w:bodyDiv w:val="1"/>
      <w:marLeft w:val="0"/>
      <w:marRight w:val="0"/>
      <w:marTop w:val="0"/>
      <w:marBottom w:val="0"/>
      <w:divBdr>
        <w:top w:val="none" w:sz="0" w:space="0" w:color="auto"/>
        <w:left w:val="none" w:sz="0" w:space="0" w:color="auto"/>
        <w:bottom w:val="none" w:sz="0" w:space="0" w:color="auto"/>
        <w:right w:val="none" w:sz="0" w:space="0" w:color="auto"/>
      </w:divBdr>
    </w:div>
    <w:div w:id="1046372251">
      <w:bodyDiv w:val="1"/>
      <w:marLeft w:val="0"/>
      <w:marRight w:val="0"/>
      <w:marTop w:val="0"/>
      <w:marBottom w:val="0"/>
      <w:divBdr>
        <w:top w:val="none" w:sz="0" w:space="0" w:color="auto"/>
        <w:left w:val="none" w:sz="0" w:space="0" w:color="auto"/>
        <w:bottom w:val="none" w:sz="0" w:space="0" w:color="auto"/>
        <w:right w:val="none" w:sz="0" w:space="0" w:color="auto"/>
      </w:divBdr>
    </w:div>
    <w:div w:id="1046444773">
      <w:bodyDiv w:val="1"/>
      <w:marLeft w:val="0"/>
      <w:marRight w:val="0"/>
      <w:marTop w:val="0"/>
      <w:marBottom w:val="0"/>
      <w:divBdr>
        <w:top w:val="none" w:sz="0" w:space="0" w:color="auto"/>
        <w:left w:val="none" w:sz="0" w:space="0" w:color="auto"/>
        <w:bottom w:val="none" w:sz="0" w:space="0" w:color="auto"/>
        <w:right w:val="none" w:sz="0" w:space="0" w:color="auto"/>
      </w:divBdr>
    </w:div>
    <w:div w:id="1047801778">
      <w:bodyDiv w:val="1"/>
      <w:marLeft w:val="0"/>
      <w:marRight w:val="0"/>
      <w:marTop w:val="0"/>
      <w:marBottom w:val="0"/>
      <w:divBdr>
        <w:top w:val="none" w:sz="0" w:space="0" w:color="auto"/>
        <w:left w:val="none" w:sz="0" w:space="0" w:color="auto"/>
        <w:bottom w:val="none" w:sz="0" w:space="0" w:color="auto"/>
        <w:right w:val="none" w:sz="0" w:space="0" w:color="auto"/>
      </w:divBdr>
    </w:div>
    <w:div w:id="1052540453">
      <w:bodyDiv w:val="1"/>
      <w:marLeft w:val="0"/>
      <w:marRight w:val="0"/>
      <w:marTop w:val="0"/>
      <w:marBottom w:val="0"/>
      <w:divBdr>
        <w:top w:val="none" w:sz="0" w:space="0" w:color="auto"/>
        <w:left w:val="none" w:sz="0" w:space="0" w:color="auto"/>
        <w:bottom w:val="none" w:sz="0" w:space="0" w:color="auto"/>
        <w:right w:val="none" w:sz="0" w:space="0" w:color="auto"/>
      </w:divBdr>
      <w:divsChild>
        <w:div w:id="286620115">
          <w:marLeft w:val="0"/>
          <w:marRight w:val="0"/>
          <w:marTop w:val="0"/>
          <w:marBottom w:val="0"/>
          <w:divBdr>
            <w:top w:val="none" w:sz="0" w:space="0" w:color="auto"/>
            <w:left w:val="none" w:sz="0" w:space="0" w:color="auto"/>
            <w:bottom w:val="none" w:sz="0" w:space="0" w:color="auto"/>
            <w:right w:val="none" w:sz="0" w:space="0" w:color="auto"/>
          </w:divBdr>
        </w:div>
        <w:div w:id="736708421">
          <w:marLeft w:val="0"/>
          <w:marRight w:val="0"/>
          <w:marTop w:val="0"/>
          <w:marBottom w:val="0"/>
          <w:divBdr>
            <w:top w:val="none" w:sz="0" w:space="0" w:color="auto"/>
            <w:left w:val="none" w:sz="0" w:space="0" w:color="auto"/>
            <w:bottom w:val="none" w:sz="0" w:space="0" w:color="auto"/>
            <w:right w:val="none" w:sz="0" w:space="0" w:color="auto"/>
          </w:divBdr>
        </w:div>
        <w:div w:id="1123495543">
          <w:marLeft w:val="0"/>
          <w:marRight w:val="0"/>
          <w:marTop w:val="0"/>
          <w:marBottom w:val="0"/>
          <w:divBdr>
            <w:top w:val="none" w:sz="0" w:space="0" w:color="auto"/>
            <w:left w:val="none" w:sz="0" w:space="0" w:color="auto"/>
            <w:bottom w:val="none" w:sz="0" w:space="0" w:color="auto"/>
            <w:right w:val="none" w:sz="0" w:space="0" w:color="auto"/>
          </w:divBdr>
        </w:div>
      </w:divsChild>
    </w:div>
    <w:div w:id="1063989033">
      <w:bodyDiv w:val="1"/>
      <w:marLeft w:val="0"/>
      <w:marRight w:val="0"/>
      <w:marTop w:val="0"/>
      <w:marBottom w:val="0"/>
      <w:divBdr>
        <w:top w:val="none" w:sz="0" w:space="0" w:color="auto"/>
        <w:left w:val="none" w:sz="0" w:space="0" w:color="auto"/>
        <w:bottom w:val="none" w:sz="0" w:space="0" w:color="auto"/>
        <w:right w:val="none" w:sz="0" w:space="0" w:color="auto"/>
      </w:divBdr>
    </w:div>
    <w:div w:id="1064568611">
      <w:bodyDiv w:val="1"/>
      <w:marLeft w:val="0"/>
      <w:marRight w:val="0"/>
      <w:marTop w:val="0"/>
      <w:marBottom w:val="0"/>
      <w:divBdr>
        <w:top w:val="none" w:sz="0" w:space="0" w:color="auto"/>
        <w:left w:val="none" w:sz="0" w:space="0" w:color="auto"/>
        <w:bottom w:val="none" w:sz="0" w:space="0" w:color="auto"/>
        <w:right w:val="none" w:sz="0" w:space="0" w:color="auto"/>
      </w:divBdr>
    </w:div>
    <w:div w:id="1070158874">
      <w:bodyDiv w:val="1"/>
      <w:marLeft w:val="0"/>
      <w:marRight w:val="0"/>
      <w:marTop w:val="0"/>
      <w:marBottom w:val="0"/>
      <w:divBdr>
        <w:top w:val="none" w:sz="0" w:space="0" w:color="auto"/>
        <w:left w:val="none" w:sz="0" w:space="0" w:color="auto"/>
        <w:bottom w:val="none" w:sz="0" w:space="0" w:color="auto"/>
        <w:right w:val="none" w:sz="0" w:space="0" w:color="auto"/>
      </w:divBdr>
    </w:div>
    <w:div w:id="1070424795">
      <w:bodyDiv w:val="1"/>
      <w:marLeft w:val="0"/>
      <w:marRight w:val="0"/>
      <w:marTop w:val="0"/>
      <w:marBottom w:val="0"/>
      <w:divBdr>
        <w:top w:val="none" w:sz="0" w:space="0" w:color="auto"/>
        <w:left w:val="none" w:sz="0" w:space="0" w:color="auto"/>
        <w:bottom w:val="none" w:sz="0" w:space="0" w:color="auto"/>
        <w:right w:val="none" w:sz="0" w:space="0" w:color="auto"/>
      </w:divBdr>
      <w:divsChild>
        <w:div w:id="1500924825">
          <w:marLeft w:val="0"/>
          <w:marRight w:val="0"/>
          <w:marTop w:val="0"/>
          <w:marBottom w:val="0"/>
          <w:divBdr>
            <w:top w:val="none" w:sz="0" w:space="0" w:color="auto"/>
            <w:left w:val="none" w:sz="0" w:space="0" w:color="auto"/>
            <w:bottom w:val="none" w:sz="0" w:space="0" w:color="auto"/>
            <w:right w:val="none" w:sz="0" w:space="0" w:color="auto"/>
          </w:divBdr>
        </w:div>
      </w:divsChild>
    </w:div>
    <w:div w:id="1073623592">
      <w:bodyDiv w:val="1"/>
      <w:marLeft w:val="0"/>
      <w:marRight w:val="0"/>
      <w:marTop w:val="0"/>
      <w:marBottom w:val="0"/>
      <w:divBdr>
        <w:top w:val="none" w:sz="0" w:space="0" w:color="auto"/>
        <w:left w:val="none" w:sz="0" w:space="0" w:color="auto"/>
        <w:bottom w:val="none" w:sz="0" w:space="0" w:color="auto"/>
        <w:right w:val="none" w:sz="0" w:space="0" w:color="auto"/>
      </w:divBdr>
    </w:div>
    <w:div w:id="1074619867">
      <w:bodyDiv w:val="1"/>
      <w:marLeft w:val="0"/>
      <w:marRight w:val="0"/>
      <w:marTop w:val="0"/>
      <w:marBottom w:val="0"/>
      <w:divBdr>
        <w:top w:val="none" w:sz="0" w:space="0" w:color="auto"/>
        <w:left w:val="none" w:sz="0" w:space="0" w:color="auto"/>
        <w:bottom w:val="none" w:sz="0" w:space="0" w:color="auto"/>
        <w:right w:val="none" w:sz="0" w:space="0" w:color="auto"/>
      </w:divBdr>
    </w:div>
    <w:div w:id="1077705016">
      <w:bodyDiv w:val="1"/>
      <w:marLeft w:val="0"/>
      <w:marRight w:val="0"/>
      <w:marTop w:val="0"/>
      <w:marBottom w:val="0"/>
      <w:divBdr>
        <w:top w:val="none" w:sz="0" w:space="0" w:color="auto"/>
        <w:left w:val="none" w:sz="0" w:space="0" w:color="auto"/>
        <w:bottom w:val="none" w:sz="0" w:space="0" w:color="auto"/>
        <w:right w:val="none" w:sz="0" w:space="0" w:color="auto"/>
      </w:divBdr>
    </w:div>
    <w:div w:id="1081290222">
      <w:bodyDiv w:val="1"/>
      <w:marLeft w:val="0"/>
      <w:marRight w:val="0"/>
      <w:marTop w:val="0"/>
      <w:marBottom w:val="0"/>
      <w:divBdr>
        <w:top w:val="none" w:sz="0" w:space="0" w:color="auto"/>
        <w:left w:val="none" w:sz="0" w:space="0" w:color="auto"/>
        <w:bottom w:val="none" w:sz="0" w:space="0" w:color="auto"/>
        <w:right w:val="none" w:sz="0" w:space="0" w:color="auto"/>
      </w:divBdr>
    </w:div>
    <w:div w:id="1081945072">
      <w:bodyDiv w:val="1"/>
      <w:marLeft w:val="0"/>
      <w:marRight w:val="0"/>
      <w:marTop w:val="0"/>
      <w:marBottom w:val="0"/>
      <w:divBdr>
        <w:top w:val="none" w:sz="0" w:space="0" w:color="auto"/>
        <w:left w:val="none" w:sz="0" w:space="0" w:color="auto"/>
        <w:bottom w:val="none" w:sz="0" w:space="0" w:color="auto"/>
        <w:right w:val="none" w:sz="0" w:space="0" w:color="auto"/>
      </w:divBdr>
    </w:div>
    <w:div w:id="1083378234">
      <w:bodyDiv w:val="1"/>
      <w:marLeft w:val="0"/>
      <w:marRight w:val="0"/>
      <w:marTop w:val="0"/>
      <w:marBottom w:val="0"/>
      <w:divBdr>
        <w:top w:val="none" w:sz="0" w:space="0" w:color="auto"/>
        <w:left w:val="none" w:sz="0" w:space="0" w:color="auto"/>
        <w:bottom w:val="none" w:sz="0" w:space="0" w:color="auto"/>
        <w:right w:val="none" w:sz="0" w:space="0" w:color="auto"/>
      </w:divBdr>
    </w:div>
    <w:div w:id="1086657837">
      <w:bodyDiv w:val="1"/>
      <w:marLeft w:val="0"/>
      <w:marRight w:val="0"/>
      <w:marTop w:val="0"/>
      <w:marBottom w:val="0"/>
      <w:divBdr>
        <w:top w:val="none" w:sz="0" w:space="0" w:color="auto"/>
        <w:left w:val="none" w:sz="0" w:space="0" w:color="auto"/>
        <w:bottom w:val="none" w:sz="0" w:space="0" w:color="auto"/>
        <w:right w:val="none" w:sz="0" w:space="0" w:color="auto"/>
      </w:divBdr>
    </w:div>
    <w:div w:id="1086993428">
      <w:bodyDiv w:val="1"/>
      <w:marLeft w:val="0"/>
      <w:marRight w:val="0"/>
      <w:marTop w:val="0"/>
      <w:marBottom w:val="0"/>
      <w:divBdr>
        <w:top w:val="none" w:sz="0" w:space="0" w:color="auto"/>
        <w:left w:val="none" w:sz="0" w:space="0" w:color="auto"/>
        <w:bottom w:val="none" w:sz="0" w:space="0" w:color="auto"/>
        <w:right w:val="none" w:sz="0" w:space="0" w:color="auto"/>
      </w:divBdr>
    </w:div>
    <w:div w:id="1088648736">
      <w:bodyDiv w:val="1"/>
      <w:marLeft w:val="0"/>
      <w:marRight w:val="0"/>
      <w:marTop w:val="0"/>
      <w:marBottom w:val="0"/>
      <w:divBdr>
        <w:top w:val="none" w:sz="0" w:space="0" w:color="auto"/>
        <w:left w:val="none" w:sz="0" w:space="0" w:color="auto"/>
        <w:bottom w:val="none" w:sz="0" w:space="0" w:color="auto"/>
        <w:right w:val="none" w:sz="0" w:space="0" w:color="auto"/>
      </w:divBdr>
    </w:div>
    <w:div w:id="1090469706">
      <w:bodyDiv w:val="1"/>
      <w:marLeft w:val="0"/>
      <w:marRight w:val="0"/>
      <w:marTop w:val="0"/>
      <w:marBottom w:val="0"/>
      <w:divBdr>
        <w:top w:val="none" w:sz="0" w:space="0" w:color="auto"/>
        <w:left w:val="none" w:sz="0" w:space="0" w:color="auto"/>
        <w:bottom w:val="none" w:sz="0" w:space="0" w:color="auto"/>
        <w:right w:val="none" w:sz="0" w:space="0" w:color="auto"/>
      </w:divBdr>
    </w:div>
    <w:div w:id="1092048763">
      <w:bodyDiv w:val="1"/>
      <w:marLeft w:val="0"/>
      <w:marRight w:val="0"/>
      <w:marTop w:val="0"/>
      <w:marBottom w:val="0"/>
      <w:divBdr>
        <w:top w:val="none" w:sz="0" w:space="0" w:color="auto"/>
        <w:left w:val="none" w:sz="0" w:space="0" w:color="auto"/>
        <w:bottom w:val="none" w:sz="0" w:space="0" w:color="auto"/>
        <w:right w:val="none" w:sz="0" w:space="0" w:color="auto"/>
      </w:divBdr>
    </w:div>
    <w:div w:id="1093280936">
      <w:bodyDiv w:val="1"/>
      <w:marLeft w:val="0"/>
      <w:marRight w:val="0"/>
      <w:marTop w:val="0"/>
      <w:marBottom w:val="0"/>
      <w:divBdr>
        <w:top w:val="none" w:sz="0" w:space="0" w:color="auto"/>
        <w:left w:val="none" w:sz="0" w:space="0" w:color="auto"/>
        <w:bottom w:val="none" w:sz="0" w:space="0" w:color="auto"/>
        <w:right w:val="none" w:sz="0" w:space="0" w:color="auto"/>
      </w:divBdr>
    </w:div>
    <w:div w:id="1098140161">
      <w:bodyDiv w:val="1"/>
      <w:marLeft w:val="0"/>
      <w:marRight w:val="0"/>
      <w:marTop w:val="0"/>
      <w:marBottom w:val="0"/>
      <w:divBdr>
        <w:top w:val="none" w:sz="0" w:space="0" w:color="auto"/>
        <w:left w:val="none" w:sz="0" w:space="0" w:color="auto"/>
        <w:bottom w:val="none" w:sz="0" w:space="0" w:color="auto"/>
        <w:right w:val="none" w:sz="0" w:space="0" w:color="auto"/>
      </w:divBdr>
    </w:div>
    <w:div w:id="1100637338">
      <w:bodyDiv w:val="1"/>
      <w:marLeft w:val="0"/>
      <w:marRight w:val="0"/>
      <w:marTop w:val="0"/>
      <w:marBottom w:val="0"/>
      <w:divBdr>
        <w:top w:val="none" w:sz="0" w:space="0" w:color="auto"/>
        <w:left w:val="none" w:sz="0" w:space="0" w:color="auto"/>
        <w:bottom w:val="none" w:sz="0" w:space="0" w:color="auto"/>
        <w:right w:val="none" w:sz="0" w:space="0" w:color="auto"/>
      </w:divBdr>
    </w:div>
    <w:div w:id="1105424592">
      <w:bodyDiv w:val="1"/>
      <w:marLeft w:val="0"/>
      <w:marRight w:val="0"/>
      <w:marTop w:val="0"/>
      <w:marBottom w:val="0"/>
      <w:divBdr>
        <w:top w:val="none" w:sz="0" w:space="0" w:color="auto"/>
        <w:left w:val="none" w:sz="0" w:space="0" w:color="auto"/>
        <w:bottom w:val="none" w:sz="0" w:space="0" w:color="auto"/>
        <w:right w:val="none" w:sz="0" w:space="0" w:color="auto"/>
      </w:divBdr>
    </w:div>
    <w:div w:id="1109200885">
      <w:bodyDiv w:val="1"/>
      <w:marLeft w:val="0"/>
      <w:marRight w:val="0"/>
      <w:marTop w:val="0"/>
      <w:marBottom w:val="0"/>
      <w:divBdr>
        <w:top w:val="none" w:sz="0" w:space="0" w:color="auto"/>
        <w:left w:val="none" w:sz="0" w:space="0" w:color="auto"/>
        <w:bottom w:val="none" w:sz="0" w:space="0" w:color="auto"/>
        <w:right w:val="none" w:sz="0" w:space="0" w:color="auto"/>
      </w:divBdr>
    </w:div>
    <w:div w:id="1116102474">
      <w:bodyDiv w:val="1"/>
      <w:marLeft w:val="0"/>
      <w:marRight w:val="0"/>
      <w:marTop w:val="0"/>
      <w:marBottom w:val="0"/>
      <w:divBdr>
        <w:top w:val="none" w:sz="0" w:space="0" w:color="auto"/>
        <w:left w:val="none" w:sz="0" w:space="0" w:color="auto"/>
        <w:bottom w:val="none" w:sz="0" w:space="0" w:color="auto"/>
        <w:right w:val="none" w:sz="0" w:space="0" w:color="auto"/>
      </w:divBdr>
      <w:divsChild>
        <w:div w:id="815609499">
          <w:marLeft w:val="0"/>
          <w:marRight w:val="0"/>
          <w:marTop w:val="0"/>
          <w:marBottom w:val="0"/>
          <w:divBdr>
            <w:top w:val="none" w:sz="0" w:space="0" w:color="auto"/>
            <w:left w:val="none" w:sz="0" w:space="0" w:color="auto"/>
            <w:bottom w:val="none" w:sz="0" w:space="0" w:color="auto"/>
            <w:right w:val="none" w:sz="0" w:space="0" w:color="auto"/>
          </w:divBdr>
        </w:div>
        <w:div w:id="341207473">
          <w:marLeft w:val="0"/>
          <w:marRight w:val="0"/>
          <w:marTop w:val="0"/>
          <w:marBottom w:val="0"/>
          <w:divBdr>
            <w:top w:val="none" w:sz="0" w:space="0" w:color="auto"/>
            <w:left w:val="none" w:sz="0" w:space="0" w:color="auto"/>
            <w:bottom w:val="none" w:sz="0" w:space="0" w:color="auto"/>
            <w:right w:val="none" w:sz="0" w:space="0" w:color="auto"/>
          </w:divBdr>
          <w:divsChild>
            <w:div w:id="633367346">
              <w:marLeft w:val="0"/>
              <w:marRight w:val="0"/>
              <w:marTop w:val="0"/>
              <w:marBottom w:val="0"/>
              <w:divBdr>
                <w:top w:val="none" w:sz="0" w:space="0" w:color="auto"/>
                <w:left w:val="none" w:sz="0" w:space="0" w:color="auto"/>
                <w:bottom w:val="none" w:sz="0" w:space="0" w:color="auto"/>
                <w:right w:val="none" w:sz="0" w:space="0" w:color="auto"/>
              </w:divBdr>
              <w:divsChild>
                <w:div w:id="201857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67215">
      <w:bodyDiv w:val="1"/>
      <w:marLeft w:val="0"/>
      <w:marRight w:val="0"/>
      <w:marTop w:val="0"/>
      <w:marBottom w:val="0"/>
      <w:divBdr>
        <w:top w:val="none" w:sz="0" w:space="0" w:color="auto"/>
        <w:left w:val="none" w:sz="0" w:space="0" w:color="auto"/>
        <w:bottom w:val="none" w:sz="0" w:space="0" w:color="auto"/>
        <w:right w:val="none" w:sz="0" w:space="0" w:color="auto"/>
      </w:divBdr>
    </w:div>
    <w:div w:id="1123495442">
      <w:bodyDiv w:val="1"/>
      <w:marLeft w:val="0"/>
      <w:marRight w:val="0"/>
      <w:marTop w:val="0"/>
      <w:marBottom w:val="0"/>
      <w:divBdr>
        <w:top w:val="none" w:sz="0" w:space="0" w:color="auto"/>
        <w:left w:val="none" w:sz="0" w:space="0" w:color="auto"/>
        <w:bottom w:val="none" w:sz="0" w:space="0" w:color="auto"/>
        <w:right w:val="none" w:sz="0" w:space="0" w:color="auto"/>
      </w:divBdr>
    </w:div>
    <w:div w:id="1126121228">
      <w:bodyDiv w:val="1"/>
      <w:marLeft w:val="0"/>
      <w:marRight w:val="0"/>
      <w:marTop w:val="0"/>
      <w:marBottom w:val="0"/>
      <w:divBdr>
        <w:top w:val="none" w:sz="0" w:space="0" w:color="auto"/>
        <w:left w:val="none" w:sz="0" w:space="0" w:color="auto"/>
        <w:bottom w:val="none" w:sz="0" w:space="0" w:color="auto"/>
        <w:right w:val="none" w:sz="0" w:space="0" w:color="auto"/>
      </w:divBdr>
    </w:div>
    <w:div w:id="1132479019">
      <w:bodyDiv w:val="1"/>
      <w:marLeft w:val="0"/>
      <w:marRight w:val="0"/>
      <w:marTop w:val="0"/>
      <w:marBottom w:val="0"/>
      <w:divBdr>
        <w:top w:val="none" w:sz="0" w:space="0" w:color="auto"/>
        <w:left w:val="none" w:sz="0" w:space="0" w:color="auto"/>
        <w:bottom w:val="none" w:sz="0" w:space="0" w:color="auto"/>
        <w:right w:val="none" w:sz="0" w:space="0" w:color="auto"/>
      </w:divBdr>
    </w:div>
    <w:div w:id="1135414923">
      <w:bodyDiv w:val="1"/>
      <w:marLeft w:val="0"/>
      <w:marRight w:val="0"/>
      <w:marTop w:val="0"/>
      <w:marBottom w:val="0"/>
      <w:divBdr>
        <w:top w:val="none" w:sz="0" w:space="0" w:color="auto"/>
        <w:left w:val="none" w:sz="0" w:space="0" w:color="auto"/>
        <w:bottom w:val="none" w:sz="0" w:space="0" w:color="auto"/>
        <w:right w:val="none" w:sz="0" w:space="0" w:color="auto"/>
      </w:divBdr>
      <w:divsChild>
        <w:div w:id="1718314423">
          <w:marLeft w:val="0"/>
          <w:marRight w:val="0"/>
          <w:marTop w:val="0"/>
          <w:marBottom w:val="0"/>
          <w:divBdr>
            <w:top w:val="none" w:sz="0" w:space="0" w:color="auto"/>
            <w:left w:val="none" w:sz="0" w:space="0" w:color="auto"/>
            <w:bottom w:val="none" w:sz="0" w:space="0" w:color="auto"/>
            <w:right w:val="none" w:sz="0" w:space="0" w:color="auto"/>
          </w:divBdr>
        </w:div>
        <w:div w:id="1079250913">
          <w:marLeft w:val="0"/>
          <w:marRight w:val="0"/>
          <w:marTop w:val="0"/>
          <w:marBottom w:val="0"/>
          <w:divBdr>
            <w:top w:val="none" w:sz="0" w:space="0" w:color="auto"/>
            <w:left w:val="none" w:sz="0" w:space="0" w:color="auto"/>
            <w:bottom w:val="none" w:sz="0" w:space="0" w:color="auto"/>
            <w:right w:val="none" w:sz="0" w:space="0" w:color="auto"/>
          </w:divBdr>
        </w:div>
        <w:div w:id="712340404">
          <w:marLeft w:val="0"/>
          <w:marRight w:val="0"/>
          <w:marTop w:val="0"/>
          <w:marBottom w:val="0"/>
          <w:divBdr>
            <w:top w:val="none" w:sz="0" w:space="0" w:color="auto"/>
            <w:left w:val="none" w:sz="0" w:space="0" w:color="auto"/>
            <w:bottom w:val="none" w:sz="0" w:space="0" w:color="auto"/>
            <w:right w:val="none" w:sz="0" w:space="0" w:color="auto"/>
          </w:divBdr>
        </w:div>
        <w:div w:id="1946300497">
          <w:marLeft w:val="0"/>
          <w:marRight w:val="0"/>
          <w:marTop w:val="0"/>
          <w:marBottom w:val="0"/>
          <w:divBdr>
            <w:top w:val="none" w:sz="0" w:space="0" w:color="auto"/>
            <w:left w:val="none" w:sz="0" w:space="0" w:color="auto"/>
            <w:bottom w:val="none" w:sz="0" w:space="0" w:color="auto"/>
            <w:right w:val="none" w:sz="0" w:space="0" w:color="auto"/>
          </w:divBdr>
        </w:div>
        <w:div w:id="657459696">
          <w:marLeft w:val="0"/>
          <w:marRight w:val="0"/>
          <w:marTop w:val="0"/>
          <w:marBottom w:val="0"/>
          <w:divBdr>
            <w:top w:val="none" w:sz="0" w:space="0" w:color="auto"/>
            <w:left w:val="none" w:sz="0" w:space="0" w:color="auto"/>
            <w:bottom w:val="none" w:sz="0" w:space="0" w:color="auto"/>
            <w:right w:val="none" w:sz="0" w:space="0" w:color="auto"/>
          </w:divBdr>
        </w:div>
      </w:divsChild>
    </w:div>
    <w:div w:id="1136215433">
      <w:bodyDiv w:val="1"/>
      <w:marLeft w:val="0"/>
      <w:marRight w:val="0"/>
      <w:marTop w:val="0"/>
      <w:marBottom w:val="0"/>
      <w:divBdr>
        <w:top w:val="none" w:sz="0" w:space="0" w:color="auto"/>
        <w:left w:val="none" w:sz="0" w:space="0" w:color="auto"/>
        <w:bottom w:val="none" w:sz="0" w:space="0" w:color="auto"/>
        <w:right w:val="none" w:sz="0" w:space="0" w:color="auto"/>
      </w:divBdr>
    </w:div>
    <w:div w:id="1137333126">
      <w:bodyDiv w:val="1"/>
      <w:marLeft w:val="0"/>
      <w:marRight w:val="0"/>
      <w:marTop w:val="0"/>
      <w:marBottom w:val="0"/>
      <w:divBdr>
        <w:top w:val="none" w:sz="0" w:space="0" w:color="auto"/>
        <w:left w:val="none" w:sz="0" w:space="0" w:color="auto"/>
        <w:bottom w:val="none" w:sz="0" w:space="0" w:color="auto"/>
        <w:right w:val="none" w:sz="0" w:space="0" w:color="auto"/>
      </w:divBdr>
    </w:div>
    <w:div w:id="1141773032">
      <w:bodyDiv w:val="1"/>
      <w:marLeft w:val="0"/>
      <w:marRight w:val="0"/>
      <w:marTop w:val="0"/>
      <w:marBottom w:val="0"/>
      <w:divBdr>
        <w:top w:val="none" w:sz="0" w:space="0" w:color="auto"/>
        <w:left w:val="none" w:sz="0" w:space="0" w:color="auto"/>
        <w:bottom w:val="none" w:sz="0" w:space="0" w:color="auto"/>
        <w:right w:val="none" w:sz="0" w:space="0" w:color="auto"/>
      </w:divBdr>
    </w:div>
    <w:div w:id="1146438393">
      <w:bodyDiv w:val="1"/>
      <w:marLeft w:val="0"/>
      <w:marRight w:val="0"/>
      <w:marTop w:val="0"/>
      <w:marBottom w:val="0"/>
      <w:divBdr>
        <w:top w:val="none" w:sz="0" w:space="0" w:color="auto"/>
        <w:left w:val="none" w:sz="0" w:space="0" w:color="auto"/>
        <w:bottom w:val="none" w:sz="0" w:space="0" w:color="auto"/>
        <w:right w:val="none" w:sz="0" w:space="0" w:color="auto"/>
      </w:divBdr>
    </w:div>
    <w:div w:id="1147551882">
      <w:bodyDiv w:val="1"/>
      <w:marLeft w:val="0"/>
      <w:marRight w:val="0"/>
      <w:marTop w:val="0"/>
      <w:marBottom w:val="0"/>
      <w:divBdr>
        <w:top w:val="none" w:sz="0" w:space="0" w:color="auto"/>
        <w:left w:val="none" w:sz="0" w:space="0" w:color="auto"/>
        <w:bottom w:val="none" w:sz="0" w:space="0" w:color="auto"/>
        <w:right w:val="none" w:sz="0" w:space="0" w:color="auto"/>
      </w:divBdr>
    </w:div>
    <w:div w:id="1149857555">
      <w:bodyDiv w:val="1"/>
      <w:marLeft w:val="0"/>
      <w:marRight w:val="0"/>
      <w:marTop w:val="0"/>
      <w:marBottom w:val="0"/>
      <w:divBdr>
        <w:top w:val="none" w:sz="0" w:space="0" w:color="auto"/>
        <w:left w:val="none" w:sz="0" w:space="0" w:color="auto"/>
        <w:bottom w:val="none" w:sz="0" w:space="0" w:color="auto"/>
        <w:right w:val="none" w:sz="0" w:space="0" w:color="auto"/>
      </w:divBdr>
    </w:div>
    <w:div w:id="1150101932">
      <w:bodyDiv w:val="1"/>
      <w:marLeft w:val="0"/>
      <w:marRight w:val="0"/>
      <w:marTop w:val="0"/>
      <w:marBottom w:val="0"/>
      <w:divBdr>
        <w:top w:val="none" w:sz="0" w:space="0" w:color="auto"/>
        <w:left w:val="none" w:sz="0" w:space="0" w:color="auto"/>
        <w:bottom w:val="none" w:sz="0" w:space="0" w:color="auto"/>
        <w:right w:val="none" w:sz="0" w:space="0" w:color="auto"/>
      </w:divBdr>
    </w:div>
    <w:div w:id="1154293349">
      <w:bodyDiv w:val="1"/>
      <w:marLeft w:val="0"/>
      <w:marRight w:val="0"/>
      <w:marTop w:val="0"/>
      <w:marBottom w:val="0"/>
      <w:divBdr>
        <w:top w:val="none" w:sz="0" w:space="0" w:color="auto"/>
        <w:left w:val="none" w:sz="0" w:space="0" w:color="auto"/>
        <w:bottom w:val="none" w:sz="0" w:space="0" w:color="auto"/>
        <w:right w:val="none" w:sz="0" w:space="0" w:color="auto"/>
      </w:divBdr>
      <w:divsChild>
        <w:div w:id="992413654">
          <w:marLeft w:val="0"/>
          <w:marRight w:val="0"/>
          <w:marTop w:val="0"/>
          <w:marBottom w:val="0"/>
          <w:divBdr>
            <w:top w:val="none" w:sz="0" w:space="0" w:color="auto"/>
            <w:left w:val="none" w:sz="0" w:space="0" w:color="auto"/>
            <w:bottom w:val="none" w:sz="0" w:space="0" w:color="auto"/>
            <w:right w:val="none" w:sz="0" w:space="0" w:color="auto"/>
          </w:divBdr>
        </w:div>
        <w:div w:id="756907227">
          <w:marLeft w:val="0"/>
          <w:marRight w:val="0"/>
          <w:marTop w:val="0"/>
          <w:marBottom w:val="0"/>
          <w:divBdr>
            <w:top w:val="none" w:sz="0" w:space="0" w:color="auto"/>
            <w:left w:val="none" w:sz="0" w:space="0" w:color="auto"/>
            <w:bottom w:val="none" w:sz="0" w:space="0" w:color="auto"/>
            <w:right w:val="none" w:sz="0" w:space="0" w:color="auto"/>
          </w:divBdr>
        </w:div>
        <w:div w:id="157431142">
          <w:marLeft w:val="0"/>
          <w:marRight w:val="0"/>
          <w:marTop w:val="0"/>
          <w:marBottom w:val="0"/>
          <w:divBdr>
            <w:top w:val="none" w:sz="0" w:space="0" w:color="auto"/>
            <w:left w:val="none" w:sz="0" w:space="0" w:color="auto"/>
            <w:bottom w:val="none" w:sz="0" w:space="0" w:color="auto"/>
            <w:right w:val="none" w:sz="0" w:space="0" w:color="auto"/>
          </w:divBdr>
        </w:div>
        <w:div w:id="857887957">
          <w:marLeft w:val="0"/>
          <w:marRight w:val="0"/>
          <w:marTop w:val="0"/>
          <w:marBottom w:val="0"/>
          <w:divBdr>
            <w:top w:val="none" w:sz="0" w:space="0" w:color="auto"/>
            <w:left w:val="none" w:sz="0" w:space="0" w:color="auto"/>
            <w:bottom w:val="none" w:sz="0" w:space="0" w:color="auto"/>
            <w:right w:val="none" w:sz="0" w:space="0" w:color="auto"/>
          </w:divBdr>
        </w:div>
        <w:div w:id="174729798">
          <w:marLeft w:val="0"/>
          <w:marRight w:val="0"/>
          <w:marTop w:val="0"/>
          <w:marBottom w:val="0"/>
          <w:divBdr>
            <w:top w:val="none" w:sz="0" w:space="0" w:color="auto"/>
            <w:left w:val="none" w:sz="0" w:space="0" w:color="auto"/>
            <w:bottom w:val="none" w:sz="0" w:space="0" w:color="auto"/>
            <w:right w:val="none" w:sz="0" w:space="0" w:color="auto"/>
          </w:divBdr>
        </w:div>
        <w:div w:id="1138181636">
          <w:marLeft w:val="0"/>
          <w:marRight w:val="0"/>
          <w:marTop w:val="0"/>
          <w:marBottom w:val="0"/>
          <w:divBdr>
            <w:top w:val="none" w:sz="0" w:space="0" w:color="auto"/>
            <w:left w:val="none" w:sz="0" w:space="0" w:color="auto"/>
            <w:bottom w:val="none" w:sz="0" w:space="0" w:color="auto"/>
            <w:right w:val="none" w:sz="0" w:space="0" w:color="auto"/>
          </w:divBdr>
        </w:div>
        <w:div w:id="806237587">
          <w:marLeft w:val="0"/>
          <w:marRight w:val="0"/>
          <w:marTop w:val="0"/>
          <w:marBottom w:val="0"/>
          <w:divBdr>
            <w:top w:val="none" w:sz="0" w:space="0" w:color="auto"/>
            <w:left w:val="none" w:sz="0" w:space="0" w:color="auto"/>
            <w:bottom w:val="none" w:sz="0" w:space="0" w:color="auto"/>
            <w:right w:val="none" w:sz="0" w:space="0" w:color="auto"/>
          </w:divBdr>
        </w:div>
        <w:div w:id="1813672308">
          <w:marLeft w:val="0"/>
          <w:marRight w:val="0"/>
          <w:marTop w:val="0"/>
          <w:marBottom w:val="0"/>
          <w:divBdr>
            <w:top w:val="none" w:sz="0" w:space="0" w:color="auto"/>
            <w:left w:val="none" w:sz="0" w:space="0" w:color="auto"/>
            <w:bottom w:val="none" w:sz="0" w:space="0" w:color="auto"/>
            <w:right w:val="none" w:sz="0" w:space="0" w:color="auto"/>
          </w:divBdr>
        </w:div>
        <w:div w:id="493767997">
          <w:marLeft w:val="0"/>
          <w:marRight w:val="0"/>
          <w:marTop w:val="0"/>
          <w:marBottom w:val="0"/>
          <w:divBdr>
            <w:top w:val="none" w:sz="0" w:space="0" w:color="auto"/>
            <w:left w:val="none" w:sz="0" w:space="0" w:color="auto"/>
            <w:bottom w:val="none" w:sz="0" w:space="0" w:color="auto"/>
            <w:right w:val="none" w:sz="0" w:space="0" w:color="auto"/>
          </w:divBdr>
        </w:div>
        <w:div w:id="1136994380">
          <w:marLeft w:val="0"/>
          <w:marRight w:val="0"/>
          <w:marTop w:val="0"/>
          <w:marBottom w:val="0"/>
          <w:divBdr>
            <w:top w:val="none" w:sz="0" w:space="0" w:color="auto"/>
            <w:left w:val="none" w:sz="0" w:space="0" w:color="auto"/>
            <w:bottom w:val="none" w:sz="0" w:space="0" w:color="auto"/>
            <w:right w:val="none" w:sz="0" w:space="0" w:color="auto"/>
          </w:divBdr>
        </w:div>
        <w:div w:id="1987318857">
          <w:marLeft w:val="0"/>
          <w:marRight w:val="0"/>
          <w:marTop w:val="0"/>
          <w:marBottom w:val="0"/>
          <w:divBdr>
            <w:top w:val="none" w:sz="0" w:space="0" w:color="auto"/>
            <w:left w:val="none" w:sz="0" w:space="0" w:color="auto"/>
            <w:bottom w:val="none" w:sz="0" w:space="0" w:color="auto"/>
            <w:right w:val="none" w:sz="0" w:space="0" w:color="auto"/>
          </w:divBdr>
        </w:div>
        <w:div w:id="899751526">
          <w:marLeft w:val="0"/>
          <w:marRight w:val="0"/>
          <w:marTop w:val="0"/>
          <w:marBottom w:val="0"/>
          <w:divBdr>
            <w:top w:val="none" w:sz="0" w:space="0" w:color="auto"/>
            <w:left w:val="none" w:sz="0" w:space="0" w:color="auto"/>
            <w:bottom w:val="none" w:sz="0" w:space="0" w:color="auto"/>
            <w:right w:val="none" w:sz="0" w:space="0" w:color="auto"/>
          </w:divBdr>
        </w:div>
        <w:div w:id="1355494383">
          <w:marLeft w:val="0"/>
          <w:marRight w:val="0"/>
          <w:marTop w:val="0"/>
          <w:marBottom w:val="0"/>
          <w:divBdr>
            <w:top w:val="none" w:sz="0" w:space="0" w:color="auto"/>
            <w:left w:val="none" w:sz="0" w:space="0" w:color="auto"/>
            <w:bottom w:val="none" w:sz="0" w:space="0" w:color="auto"/>
            <w:right w:val="none" w:sz="0" w:space="0" w:color="auto"/>
          </w:divBdr>
        </w:div>
        <w:div w:id="1861552599">
          <w:marLeft w:val="0"/>
          <w:marRight w:val="0"/>
          <w:marTop w:val="0"/>
          <w:marBottom w:val="0"/>
          <w:divBdr>
            <w:top w:val="none" w:sz="0" w:space="0" w:color="auto"/>
            <w:left w:val="none" w:sz="0" w:space="0" w:color="auto"/>
            <w:bottom w:val="none" w:sz="0" w:space="0" w:color="auto"/>
            <w:right w:val="none" w:sz="0" w:space="0" w:color="auto"/>
          </w:divBdr>
        </w:div>
        <w:div w:id="454448991">
          <w:marLeft w:val="0"/>
          <w:marRight w:val="0"/>
          <w:marTop w:val="0"/>
          <w:marBottom w:val="0"/>
          <w:divBdr>
            <w:top w:val="none" w:sz="0" w:space="0" w:color="auto"/>
            <w:left w:val="none" w:sz="0" w:space="0" w:color="auto"/>
            <w:bottom w:val="none" w:sz="0" w:space="0" w:color="auto"/>
            <w:right w:val="none" w:sz="0" w:space="0" w:color="auto"/>
          </w:divBdr>
        </w:div>
        <w:div w:id="171535718">
          <w:marLeft w:val="0"/>
          <w:marRight w:val="0"/>
          <w:marTop w:val="0"/>
          <w:marBottom w:val="0"/>
          <w:divBdr>
            <w:top w:val="none" w:sz="0" w:space="0" w:color="auto"/>
            <w:left w:val="none" w:sz="0" w:space="0" w:color="auto"/>
            <w:bottom w:val="none" w:sz="0" w:space="0" w:color="auto"/>
            <w:right w:val="none" w:sz="0" w:space="0" w:color="auto"/>
          </w:divBdr>
        </w:div>
        <w:div w:id="154614498">
          <w:marLeft w:val="0"/>
          <w:marRight w:val="0"/>
          <w:marTop w:val="0"/>
          <w:marBottom w:val="0"/>
          <w:divBdr>
            <w:top w:val="none" w:sz="0" w:space="0" w:color="auto"/>
            <w:left w:val="none" w:sz="0" w:space="0" w:color="auto"/>
            <w:bottom w:val="none" w:sz="0" w:space="0" w:color="auto"/>
            <w:right w:val="none" w:sz="0" w:space="0" w:color="auto"/>
          </w:divBdr>
        </w:div>
        <w:div w:id="334848000">
          <w:marLeft w:val="0"/>
          <w:marRight w:val="0"/>
          <w:marTop w:val="0"/>
          <w:marBottom w:val="0"/>
          <w:divBdr>
            <w:top w:val="none" w:sz="0" w:space="0" w:color="auto"/>
            <w:left w:val="none" w:sz="0" w:space="0" w:color="auto"/>
            <w:bottom w:val="none" w:sz="0" w:space="0" w:color="auto"/>
            <w:right w:val="none" w:sz="0" w:space="0" w:color="auto"/>
          </w:divBdr>
        </w:div>
        <w:div w:id="2123760403">
          <w:marLeft w:val="0"/>
          <w:marRight w:val="0"/>
          <w:marTop w:val="0"/>
          <w:marBottom w:val="0"/>
          <w:divBdr>
            <w:top w:val="none" w:sz="0" w:space="0" w:color="auto"/>
            <w:left w:val="none" w:sz="0" w:space="0" w:color="auto"/>
            <w:bottom w:val="none" w:sz="0" w:space="0" w:color="auto"/>
            <w:right w:val="none" w:sz="0" w:space="0" w:color="auto"/>
          </w:divBdr>
        </w:div>
        <w:div w:id="1805809794">
          <w:marLeft w:val="0"/>
          <w:marRight w:val="0"/>
          <w:marTop w:val="0"/>
          <w:marBottom w:val="0"/>
          <w:divBdr>
            <w:top w:val="none" w:sz="0" w:space="0" w:color="auto"/>
            <w:left w:val="none" w:sz="0" w:space="0" w:color="auto"/>
            <w:bottom w:val="none" w:sz="0" w:space="0" w:color="auto"/>
            <w:right w:val="none" w:sz="0" w:space="0" w:color="auto"/>
          </w:divBdr>
        </w:div>
        <w:div w:id="867522185">
          <w:marLeft w:val="0"/>
          <w:marRight w:val="0"/>
          <w:marTop w:val="0"/>
          <w:marBottom w:val="0"/>
          <w:divBdr>
            <w:top w:val="none" w:sz="0" w:space="0" w:color="auto"/>
            <w:left w:val="none" w:sz="0" w:space="0" w:color="auto"/>
            <w:bottom w:val="none" w:sz="0" w:space="0" w:color="auto"/>
            <w:right w:val="none" w:sz="0" w:space="0" w:color="auto"/>
          </w:divBdr>
        </w:div>
        <w:div w:id="1493713868">
          <w:marLeft w:val="0"/>
          <w:marRight w:val="0"/>
          <w:marTop w:val="0"/>
          <w:marBottom w:val="0"/>
          <w:divBdr>
            <w:top w:val="none" w:sz="0" w:space="0" w:color="auto"/>
            <w:left w:val="none" w:sz="0" w:space="0" w:color="auto"/>
            <w:bottom w:val="none" w:sz="0" w:space="0" w:color="auto"/>
            <w:right w:val="none" w:sz="0" w:space="0" w:color="auto"/>
          </w:divBdr>
        </w:div>
        <w:div w:id="163129694">
          <w:marLeft w:val="0"/>
          <w:marRight w:val="0"/>
          <w:marTop w:val="0"/>
          <w:marBottom w:val="0"/>
          <w:divBdr>
            <w:top w:val="none" w:sz="0" w:space="0" w:color="auto"/>
            <w:left w:val="none" w:sz="0" w:space="0" w:color="auto"/>
            <w:bottom w:val="none" w:sz="0" w:space="0" w:color="auto"/>
            <w:right w:val="none" w:sz="0" w:space="0" w:color="auto"/>
          </w:divBdr>
        </w:div>
        <w:div w:id="498423748">
          <w:marLeft w:val="0"/>
          <w:marRight w:val="0"/>
          <w:marTop w:val="0"/>
          <w:marBottom w:val="0"/>
          <w:divBdr>
            <w:top w:val="none" w:sz="0" w:space="0" w:color="auto"/>
            <w:left w:val="none" w:sz="0" w:space="0" w:color="auto"/>
            <w:bottom w:val="none" w:sz="0" w:space="0" w:color="auto"/>
            <w:right w:val="none" w:sz="0" w:space="0" w:color="auto"/>
          </w:divBdr>
        </w:div>
        <w:div w:id="502547322">
          <w:marLeft w:val="0"/>
          <w:marRight w:val="0"/>
          <w:marTop w:val="0"/>
          <w:marBottom w:val="0"/>
          <w:divBdr>
            <w:top w:val="none" w:sz="0" w:space="0" w:color="auto"/>
            <w:left w:val="none" w:sz="0" w:space="0" w:color="auto"/>
            <w:bottom w:val="none" w:sz="0" w:space="0" w:color="auto"/>
            <w:right w:val="none" w:sz="0" w:space="0" w:color="auto"/>
          </w:divBdr>
        </w:div>
        <w:div w:id="838424845">
          <w:marLeft w:val="0"/>
          <w:marRight w:val="0"/>
          <w:marTop w:val="0"/>
          <w:marBottom w:val="0"/>
          <w:divBdr>
            <w:top w:val="none" w:sz="0" w:space="0" w:color="auto"/>
            <w:left w:val="none" w:sz="0" w:space="0" w:color="auto"/>
            <w:bottom w:val="none" w:sz="0" w:space="0" w:color="auto"/>
            <w:right w:val="none" w:sz="0" w:space="0" w:color="auto"/>
          </w:divBdr>
        </w:div>
        <w:div w:id="1923292594">
          <w:marLeft w:val="0"/>
          <w:marRight w:val="0"/>
          <w:marTop w:val="0"/>
          <w:marBottom w:val="0"/>
          <w:divBdr>
            <w:top w:val="none" w:sz="0" w:space="0" w:color="auto"/>
            <w:left w:val="none" w:sz="0" w:space="0" w:color="auto"/>
            <w:bottom w:val="none" w:sz="0" w:space="0" w:color="auto"/>
            <w:right w:val="none" w:sz="0" w:space="0" w:color="auto"/>
          </w:divBdr>
        </w:div>
        <w:div w:id="1043289494">
          <w:marLeft w:val="0"/>
          <w:marRight w:val="0"/>
          <w:marTop w:val="0"/>
          <w:marBottom w:val="0"/>
          <w:divBdr>
            <w:top w:val="none" w:sz="0" w:space="0" w:color="auto"/>
            <w:left w:val="none" w:sz="0" w:space="0" w:color="auto"/>
            <w:bottom w:val="none" w:sz="0" w:space="0" w:color="auto"/>
            <w:right w:val="none" w:sz="0" w:space="0" w:color="auto"/>
          </w:divBdr>
        </w:div>
        <w:div w:id="239869061">
          <w:marLeft w:val="0"/>
          <w:marRight w:val="0"/>
          <w:marTop w:val="0"/>
          <w:marBottom w:val="0"/>
          <w:divBdr>
            <w:top w:val="none" w:sz="0" w:space="0" w:color="auto"/>
            <w:left w:val="none" w:sz="0" w:space="0" w:color="auto"/>
            <w:bottom w:val="none" w:sz="0" w:space="0" w:color="auto"/>
            <w:right w:val="none" w:sz="0" w:space="0" w:color="auto"/>
          </w:divBdr>
        </w:div>
        <w:div w:id="883564988">
          <w:marLeft w:val="0"/>
          <w:marRight w:val="0"/>
          <w:marTop w:val="0"/>
          <w:marBottom w:val="0"/>
          <w:divBdr>
            <w:top w:val="none" w:sz="0" w:space="0" w:color="auto"/>
            <w:left w:val="none" w:sz="0" w:space="0" w:color="auto"/>
            <w:bottom w:val="none" w:sz="0" w:space="0" w:color="auto"/>
            <w:right w:val="none" w:sz="0" w:space="0" w:color="auto"/>
          </w:divBdr>
        </w:div>
        <w:div w:id="954094726">
          <w:marLeft w:val="0"/>
          <w:marRight w:val="0"/>
          <w:marTop w:val="0"/>
          <w:marBottom w:val="0"/>
          <w:divBdr>
            <w:top w:val="none" w:sz="0" w:space="0" w:color="auto"/>
            <w:left w:val="none" w:sz="0" w:space="0" w:color="auto"/>
            <w:bottom w:val="none" w:sz="0" w:space="0" w:color="auto"/>
            <w:right w:val="none" w:sz="0" w:space="0" w:color="auto"/>
          </w:divBdr>
        </w:div>
        <w:div w:id="878323091">
          <w:marLeft w:val="0"/>
          <w:marRight w:val="0"/>
          <w:marTop w:val="0"/>
          <w:marBottom w:val="0"/>
          <w:divBdr>
            <w:top w:val="none" w:sz="0" w:space="0" w:color="auto"/>
            <w:left w:val="none" w:sz="0" w:space="0" w:color="auto"/>
            <w:bottom w:val="none" w:sz="0" w:space="0" w:color="auto"/>
            <w:right w:val="none" w:sz="0" w:space="0" w:color="auto"/>
          </w:divBdr>
        </w:div>
        <w:div w:id="357051024">
          <w:marLeft w:val="0"/>
          <w:marRight w:val="0"/>
          <w:marTop w:val="0"/>
          <w:marBottom w:val="0"/>
          <w:divBdr>
            <w:top w:val="none" w:sz="0" w:space="0" w:color="auto"/>
            <w:left w:val="none" w:sz="0" w:space="0" w:color="auto"/>
            <w:bottom w:val="none" w:sz="0" w:space="0" w:color="auto"/>
            <w:right w:val="none" w:sz="0" w:space="0" w:color="auto"/>
          </w:divBdr>
        </w:div>
        <w:div w:id="1716155787">
          <w:marLeft w:val="0"/>
          <w:marRight w:val="0"/>
          <w:marTop w:val="0"/>
          <w:marBottom w:val="0"/>
          <w:divBdr>
            <w:top w:val="none" w:sz="0" w:space="0" w:color="auto"/>
            <w:left w:val="none" w:sz="0" w:space="0" w:color="auto"/>
            <w:bottom w:val="none" w:sz="0" w:space="0" w:color="auto"/>
            <w:right w:val="none" w:sz="0" w:space="0" w:color="auto"/>
          </w:divBdr>
        </w:div>
        <w:div w:id="157504795">
          <w:marLeft w:val="0"/>
          <w:marRight w:val="0"/>
          <w:marTop w:val="0"/>
          <w:marBottom w:val="0"/>
          <w:divBdr>
            <w:top w:val="none" w:sz="0" w:space="0" w:color="auto"/>
            <w:left w:val="none" w:sz="0" w:space="0" w:color="auto"/>
            <w:bottom w:val="none" w:sz="0" w:space="0" w:color="auto"/>
            <w:right w:val="none" w:sz="0" w:space="0" w:color="auto"/>
          </w:divBdr>
        </w:div>
        <w:div w:id="524487041">
          <w:marLeft w:val="0"/>
          <w:marRight w:val="0"/>
          <w:marTop w:val="0"/>
          <w:marBottom w:val="0"/>
          <w:divBdr>
            <w:top w:val="none" w:sz="0" w:space="0" w:color="auto"/>
            <w:left w:val="none" w:sz="0" w:space="0" w:color="auto"/>
            <w:bottom w:val="none" w:sz="0" w:space="0" w:color="auto"/>
            <w:right w:val="none" w:sz="0" w:space="0" w:color="auto"/>
          </w:divBdr>
        </w:div>
        <w:div w:id="765540390">
          <w:marLeft w:val="0"/>
          <w:marRight w:val="0"/>
          <w:marTop w:val="0"/>
          <w:marBottom w:val="0"/>
          <w:divBdr>
            <w:top w:val="none" w:sz="0" w:space="0" w:color="auto"/>
            <w:left w:val="none" w:sz="0" w:space="0" w:color="auto"/>
            <w:bottom w:val="none" w:sz="0" w:space="0" w:color="auto"/>
            <w:right w:val="none" w:sz="0" w:space="0" w:color="auto"/>
          </w:divBdr>
        </w:div>
        <w:div w:id="532767700">
          <w:marLeft w:val="0"/>
          <w:marRight w:val="0"/>
          <w:marTop w:val="0"/>
          <w:marBottom w:val="0"/>
          <w:divBdr>
            <w:top w:val="none" w:sz="0" w:space="0" w:color="auto"/>
            <w:left w:val="none" w:sz="0" w:space="0" w:color="auto"/>
            <w:bottom w:val="none" w:sz="0" w:space="0" w:color="auto"/>
            <w:right w:val="none" w:sz="0" w:space="0" w:color="auto"/>
          </w:divBdr>
        </w:div>
        <w:div w:id="1610698330">
          <w:marLeft w:val="0"/>
          <w:marRight w:val="0"/>
          <w:marTop w:val="0"/>
          <w:marBottom w:val="0"/>
          <w:divBdr>
            <w:top w:val="none" w:sz="0" w:space="0" w:color="auto"/>
            <w:left w:val="none" w:sz="0" w:space="0" w:color="auto"/>
            <w:bottom w:val="none" w:sz="0" w:space="0" w:color="auto"/>
            <w:right w:val="none" w:sz="0" w:space="0" w:color="auto"/>
          </w:divBdr>
        </w:div>
        <w:div w:id="1769619501">
          <w:marLeft w:val="0"/>
          <w:marRight w:val="0"/>
          <w:marTop w:val="0"/>
          <w:marBottom w:val="0"/>
          <w:divBdr>
            <w:top w:val="none" w:sz="0" w:space="0" w:color="auto"/>
            <w:left w:val="none" w:sz="0" w:space="0" w:color="auto"/>
            <w:bottom w:val="none" w:sz="0" w:space="0" w:color="auto"/>
            <w:right w:val="none" w:sz="0" w:space="0" w:color="auto"/>
          </w:divBdr>
        </w:div>
        <w:div w:id="258801697">
          <w:marLeft w:val="0"/>
          <w:marRight w:val="0"/>
          <w:marTop w:val="0"/>
          <w:marBottom w:val="0"/>
          <w:divBdr>
            <w:top w:val="none" w:sz="0" w:space="0" w:color="auto"/>
            <w:left w:val="none" w:sz="0" w:space="0" w:color="auto"/>
            <w:bottom w:val="none" w:sz="0" w:space="0" w:color="auto"/>
            <w:right w:val="none" w:sz="0" w:space="0" w:color="auto"/>
          </w:divBdr>
        </w:div>
        <w:div w:id="7997355">
          <w:marLeft w:val="0"/>
          <w:marRight w:val="0"/>
          <w:marTop w:val="0"/>
          <w:marBottom w:val="0"/>
          <w:divBdr>
            <w:top w:val="none" w:sz="0" w:space="0" w:color="auto"/>
            <w:left w:val="none" w:sz="0" w:space="0" w:color="auto"/>
            <w:bottom w:val="none" w:sz="0" w:space="0" w:color="auto"/>
            <w:right w:val="none" w:sz="0" w:space="0" w:color="auto"/>
          </w:divBdr>
        </w:div>
        <w:div w:id="794905169">
          <w:marLeft w:val="0"/>
          <w:marRight w:val="0"/>
          <w:marTop w:val="0"/>
          <w:marBottom w:val="0"/>
          <w:divBdr>
            <w:top w:val="none" w:sz="0" w:space="0" w:color="auto"/>
            <w:left w:val="none" w:sz="0" w:space="0" w:color="auto"/>
            <w:bottom w:val="none" w:sz="0" w:space="0" w:color="auto"/>
            <w:right w:val="none" w:sz="0" w:space="0" w:color="auto"/>
          </w:divBdr>
        </w:div>
        <w:div w:id="429207134">
          <w:marLeft w:val="0"/>
          <w:marRight w:val="0"/>
          <w:marTop w:val="0"/>
          <w:marBottom w:val="0"/>
          <w:divBdr>
            <w:top w:val="none" w:sz="0" w:space="0" w:color="auto"/>
            <w:left w:val="none" w:sz="0" w:space="0" w:color="auto"/>
            <w:bottom w:val="none" w:sz="0" w:space="0" w:color="auto"/>
            <w:right w:val="none" w:sz="0" w:space="0" w:color="auto"/>
          </w:divBdr>
        </w:div>
        <w:div w:id="1873884867">
          <w:marLeft w:val="0"/>
          <w:marRight w:val="0"/>
          <w:marTop w:val="0"/>
          <w:marBottom w:val="0"/>
          <w:divBdr>
            <w:top w:val="none" w:sz="0" w:space="0" w:color="auto"/>
            <w:left w:val="none" w:sz="0" w:space="0" w:color="auto"/>
            <w:bottom w:val="none" w:sz="0" w:space="0" w:color="auto"/>
            <w:right w:val="none" w:sz="0" w:space="0" w:color="auto"/>
          </w:divBdr>
        </w:div>
        <w:div w:id="2030525368">
          <w:marLeft w:val="0"/>
          <w:marRight w:val="0"/>
          <w:marTop w:val="0"/>
          <w:marBottom w:val="0"/>
          <w:divBdr>
            <w:top w:val="none" w:sz="0" w:space="0" w:color="auto"/>
            <w:left w:val="none" w:sz="0" w:space="0" w:color="auto"/>
            <w:bottom w:val="none" w:sz="0" w:space="0" w:color="auto"/>
            <w:right w:val="none" w:sz="0" w:space="0" w:color="auto"/>
          </w:divBdr>
        </w:div>
        <w:div w:id="943998165">
          <w:marLeft w:val="0"/>
          <w:marRight w:val="0"/>
          <w:marTop w:val="0"/>
          <w:marBottom w:val="0"/>
          <w:divBdr>
            <w:top w:val="none" w:sz="0" w:space="0" w:color="auto"/>
            <w:left w:val="none" w:sz="0" w:space="0" w:color="auto"/>
            <w:bottom w:val="none" w:sz="0" w:space="0" w:color="auto"/>
            <w:right w:val="none" w:sz="0" w:space="0" w:color="auto"/>
          </w:divBdr>
        </w:div>
        <w:div w:id="1256398597">
          <w:marLeft w:val="0"/>
          <w:marRight w:val="0"/>
          <w:marTop w:val="0"/>
          <w:marBottom w:val="0"/>
          <w:divBdr>
            <w:top w:val="none" w:sz="0" w:space="0" w:color="auto"/>
            <w:left w:val="none" w:sz="0" w:space="0" w:color="auto"/>
            <w:bottom w:val="none" w:sz="0" w:space="0" w:color="auto"/>
            <w:right w:val="none" w:sz="0" w:space="0" w:color="auto"/>
          </w:divBdr>
        </w:div>
        <w:div w:id="126049479">
          <w:marLeft w:val="0"/>
          <w:marRight w:val="0"/>
          <w:marTop w:val="0"/>
          <w:marBottom w:val="0"/>
          <w:divBdr>
            <w:top w:val="none" w:sz="0" w:space="0" w:color="auto"/>
            <w:left w:val="none" w:sz="0" w:space="0" w:color="auto"/>
            <w:bottom w:val="none" w:sz="0" w:space="0" w:color="auto"/>
            <w:right w:val="none" w:sz="0" w:space="0" w:color="auto"/>
          </w:divBdr>
        </w:div>
        <w:div w:id="1520197725">
          <w:marLeft w:val="0"/>
          <w:marRight w:val="0"/>
          <w:marTop w:val="0"/>
          <w:marBottom w:val="0"/>
          <w:divBdr>
            <w:top w:val="none" w:sz="0" w:space="0" w:color="auto"/>
            <w:left w:val="none" w:sz="0" w:space="0" w:color="auto"/>
            <w:bottom w:val="none" w:sz="0" w:space="0" w:color="auto"/>
            <w:right w:val="none" w:sz="0" w:space="0" w:color="auto"/>
          </w:divBdr>
        </w:div>
        <w:div w:id="2025352845">
          <w:marLeft w:val="0"/>
          <w:marRight w:val="0"/>
          <w:marTop w:val="0"/>
          <w:marBottom w:val="0"/>
          <w:divBdr>
            <w:top w:val="none" w:sz="0" w:space="0" w:color="auto"/>
            <w:left w:val="none" w:sz="0" w:space="0" w:color="auto"/>
            <w:bottom w:val="none" w:sz="0" w:space="0" w:color="auto"/>
            <w:right w:val="none" w:sz="0" w:space="0" w:color="auto"/>
          </w:divBdr>
        </w:div>
        <w:div w:id="1227183046">
          <w:marLeft w:val="0"/>
          <w:marRight w:val="0"/>
          <w:marTop w:val="0"/>
          <w:marBottom w:val="0"/>
          <w:divBdr>
            <w:top w:val="none" w:sz="0" w:space="0" w:color="auto"/>
            <w:left w:val="none" w:sz="0" w:space="0" w:color="auto"/>
            <w:bottom w:val="none" w:sz="0" w:space="0" w:color="auto"/>
            <w:right w:val="none" w:sz="0" w:space="0" w:color="auto"/>
          </w:divBdr>
        </w:div>
        <w:div w:id="82722301">
          <w:marLeft w:val="0"/>
          <w:marRight w:val="0"/>
          <w:marTop w:val="0"/>
          <w:marBottom w:val="0"/>
          <w:divBdr>
            <w:top w:val="none" w:sz="0" w:space="0" w:color="auto"/>
            <w:left w:val="none" w:sz="0" w:space="0" w:color="auto"/>
            <w:bottom w:val="none" w:sz="0" w:space="0" w:color="auto"/>
            <w:right w:val="none" w:sz="0" w:space="0" w:color="auto"/>
          </w:divBdr>
        </w:div>
        <w:div w:id="651371084">
          <w:marLeft w:val="0"/>
          <w:marRight w:val="0"/>
          <w:marTop w:val="0"/>
          <w:marBottom w:val="0"/>
          <w:divBdr>
            <w:top w:val="none" w:sz="0" w:space="0" w:color="auto"/>
            <w:left w:val="none" w:sz="0" w:space="0" w:color="auto"/>
            <w:bottom w:val="none" w:sz="0" w:space="0" w:color="auto"/>
            <w:right w:val="none" w:sz="0" w:space="0" w:color="auto"/>
          </w:divBdr>
        </w:div>
        <w:div w:id="1606380583">
          <w:marLeft w:val="0"/>
          <w:marRight w:val="0"/>
          <w:marTop w:val="0"/>
          <w:marBottom w:val="0"/>
          <w:divBdr>
            <w:top w:val="none" w:sz="0" w:space="0" w:color="auto"/>
            <w:left w:val="none" w:sz="0" w:space="0" w:color="auto"/>
            <w:bottom w:val="none" w:sz="0" w:space="0" w:color="auto"/>
            <w:right w:val="none" w:sz="0" w:space="0" w:color="auto"/>
          </w:divBdr>
        </w:div>
        <w:div w:id="1230119880">
          <w:marLeft w:val="0"/>
          <w:marRight w:val="0"/>
          <w:marTop w:val="0"/>
          <w:marBottom w:val="0"/>
          <w:divBdr>
            <w:top w:val="none" w:sz="0" w:space="0" w:color="auto"/>
            <w:left w:val="none" w:sz="0" w:space="0" w:color="auto"/>
            <w:bottom w:val="none" w:sz="0" w:space="0" w:color="auto"/>
            <w:right w:val="none" w:sz="0" w:space="0" w:color="auto"/>
          </w:divBdr>
        </w:div>
        <w:div w:id="1111976664">
          <w:marLeft w:val="0"/>
          <w:marRight w:val="0"/>
          <w:marTop w:val="0"/>
          <w:marBottom w:val="0"/>
          <w:divBdr>
            <w:top w:val="none" w:sz="0" w:space="0" w:color="auto"/>
            <w:left w:val="none" w:sz="0" w:space="0" w:color="auto"/>
            <w:bottom w:val="none" w:sz="0" w:space="0" w:color="auto"/>
            <w:right w:val="none" w:sz="0" w:space="0" w:color="auto"/>
          </w:divBdr>
        </w:div>
        <w:div w:id="366413052">
          <w:marLeft w:val="0"/>
          <w:marRight w:val="0"/>
          <w:marTop w:val="0"/>
          <w:marBottom w:val="0"/>
          <w:divBdr>
            <w:top w:val="none" w:sz="0" w:space="0" w:color="auto"/>
            <w:left w:val="none" w:sz="0" w:space="0" w:color="auto"/>
            <w:bottom w:val="none" w:sz="0" w:space="0" w:color="auto"/>
            <w:right w:val="none" w:sz="0" w:space="0" w:color="auto"/>
          </w:divBdr>
        </w:div>
        <w:div w:id="1047417844">
          <w:marLeft w:val="0"/>
          <w:marRight w:val="0"/>
          <w:marTop w:val="0"/>
          <w:marBottom w:val="0"/>
          <w:divBdr>
            <w:top w:val="none" w:sz="0" w:space="0" w:color="auto"/>
            <w:left w:val="none" w:sz="0" w:space="0" w:color="auto"/>
            <w:bottom w:val="none" w:sz="0" w:space="0" w:color="auto"/>
            <w:right w:val="none" w:sz="0" w:space="0" w:color="auto"/>
          </w:divBdr>
        </w:div>
        <w:div w:id="1760373204">
          <w:marLeft w:val="0"/>
          <w:marRight w:val="0"/>
          <w:marTop w:val="0"/>
          <w:marBottom w:val="0"/>
          <w:divBdr>
            <w:top w:val="none" w:sz="0" w:space="0" w:color="auto"/>
            <w:left w:val="none" w:sz="0" w:space="0" w:color="auto"/>
            <w:bottom w:val="none" w:sz="0" w:space="0" w:color="auto"/>
            <w:right w:val="none" w:sz="0" w:space="0" w:color="auto"/>
          </w:divBdr>
        </w:div>
        <w:div w:id="1237588128">
          <w:marLeft w:val="0"/>
          <w:marRight w:val="0"/>
          <w:marTop w:val="0"/>
          <w:marBottom w:val="0"/>
          <w:divBdr>
            <w:top w:val="none" w:sz="0" w:space="0" w:color="auto"/>
            <w:left w:val="none" w:sz="0" w:space="0" w:color="auto"/>
            <w:bottom w:val="none" w:sz="0" w:space="0" w:color="auto"/>
            <w:right w:val="none" w:sz="0" w:space="0" w:color="auto"/>
          </w:divBdr>
        </w:div>
        <w:div w:id="1117145362">
          <w:marLeft w:val="0"/>
          <w:marRight w:val="0"/>
          <w:marTop w:val="0"/>
          <w:marBottom w:val="0"/>
          <w:divBdr>
            <w:top w:val="none" w:sz="0" w:space="0" w:color="auto"/>
            <w:left w:val="none" w:sz="0" w:space="0" w:color="auto"/>
            <w:bottom w:val="none" w:sz="0" w:space="0" w:color="auto"/>
            <w:right w:val="none" w:sz="0" w:space="0" w:color="auto"/>
          </w:divBdr>
        </w:div>
        <w:div w:id="1110782246">
          <w:marLeft w:val="0"/>
          <w:marRight w:val="0"/>
          <w:marTop w:val="0"/>
          <w:marBottom w:val="0"/>
          <w:divBdr>
            <w:top w:val="none" w:sz="0" w:space="0" w:color="auto"/>
            <w:left w:val="none" w:sz="0" w:space="0" w:color="auto"/>
            <w:bottom w:val="none" w:sz="0" w:space="0" w:color="auto"/>
            <w:right w:val="none" w:sz="0" w:space="0" w:color="auto"/>
          </w:divBdr>
        </w:div>
        <w:div w:id="198668276">
          <w:marLeft w:val="0"/>
          <w:marRight w:val="0"/>
          <w:marTop w:val="0"/>
          <w:marBottom w:val="0"/>
          <w:divBdr>
            <w:top w:val="none" w:sz="0" w:space="0" w:color="auto"/>
            <w:left w:val="none" w:sz="0" w:space="0" w:color="auto"/>
            <w:bottom w:val="none" w:sz="0" w:space="0" w:color="auto"/>
            <w:right w:val="none" w:sz="0" w:space="0" w:color="auto"/>
          </w:divBdr>
        </w:div>
        <w:div w:id="2137334151">
          <w:marLeft w:val="0"/>
          <w:marRight w:val="0"/>
          <w:marTop w:val="0"/>
          <w:marBottom w:val="0"/>
          <w:divBdr>
            <w:top w:val="none" w:sz="0" w:space="0" w:color="auto"/>
            <w:left w:val="none" w:sz="0" w:space="0" w:color="auto"/>
            <w:bottom w:val="none" w:sz="0" w:space="0" w:color="auto"/>
            <w:right w:val="none" w:sz="0" w:space="0" w:color="auto"/>
          </w:divBdr>
        </w:div>
        <w:div w:id="1165319816">
          <w:marLeft w:val="0"/>
          <w:marRight w:val="0"/>
          <w:marTop w:val="0"/>
          <w:marBottom w:val="0"/>
          <w:divBdr>
            <w:top w:val="none" w:sz="0" w:space="0" w:color="auto"/>
            <w:left w:val="none" w:sz="0" w:space="0" w:color="auto"/>
            <w:bottom w:val="none" w:sz="0" w:space="0" w:color="auto"/>
            <w:right w:val="none" w:sz="0" w:space="0" w:color="auto"/>
          </w:divBdr>
        </w:div>
        <w:div w:id="690028820">
          <w:marLeft w:val="0"/>
          <w:marRight w:val="0"/>
          <w:marTop w:val="0"/>
          <w:marBottom w:val="0"/>
          <w:divBdr>
            <w:top w:val="none" w:sz="0" w:space="0" w:color="auto"/>
            <w:left w:val="none" w:sz="0" w:space="0" w:color="auto"/>
            <w:bottom w:val="none" w:sz="0" w:space="0" w:color="auto"/>
            <w:right w:val="none" w:sz="0" w:space="0" w:color="auto"/>
          </w:divBdr>
        </w:div>
        <w:div w:id="1799837022">
          <w:marLeft w:val="0"/>
          <w:marRight w:val="0"/>
          <w:marTop w:val="0"/>
          <w:marBottom w:val="0"/>
          <w:divBdr>
            <w:top w:val="none" w:sz="0" w:space="0" w:color="auto"/>
            <w:left w:val="none" w:sz="0" w:space="0" w:color="auto"/>
            <w:bottom w:val="none" w:sz="0" w:space="0" w:color="auto"/>
            <w:right w:val="none" w:sz="0" w:space="0" w:color="auto"/>
          </w:divBdr>
        </w:div>
        <w:div w:id="390538165">
          <w:marLeft w:val="0"/>
          <w:marRight w:val="0"/>
          <w:marTop w:val="0"/>
          <w:marBottom w:val="0"/>
          <w:divBdr>
            <w:top w:val="none" w:sz="0" w:space="0" w:color="auto"/>
            <w:left w:val="none" w:sz="0" w:space="0" w:color="auto"/>
            <w:bottom w:val="none" w:sz="0" w:space="0" w:color="auto"/>
            <w:right w:val="none" w:sz="0" w:space="0" w:color="auto"/>
          </w:divBdr>
        </w:div>
        <w:div w:id="1507208955">
          <w:marLeft w:val="0"/>
          <w:marRight w:val="0"/>
          <w:marTop w:val="0"/>
          <w:marBottom w:val="0"/>
          <w:divBdr>
            <w:top w:val="none" w:sz="0" w:space="0" w:color="auto"/>
            <w:left w:val="none" w:sz="0" w:space="0" w:color="auto"/>
            <w:bottom w:val="none" w:sz="0" w:space="0" w:color="auto"/>
            <w:right w:val="none" w:sz="0" w:space="0" w:color="auto"/>
          </w:divBdr>
        </w:div>
        <w:div w:id="1873228412">
          <w:marLeft w:val="0"/>
          <w:marRight w:val="0"/>
          <w:marTop w:val="0"/>
          <w:marBottom w:val="0"/>
          <w:divBdr>
            <w:top w:val="none" w:sz="0" w:space="0" w:color="auto"/>
            <w:left w:val="none" w:sz="0" w:space="0" w:color="auto"/>
            <w:bottom w:val="none" w:sz="0" w:space="0" w:color="auto"/>
            <w:right w:val="none" w:sz="0" w:space="0" w:color="auto"/>
          </w:divBdr>
        </w:div>
        <w:div w:id="1381392695">
          <w:marLeft w:val="0"/>
          <w:marRight w:val="0"/>
          <w:marTop w:val="0"/>
          <w:marBottom w:val="0"/>
          <w:divBdr>
            <w:top w:val="none" w:sz="0" w:space="0" w:color="auto"/>
            <w:left w:val="none" w:sz="0" w:space="0" w:color="auto"/>
            <w:bottom w:val="none" w:sz="0" w:space="0" w:color="auto"/>
            <w:right w:val="none" w:sz="0" w:space="0" w:color="auto"/>
          </w:divBdr>
        </w:div>
        <w:div w:id="398133229">
          <w:marLeft w:val="0"/>
          <w:marRight w:val="0"/>
          <w:marTop w:val="0"/>
          <w:marBottom w:val="0"/>
          <w:divBdr>
            <w:top w:val="none" w:sz="0" w:space="0" w:color="auto"/>
            <w:left w:val="none" w:sz="0" w:space="0" w:color="auto"/>
            <w:bottom w:val="none" w:sz="0" w:space="0" w:color="auto"/>
            <w:right w:val="none" w:sz="0" w:space="0" w:color="auto"/>
          </w:divBdr>
        </w:div>
        <w:div w:id="718475860">
          <w:marLeft w:val="0"/>
          <w:marRight w:val="0"/>
          <w:marTop w:val="0"/>
          <w:marBottom w:val="0"/>
          <w:divBdr>
            <w:top w:val="none" w:sz="0" w:space="0" w:color="auto"/>
            <w:left w:val="none" w:sz="0" w:space="0" w:color="auto"/>
            <w:bottom w:val="none" w:sz="0" w:space="0" w:color="auto"/>
            <w:right w:val="none" w:sz="0" w:space="0" w:color="auto"/>
          </w:divBdr>
        </w:div>
        <w:div w:id="676152720">
          <w:marLeft w:val="0"/>
          <w:marRight w:val="0"/>
          <w:marTop w:val="0"/>
          <w:marBottom w:val="0"/>
          <w:divBdr>
            <w:top w:val="none" w:sz="0" w:space="0" w:color="auto"/>
            <w:left w:val="none" w:sz="0" w:space="0" w:color="auto"/>
            <w:bottom w:val="none" w:sz="0" w:space="0" w:color="auto"/>
            <w:right w:val="none" w:sz="0" w:space="0" w:color="auto"/>
          </w:divBdr>
        </w:div>
        <w:div w:id="1316450924">
          <w:marLeft w:val="0"/>
          <w:marRight w:val="0"/>
          <w:marTop w:val="0"/>
          <w:marBottom w:val="0"/>
          <w:divBdr>
            <w:top w:val="none" w:sz="0" w:space="0" w:color="auto"/>
            <w:left w:val="none" w:sz="0" w:space="0" w:color="auto"/>
            <w:bottom w:val="none" w:sz="0" w:space="0" w:color="auto"/>
            <w:right w:val="none" w:sz="0" w:space="0" w:color="auto"/>
          </w:divBdr>
        </w:div>
        <w:div w:id="1381590795">
          <w:marLeft w:val="0"/>
          <w:marRight w:val="0"/>
          <w:marTop w:val="0"/>
          <w:marBottom w:val="0"/>
          <w:divBdr>
            <w:top w:val="none" w:sz="0" w:space="0" w:color="auto"/>
            <w:left w:val="none" w:sz="0" w:space="0" w:color="auto"/>
            <w:bottom w:val="none" w:sz="0" w:space="0" w:color="auto"/>
            <w:right w:val="none" w:sz="0" w:space="0" w:color="auto"/>
          </w:divBdr>
        </w:div>
        <w:div w:id="828330389">
          <w:marLeft w:val="0"/>
          <w:marRight w:val="0"/>
          <w:marTop w:val="0"/>
          <w:marBottom w:val="0"/>
          <w:divBdr>
            <w:top w:val="none" w:sz="0" w:space="0" w:color="auto"/>
            <w:left w:val="none" w:sz="0" w:space="0" w:color="auto"/>
            <w:bottom w:val="none" w:sz="0" w:space="0" w:color="auto"/>
            <w:right w:val="none" w:sz="0" w:space="0" w:color="auto"/>
          </w:divBdr>
        </w:div>
        <w:div w:id="1501895972">
          <w:marLeft w:val="0"/>
          <w:marRight w:val="0"/>
          <w:marTop w:val="0"/>
          <w:marBottom w:val="0"/>
          <w:divBdr>
            <w:top w:val="none" w:sz="0" w:space="0" w:color="auto"/>
            <w:left w:val="none" w:sz="0" w:space="0" w:color="auto"/>
            <w:bottom w:val="none" w:sz="0" w:space="0" w:color="auto"/>
            <w:right w:val="none" w:sz="0" w:space="0" w:color="auto"/>
          </w:divBdr>
        </w:div>
        <w:div w:id="35013864">
          <w:marLeft w:val="0"/>
          <w:marRight w:val="0"/>
          <w:marTop w:val="0"/>
          <w:marBottom w:val="0"/>
          <w:divBdr>
            <w:top w:val="none" w:sz="0" w:space="0" w:color="auto"/>
            <w:left w:val="none" w:sz="0" w:space="0" w:color="auto"/>
            <w:bottom w:val="none" w:sz="0" w:space="0" w:color="auto"/>
            <w:right w:val="none" w:sz="0" w:space="0" w:color="auto"/>
          </w:divBdr>
        </w:div>
        <w:div w:id="545609147">
          <w:marLeft w:val="0"/>
          <w:marRight w:val="0"/>
          <w:marTop w:val="0"/>
          <w:marBottom w:val="0"/>
          <w:divBdr>
            <w:top w:val="none" w:sz="0" w:space="0" w:color="auto"/>
            <w:left w:val="none" w:sz="0" w:space="0" w:color="auto"/>
            <w:bottom w:val="none" w:sz="0" w:space="0" w:color="auto"/>
            <w:right w:val="none" w:sz="0" w:space="0" w:color="auto"/>
          </w:divBdr>
        </w:div>
        <w:div w:id="2098092486">
          <w:marLeft w:val="0"/>
          <w:marRight w:val="0"/>
          <w:marTop w:val="0"/>
          <w:marBottom w:val="0"/>
          <w:divBdr>
            <w:top w:val="none" w:sz="0" w:space="0" w:color="auto"/>
            <w:left w:val="none" w:sz="0" w:space="0" w:color="auto"/>
            <w:bottom w:val="none" w:sz="0" w:space="0" w:color="auto"/>
            <w:right w:val="none" w:sz="0" w:space="0" w:color="auto"/>
          </w:divBdr>
        </w:div>
        <w:div w:id="527910090">
          <w:marLeft w:val="0"/>
          <w:marRight w:val="0"/>
          <w:marTop w:val="0"/>
          <w:marBottom w:val="0"/>
          <w:divBdr>
            <w:top w:val="none" w:sz="0" w:space="0" w:color="auto"/>
            <w:left w:val="none" w:sz="0" w:space="0" w:color="auto"/>
            <w:bottom w:val="none" w:sz="0" w:space="0" w:color="auto"/>
            <w:right w:val="none" w:sz="0" w:space="0" w:color="auto"/>
          </w:divBdr>
        </w:div>
        <w:div w:id="173805880">
          <w:marLeft w:val="0"/>
          <w:marRight w:val="0"/>
          <w:marTop w:val="0"/>
          <w:marBottom w:val="0"/>
          <w:divBdr>
            <w:top w:val="none" w:sz="0" w:space="0" w:color="auto"/>
            <w:left w:val="none" w:sz="0" w:space="0" w:color="auto"/>
            <w:bottom w:val="none" w:sz="0" w:space="0" w:color="auto"/>
            <w:right w:val="none" w:sz="0" w:space="0" w:color="auto"/>
          </w:divBdr>
        </w:div>
        <w:div w:id="565456494">
          <w:marLeft w:val="0"/>
          <w:marRight w:val="0"/>
          <w:marTop w:val="0"/>
          <w:marBottom w:val="0"/>
          <w:divBdr>
            <w:top w:val="none" w:sz="0" w:space="0" w:color="auto"/>
            <w:left w:val="none" w:sz="0" w:space="0" w:color="auto"/>
            <w:bottom w:val="none" w:sz="0" w:space="0" w:color="auto"/>
            <w:right w:val="none" w:sz="0" w:space="0" w:color="auto"/>
          </w:divBdr>
        </w:div>
        <w:div w:id="1522278415">
          <w:marLeft w:val="0"/>
          <w:marRight w:val="0"/>
          <w:marTop w:val="0"/>
          <w:marBottom w:val="0"/>
          <w:divBdr>
            <w:top w:val="none" w:sz="0" w:space="0" w:color="auto"/>
            <w:left w:val="none" w:sz="0" w:space="0" w:color="auto"/>
            <w:bottom w:val="none" w:sz="0" w:space="0" w:color="auto"/>
            <w:right w:val="none" w:sz="0" w:space="0" w:color="auto"/>
          </w:divBdr>
        </w:div>
        <w:div w:id="36272917">
          <w:marLeft w:val="0"/>
          <w:marRight w:val="0"/>
          <w:marTop w:val="0"/>
          <w:marBottom w:val="0"/>
          <w:divBdr>
            <w:top w:val="none" w:sz="0" w:space="0" w:color="auto"/>
            <w:left w:val="none" w:sz="0" w:space="0" w:color="auto"/>
            <w:bottom w:val="none" w:sz="0" w:space="0" w:color="auto"/>
            <w:right w:val="none" w:sz="0" w:space="0" w:color="auto"/>
          </w:divBdr>
        </w:div>
        <w:div w:id="2121297699">
          <w:marLeft w:val="0"/>
          <w:marRight w:val="0"/>
          <w:marTop w:val="0"/>
          <w:marBottom w:val="0"/>
          <w:divBdr>
            <w:top w:val="none" w:sz="0" w:space="0" w:color="auto"/>
            <w:left w:val="none" w:sz="0" w:space="0" w:color="auto"/>
            <w:bottom w:val="none" w:sz="0" w:space="0" w:color="auto"/>
            <w:right w:val="none" w:sz="0" w:space="0" w:color="auto"/>
          </w:divBdr>
        </w:div>
        <w:div w:id="763962351">
          <w:marLeft w:val="0"/>
          <w:marRight w:val="0"/>
          <w:marTop w:val="0"/>
          <w:marBottom w:val="0"/>
          <w:divBdr>
            <w:top w:val="none" w:sz="0" w:space="0" w:color="auto"/>
            <w:left w:val="none" w:sz="0" w:space="0" w:color="auto"/>
            <w:bottom w:val="none" w:sz="0" w:space="0" w:color="auto"/>
            <w:right w:val="none" w:sz="0" w:space="0" w:color="auto"/>
          </w:divBdr>
        </w:div>
        <w:div w:id="448276702">
          <w:marLeft w:val="0"/>
          <w:marRight w:val="0"/>
          <w:marTop w:val="0"/>
          <w:marBottom w:val="0"/>
          <w:divBdr>
            <w:top w:val="none" w:sz="0" w:space="0" w:color="auto"/>
            <w:left w:val="none" w:sz="0" w:space="0" w:color="auto"/>
            <w:bottom w:val="none" w:sz="0" w:space="0" w:color="auto"/>
            <w:right w:val="none" w:sz="0" w:space="0" w:color="auto"/>
          </w:divBdr>
        </w:div>
        <w:div w:id="1876455033">
          <w:marLeft w:val="0"/>
          <w:marRight w:val="0"/>
          <w:marTop w:val="0"/>
          <w:marBottom w:val="0"/>
          <w:divBdr>
            <w:top w:val="none" w:sz="0" w:space="0" w:color="auto"/>
            <w:left w:val="none" w:sz="0" w:space="0" w:color="auto"/>
            <w:bottom w:val="none" w:sz="0" w:space="0" w:color="auto"/>
            <w:right w:val="none" w:sz="0" w:space="0" w:color="auto"/>
          </w:divBdr>
        </w:div>
        <w:div w:id="1023091565">
          <w:marLeft w:val="0"/>
          <w:marRight w:val="0"/>
          <w:marTop w:val="0"/>
          <w:marBottom w:val="0"/>
          <w:divBdr>
            <w:top w:val="none" w:sz="0" w:space="0" w:color="auto"/>
            <w:left w:val="none" w:sz="0" w:space="0" w:color="auto"/>
            <w:bottom w:val="none" w:sz="0" w:space="0" w:color="auto"/>
            <w:right w:val="none" w:sz="0" w:space="0" w:color="auto"/>
          </w:divBdr>
        </w:div>
        <w:div w:id="822045859">
          <w:marLeft w:val="0"/>
          <w:marRight w:val="0"/>
          <w:marTop w:val="0"/>
          <w:marBottom w:val="0"/>
          <w:divBdr>
            <w:top w:val="none" w:sz="0" w:space="0" w:color="auto"/>
            <w:left w:val="none" w:sz="0" w:space="0" w:color="auto"/>
            <w:bottom w:val="none" w:sz="0" w:space="0" w:color="auto"/>
            <w:right w:val="none" w:sz="0" w:space="0" w:color="auto"/>
          </w:divBdr>
        </w:div>
        <w:div w:id="1144468782">
          <w:marLeft w:val="0"/>
          <w:marRight w:val="0"/>
          <w:marTop w:val="0"/>
          <w:marBottom w:val="0"/>
          <w:divBdr>
            <w:top w:val="none" w:sz="0" w:space="0" w:color="auto"/>
            <w:left w:val="none" w:sz="0" w:space="0" w:color="auto"/>
            <w:bottom w:val="none" w:sz="0" w:space="0" w:color="auto"/>
            <w:right w:val="none" w:sz="0" w:space="0" w:color="auto"/>
          </w:divBdr>
        </w:div>
        <w:div w:id="841627206">
          <w:marLeft w:val="0"/>
          <w:marRight w:val="0"/>
          <w:marTop w:val="0"/>
          <w:marBottom w:val="0"/>
          <w:divBdr>
            <w:top w:val="none" w:sz="0" w:space="0" w:color="auto"/>
            <w:left w:val="none" w:sz="0" w:space="0" w:color="auto"/>
            <w:bottom w:val="none" w:sz="0" w:space="0" w:color="auto"/>
            <w:right w:val="none" w:sz="0" w:space="0" w:color="auto"/>
          </w:divBdr>
        </w:div>
        <w:div w:id="961807546">
          <w:marLeft w:val="0"/>
          <w:marRight w:val="0"/>
          <w:marTop w:val="0"/>
          <w:marBottom w:val="0"/>
          <w:divBdr>
            <w:top w:val="none" w:sz="0" w:space="0" w:color="auto"/>
            <w:left w:val="none" w:sz="0" w:space="0" w:color="auto"/>
            <w:bottom w:val="none" w:sz="0" w:space="0" w:color="auto"/>
            <w:right w:val="none" w:sz="0" w:space="0" w:color="auto"/>
          </w:divBdr>
        </w:div>
        <w:div w:id="1778868138">
          <w:marLeft w:val="0"/>
          <w:marRight w:val="0"/>
          <w:marTop w:val="0"/>
          <w:marBottom w:val="0"/>
          <w:divBdr>
            <w:top w:val="none" w:sz="0" w:space="0" w:color="auto"/>
            <w:left w:val="none" w:sz="0" w:space="0" w:color="auto"/>
            <w:bottom w:val="none" w:sz="0" w:space="0" w:color="auto"/>
            <w:right w:val="none" w:sz="0" w:space="0" w:color="auto"/>
          </w:divBdr>
        </w:div>
        <w:div w:id="769860694">
          <w:marLeft w:val="0"/>
          <w:marRight w:val="0"/>
          <w:marTop w:val="0"/>
          <w:marBottom w:val="0"/>
          <w:divBdr>
            <w:top w:val="none" w:sz="0" w:space="0" w:color="auto"/>
            <w:left w:val="none" w:sz="0" w:space="0" w:color="auto"/>
            <w:bottom w:val="none" w:sz="0" w:space="0" w:color="auto"/>
            <w:right w:val="none" w:sz="0" w:space="0" w:color="auto"/>
          </w:divBdr>
        </w:div>
        <w:div w:id="107969512">
          <w:marLeft w:val="0"/>
          <w:marRight w:val="0"/>
          <w:marTop w:val="0"/>
          <w:marBottom w:val="0"/>
          <w:divBdr>
            <w:top w:val="none" w:sz="0" w:space="0" w:color="auto"/>
            <w:left w:val="none" w:sz="0" w:space="0" w:color="auto"/>
            <w:bottom w:val="none" w:sz="0" w:space="0" w:color="auto"/>
            <w:right w:val="none" w:sz="0" w:space="0" w:color="auto"/>
          </w:divBdr>
        </w:div>
        <w:div w:id="315031798">
          <w:marLeft w:val="0"/>
          <w:marRight w:val="0"/>
          <w:marTop w:val="0"/>
          <w:marBottom w:val="0"/>
          <w:divBdr>
            <w:top w:val="none" w:sz="0" w:space="0" w:color="auto"/>
            <w:left w:val="none" w:sz="0" w:space="0" w:color="auto"/>
            <w:bottom w:val="none" w:sz="0" w:space="0" w:color="auto"/>
            <w:right w:val="none" w:sz="0" w:space="0" w:color="auto"/>
          </w:divBdr>
        </w:div>
        <w:div w:id="1938173359">
          <w:marLeft w:val="0"/>
          <w:marRight w:val="0"/>
          <w:marTop w:val="0"/>
          <w:marBottom w:val="0"/>
          <w:divBdr>
            <w:top w:val="none" w:sz="0" w:space="0" w:color="auto"/>
            <w:left w:val="none" w:sz="0" w:space="0" w:color="auto"/>
            <w:bottom w:val="none" w:sz="0" w:space="0" w:color="auto"/>
            <w:right w:val="none" w:sz="0" w:space="0" w:color="auto"/>
          </w:divBdr>
        </w:div>
        <w:div w:id="403533587">
          <w:marLeft w:val="0"/>
          <w:marRight w:val="0"/>
          <w:marTop w:val="0"/>
          <w:marBottom w:val="0"/>
          <w:divBdr>
            <w:top w:val="none" w:sz="0" w:space="0" w:color="auto"/>
            <w:left w:val="none" w:sz="0" w:space="0" w:color="auto"/>
            <w:bottom w:val="none" w:sz="0" w:space="0" w:color="auto"/>
            <w:right w:val="none" w:sz="0" w:space="0" w:color="auto"/>
          </w:divBdr>
        </w:div>
        <w:div w:id="1465006953">
          <w:marLeft w:val="0"/>
          <w:marRight w:val="0"/>
          <w:marTop w:val="0"/>
          <w:marBottom w:val="0"/>
          <w:divBdr>
            <w:top w:val="none" w:sz="0" w:space="0" w:color="auto"/>
            <w:left w:val="none" w:sz="0" w:space="0" w:color="auto"/>
            <w:bottom w:val="none" w:sz="0" w:space="0" w:color="auto"/>
            <w:right w:val="none" w:sz="0" w:space="0" w:color="auto"/>
          </w:divBdr>
        </w:div>
        <w:div w:id="1024939719">
          <w:marLeft w:val="0"/>
          <w:marRight w:val="0"/>
          <w:marTop w:val="0"/>
          <w:marBottom w:val="0"/>
          <w:divBdr>
            <w:top w:val="none" w:sz="0" w:space="0" w:color="auto"/>
            <w:left w:val="none" w:sz="0" w:space="0" w:color="auto"/>
            <w:bottom w:val="none" w:sz="0" w:space="0" w:color="auto"/>
            <w:right w:val="none" w:sz="0" w:space="0" w:color="auto"/>
          </w:divBdr>
        </w:div>
        <w:div w:id="937326222">
          <w:marLeft w:val="0"/>
          <w:marRight w:val="0"/>
          <w:marTop w:val="0"/>
          <w:marBottom w:val="0"/>
          <w:divBdr>
            <w:top w:val="none" w:sz="0" w:space="0" w:color="auto"/>
            <w:left w:val="none" w:sz="0" w:space="0" w:color="auto"/>
            <w:bottom w:val="none" w:sz="0" w:space="0" w:color="auto"/>
            <w:right w:val="none" w:sz="0" w:space="0" w:color="auto"/>
          </w:divBdr>
        </w:div>
        <w:div w:id="1369842393">
          <w:marLeft w:val="0"/>
          <w:marRight w:val="0"/>
          <w:marTop w:val="0"/>
          <w:marBottom w:val="0"/>
          <w:divBdr>
            <w:top w:val="none" w:sz="0" w:space="0" w:color="auto"/>
            <w:left w:val="none" w:sz="0" w:space="0" w:color="auto"/>
            <w:bottom w:val="none" w:sz="0" w:space="0" w:color="auto"/>
            <w:right w:val="none" w:sz="0" w:space="0" w:color="auto"/>
          </w:divBdr>
        </w:div>
        <w:div w:id="1817380665">
          <w:marLeft w:val="0"/>
          <w:marRight w:val="0"/>
          <w:marTop w:val="0"/>
          <w:marBottom w:val="0"/>
          <w:divBdr>
            <w:top w:val="none" w:sz="0" w:space="0" w:color="auto"/>
            <w:left w:val="none" w:sz="0" w:space="0" w:color="auto"/>
            <w:bottom w:val="none" w:sz="0" w:space="0" w:color="auto"/>
            <w:right w:val="none" w:sz="0" w:space="0" w:color="auto"/>
          </w:divBdr>
        </w:div>
        <w:div w:id="681128676">
          <w:marLeft w:val="0"/>
          <w:marRight w:val="0"/>
          <w:marTop w:val="0"/>
          <w:marBottom w:val="0"/>
          <w:divBdr>
            <w:top w:val="none" w:sz="0" w:space="0" w:color="auto"/>
            <w:left w:val="none" w:sz="0" w:space="0" w:color="auto"/>
            <w:bottom w:val="none" w:sz="0" w:space="0" w:color="auto"/>
            <w:right w:val="none" w:sz="0" w:space="0" w:color="auto"/>
          </w:divBdr>
        </w:div>
        <w:div w:id="1507475866">
          <w:marLeft w:val="0"/>
          <w:marRight w:val="0"/>
          <w:marTop w:val="0"/>
          <w:marBottom w:val="0"/>
          <w:divBdr>
            <w:top w:val="none" w:sz="0" w:space="0" w:color="auto"/>
            <w:left w:val="none" w:sz="0" w:space="0" w:color="auto"/>
            <w:bottom w:val="none" w:sz="0" w:space="0" w:color="auto"/>
            <w:right w:val="none" w:sz="0" w:space="0" w:color="auto"/>
          </w:divBdr>
        </w:div>
        <w:div w:id="1451850821">
          <w:marLeft w:val="0"/>
          <w:marRight w:val="0"/>
          <w:marTop w:val="0"/>
          <w:marBottom w:val="0"/>
          <w:divBdr>
            <w:top w:val="none" w:sz="0" w:space="0" w:color="auto"/>
            <w:left w:val="none" w:sz="0" w:space="0" w:color="auto"/>
            <w:bottom w:val="none" w:sz="0" w:space="0" w:color="auto"/>
            <w:right w:val="none" w:sz="0" w:space="0" w:color="auto"/>
          </w:divBdr>
        </w:div>
        <w:div w:id="542787140">
          <w:marLeft w:val="0"/>
          <w:marRight w:val="0"/>
          <w:marTop w:val="0"/>
          <w:marBottom w:val="0"/>
          <w:divBdr>
            <w:top w:val="none" w:sz="0" w:space="0" w:color="auto"/>
            <w:left w:val="none" w:sz="0" w:space="0" w:color="auto"/>
            <w:bottom w:val="none" w:sz="0" w:space="0" w:color="auto"/>
            <w:right w:val="none" w:sz="0" w:space="0" w:color="auto"/>
          </w:divBdr>
        </w:div>
        <w:div w:id="1185750150">
          <w:marLeft w:val="0"/>
          <w:marRight w:val="0"/>
          <w:marTop w:val="0"/>
          <w:marBottom w:val="0"/>
          <w:divBdr>
            <w:top w:val="none" w:sz="0" w:space="0" w:color="auto"/>
            <w:left w:val="none" w:sz="0" w:space="0" w:color="auto"/>
            <w:bottom w:val="none" w:sz="0" w:space="0" w:color="auto"/>
            <w:right w:val="none" w:sz="0" w:space="0" w:color="auto"/>
          </w:divBdr>
        </w:div>
        <w:div w:id="1157693983">
          <w:marLeft w:val="0"/>
          <w:marRight w:val="0"/>
          <w:marTop w:val="0"/>
          <w:marBottom w:val="0"/>
          <w:divBdr>
            <w:top w:val="none" w:sz="0" w:space="0" w:color="auto"/>
            <w:left w:val="none" w:sz="0" w:space="0" w:color="auto"/>
            <w:bottom w:val="none" w:sz="0" w:space="0" w:color="auto"/>
            <w:right w:val="none" w:sz="0" w:space="0" w:color="auto"/>
          </w:divBdr>
        </w:div>
        <w:div w:id="1525752312">
          <w:marLeft w:val="0"/>
          <w:marRight w:val="0"/>
          <w:marTop w:val="0"/>
          <w:marBottom w:val="0"/>
          <w:divBdr>
            <w:top w:val="none" w:sz="0" w:space="0" w:color="auto"/>
            <w:left w:val="none" w:sz="0" w:space="0" w:color="auto"/>
            <w:bottom w:val="none" w:sz="0" w:space="0" w:color="auto"/>
            <w:right w:val="none" w:sz="0" w:space="0" w:color="auto"/>
          </w:divBdr>
        </w:div>
        <w:div w:id="1248224692">
          <w:marLeft w:val="0"/>
          <w:marRight w:val="0"/>
          <w:marTop w:val="0"/>
          <w:marBottom w:val="0"/>
          <w:divBdr>
            <w:top w:val="none" w:sz="0" w:space="0" w:color="auto"/>
            <w:left w:val="none" w:sz="0" w:space="0" w:color="auto"/>
            <w:bottom w:val="none" w:sz="0" w:space="0" w:color="auto"/>
            <w:right w:val="none" w:sz="0" w:space="0" w:color="auto"/>
          </w:divBdr>
        </w:div>
        <w:div w:id="1269971882">
          <w:marLeft w:val="0"/>
          <w:marRight w:val="0"/>
          <w:marTop w:val="0"/>
          <w:marBottom w:val="0"/>
          <w:divBdr>
            <w:top w:val="none" w:sz="0" w:space="0" w:color="auto"/>
            <w:left w:val="none" w:sz="0" w:space="0" w:color="auto"/>
            <w:bottom w:val="none" w:sz="0" w:space="0" w:color="auto"/>
            <w:right w:val="none" w:sz="0" w:space="0" w:color="auto"/>
          </w:divBdr>
        </w:div>
        <w:div w:id="1993873640">
          <w:marLeft w:val="0"/>
          <w:marRight w:val="0"/>
          <w:marTop w:val="0"/>
          <w:marBottom w:val="0"/>
          <w:divBdr>
            <w:top w:val="none" w:sz="0" w:space="0" w:color="auto"/>
            <w:left w:val="none" w:sz="0" w:space="0" w:color="auto"/>
            <w:bottom w:val="none" w:sz="0" w:space="0" w:color="auto"/>
            <w:right w:val="none" w:sz="0" w:space="0" w:color="auto"/>
          </w:divBdr>
        </w:div>
        <w:div w:id="230238581">
          <w:marLeft w:val="0"/>
          <w:marRight w:val="0"/>
          <w:marTop w:val="0"/>
          <w:marBottom w:val="0"/>
          <w:divBdr>
            <w:top w:val="none" w:sz="0" w:space="0" w:color="auto"/>
            <w:left w:val="none" w:sz="0" w:space="0" w:color="auto"/>
            <w:bottom w:val="none" w:sz="0" w:space="0" w:color="auto"/>
            <w:right w:val="none" w:sz="0" w:space="0" w:color="auto"/>
          </w:divBdr>
        </w:div>
        <w:div w:id="331837948">
          <w:marLeft w:val="0"/>
          <w:marRight w:val="0"/>
          <w:marTop w:val="0"/>
          <w:marBottom w:val="0"/>
          <w:divBdr>
            <w:top w:val="none" w:sz="0" w:space="0" w:color="auto"/>
            <w:left w:val="none" w:sz="0" w:space="0" w:color="auto"/>
            <w:bottom w:val="none" w:sz="0" w:space="0" w:color="auto"/>
            <w:right w:val="none" w:sz="0" w:space="0" w:color="auto"/>
          </w:divBdr>
        </w:div>
        <w:div w:id="1962614260">
          <w:marLeft w:val="0"/>
          <w:marRight w:val="0"/>
          <w:marTop w:val="0"/>
          <w:marBottom w:val="0"/>
          <w:divBdr>
            <w:top w:val="none" w:sz="0" w:space="0" w:color="auto"/>
            <w:left w:val="none" w:sz="0" w:space="0" w:color="auto"/>
            <w:bottom w:val="none" w:sz="0" w:space="0" w:color="auto"/>
            <w:right w:val="none" w:sz="0" w:space="0" w:color="auto"/>
          </w:divBdr>
        </w:div>
        <w:div w:id="443618559">
          <w:marLeft w:val="0"/>
          <w:marRight w:val="0"/>
          <w:marTop w:val="0"/>
          <w:marBottom w:val="0"/>
          <w:divBdr>
            <w:top w:val="none" w:sz="0" w:space="0" w:color="auto"/>
            <w:left w:val="none" w:sz="0" w:space="0" w:color="auto"/>
            <w:bottom w:val="none" w:sz="0" w:space="0" w:color="auto"/>
            <w:right w:val="none" w:sz="0" w:space="0" w:color="auto"/>
          </w:divBdr>
        </w:div>
        <w:div w:id="158812471">
          <w:marLeft w:val="0"/>
          <w:marRight w:val="0"/>
          <w:marTop w:val="0"/>
          <w:marBottom w:val="0"/>
          <w:divBdr>
            <w:top w:val="none" w:sz="0" w:space="0" w:color="auto"/>
            <w:left w:val="none" w:sz="0" w:space="0" w:color="auto"/>
            <w:bottom w:val="none" w:sz="0" w:space="0" w:color="auto"/>
            <w:right w:val="none" w:sz="0" w:space="0" w:color="auto"/>
          </w:divBdr>
        </w:div>
        <w:div w:id="1323586087">
          <w:marLeft w:val="0"/>
          <w:marRight w:val="0"/>
          <w:marTop w:val="0"/>
          <w:marBottom w:val="0"/>
          <w:divBdr>
            <w:top w:val="none" w:sz="0" w:space="0" w:color="auto"/>
            <w:left w:val="none" w:sz="0" w:space="0" w:color="auto"/>
            <w:bottom w:val="none" w:sz="0" w:space="0" w:color="auto"/>
            <w:right w:val="none" w:sz="0" w:space="0" w:color="auto"/>
          </w:divBdr>
        </w:div>
        <w:div w:id="1110008245">
          <w:marLeft w:val="0"/>
          <w:marRight w:val="0"/>
          <w:marTop w:val="0"/>
          <w:marBottom w:val="0"/>
          <w:divBdr>
            <w:top w:val="none" w:sz="0" w:space="0" w:color="auto"/>
            <w:left w:val="none" w:sz="0" w:space="0" w:color="auto"/>
            <w:bottom w:val="none" w:sz="0" w:space="0" w:color="auto"/>
            <w:right w:val="none" w:sz="0" w:space="0" w:color="auto"/>
          </w:divBdr>
        </w:div>
        <w:div w:id="2132092663">
          <w:marLeft w:val="0"/>
          <w:marRight w:val="0"/>
          <w:marTop w:val="0"/>
          <w:marBottom w:val="0"/>
          <w:divBdr>
            <w:top w:val="none" w:sz="0" w:space="0" w:color="auto"/>
            <w:left w:val="none" w:sz="0" w:space="0" w:color="auto"/>
            <w:bottom w:val="none" w:sz="0" w:space="0" w:color="auto"/>
            <w:right w:val="none" w:sz="0" w:space="0" w:color="auto"/>
          </w:divBdr>
        </w:div>
        <w:div w:id="1539510850">
          <w:marLeft w:val="0"/>
          <w:marRight w:val="0"/>
          <w:marTop w:val="0"/>
          <w:marBottom w:val="0"/>
          <w:divBdr>
            <w:top w:val="none" w:sz="0" w:space="0" w:color="auto"/>
            <w:left w:val="none" w:sz="0" w:space="0" w:color="auto"/>
            <w:bottom w:val="none" w:sz="0" w:space="0" w:color="auto"/>
            <w:right w:val="none" w:sz="0" w:space="0" w:color="auto"/>
          </w:divBdr>
        </w:div>
        <w:div w:id="2069377289">
          <w:marLeft w:val="0"/>
          <w:marRight w:val="0"/>
          <w:marTop w:val="0"/>
          <w:marBottom w:val="0"/>
          <w:divBdr>
            <w:top w:val="none" w:sz="0" w:space="0" w:color="auto"/>
            <w:left w:val="none" w:sz="0" w:space="0" w:color="auto"/>
            <w:bottom w:val="none" w:sz="0" w:space="0" w:color="auto"/>
            <w:right w:val="none" w:sz="0" w:space="0" w:color="auto"/>
          </w:divBdr>
        </w:div>
        <w:div w:id="1127549206">
          <w:marLeft w:val="0"/>
          <w:marRight w:val="0"/>
          <w:marTop w:val="0"/>
          <w:marBottom w:val="0"/>
          <w:divBdr>
            <w:top w:val="none" w:sz="0" w:space="0" w:color="auto"/>
            <w:left w:val="none" w:sz="0" w:space="0" w:color="auto"/>
            <w:bottom w:val="none" w:sz="0" w:space="0" w:color="auto"/>
            <w:right w:val="none" w:sz="0" w:space="0" w:color="auto"/>
          </w:divBdr>
        </w:div>
        <w:div w:id="582757889">
          <w:marLeft w:val="0"/>
          <w:marRight w:val="0"/>
          <w:marTop w:val="0"/>
          <w:marBottom w:val="0"/>
          <w:divBdr>
            <w:top w:val="none" w:sz="0" w:space="0" w:color="auto"/>
            <w:left w:val="none" w:sz="0" w:space="0" w:color="auto"/>
            <w:bottom w:val="none" w:sz="0" w:space="0" w:color="auto"/>
            <w:right w:val="none" w:sz="0" w:space="0" w:color="auto"/>
          </w:divBdr>
        </w:div>
        <w:div w:id="74939956">
          <w:marLeft w:val="0"/>
          <w:marRight w:val="0"/>
          <w:marTop w:val="0"/>
          <w:marBottom w:val="0"/>
          <w:divBdr>
            <w:top w:val="none" w:sz="0" w:space="0" w:color="auto"/>
            <w:left w:val="none" w:sz="0" w:space="0" w:color="auto"/>
            <w:bottom w:val="none" w:sz="0" w:space="0" w:color="auto"/>
            <w:right w:val="none" w:sz="0" w:space="0" w:color="auto"/>
          </w:divBdr>
        </w:div>
        <w:div w:id="1313946192">
          <w:marLeft w:val="0"/>
          <w:marRight w:val="0"/>
          <w:marTop w:val="0"/>
          <w:marBottom w:val="0"/>
          <w:divBdr>
            <w:top w:val="none" w:sz="0" w:space="0" w:color="auto"/>
            <w:left w:val="none" w:sz="0" w:space="0" w:color="auto"/>
            <w:bottom w:val="none" w:sz="0" w:space="0" w:color="auto"/>
            <w:right w:val="none" w:sz="0" w:space="0" w:color="auto"/>
          </w:divBdr>
        </w:div>
        <w:div w:id="643511309">
          <w:marLeft w:val="0"/>
          <w:marRight w:val="0"/>
          <w:marTop w:val="0"/>
          <w:marBottom w:val="0"/>
          <w:divBdr>
            <w:top w:val="none" w:sz="0" w:space="0" w:color="auto"/>
            <w:left w:val="none" w:sz="0" w:space="0" w:color="auto"/>
            <w:bottom w:val="none" w:sz="0" w:space="0" w:color="auto"/>
            <w:right w:val="none" w:sz="0" w:space="0" w:color="auto"/>
          </w:divBdr>
        </w:div>
        <w:div w:id="1972051026">
          <w:marLeft w:val="0"/>
          <w:marRight w:val="0"/>
          <w:marTop w:val="0"/>
          <w:marBottom w:val="0"/>
          <w:divBdr>
            <w:top w:val="none" w:sz="0" w:space="0" w:color="auto"/>
            <w:left w:val="none" w:sz="0" w:space="0" w:color="auto"/>
            <w:bottom w:val="none" w:sz="0" w:space="0" w:color="auto"/>
            <w:right w:val="none" w:sz="0" w:space="0" w:color="auto"/>
          </w:divBdr>
        </w:div>
        <w:div w:id="78524893">
          <w:marLeft w:val="0"/>
          <w:marRight w:val="0"/>
          <w:marTop w:val="0"/>
          <w:marBottom w:val="0"/>
          <w:divBdr>
            <w:top w:val="none" w:sz="0" w:space="0" w:color="auto"/>
            <w:left w:val="none" w:sz="0" w:space="0" w:color="auto"/>
            <w:bottom w:val="none" w:sz="0" w:space="0" w:color="auto"/>
            <w:right w:val="none" w:sz="0" w:space="0" w:color="auto"/>
          </w:divBdr>
        </w:div>
        <w:div w:id="224951991">
          <w:marLeft w:val="0"/>
          <w:marRight w:val="0"/>
          <w:marTop w:val="0"/>
          <w:marBottom w:val="0"/>
          <w:divBdr>
            <w:top w:val="none" w:sz="0" w:space="0" w:color="auto"/>
            <w:left w:val="none" w:sz="0" w:space="0" w:color="auto"/>
            <w:bottom w:val="none" w:sz="0" w:space="0" w:color="auto"/>
            <w:right w:val="none" w:sz="0" w:space="0" w:color="auto"/>
          </w:divBdr>
        </w:div>
        <w:div w:id="1700887402">
          <w:marLeft w:val="0"/>
          <w:marRight w:val="0"/>
          <w:marTop w:val="0"/>
          <w:marBottom w:val="0"/>
          <w:divBdr>
            <w:top w:val="none" w:sz="0" w:space="0" w:color="auto"/>
            <w:left w:val="none" w:sz="0" w:space="0" w:color="auto"/>
            <w:bottom w:val="none" w:sz="0" w:space="0" w:color="auto"/>
            <w:right w:val="none" w:sz="0" w:space="0" w:color="auto"/>
          </w:divBdr>
        </w:div>
        <w:div w:id="1034816545">
          <w:marLeft w:val="0"/>
          <w:marRight w:val="0"/>
          <w:marTop w:val="0"/>
          <w:marBottom w:val="0"/>
          <w:divBdr>
            <w:top w:val="none" w:sz="0" w:space="0" w:color="auto"/>
            <w:left w:val="none" w:sz="0" w:space="0" w:color="auto"/>
            <w:bottom w:val="none" w:sz="0" w:space="0" w:color="auto"/>
            <w:right w:val="none" w:sz="0" w:space="0" w:color="auto"/>
          </w:divBdr>
        </w:div>
        <w:div w:id="1808467739">
          <w:marLeft w:val="0"/>
          <w:marRight w:val="0"/>
          <w:marTop w:val="0"/>
          <w:marBottom w:val="0"/>
          <w:divBdr>
            <w:top w:val="none" w:sz="0" w:space="0" w:color="auto"/>
            <w:left w:val="none" w:sz="0" w:space="0" w:color="auto"/>
            <w:bottom w:val="none" w:sz="0" w:space="0" w:color="auto"/>
            <w:right w:val="none" w:sz="0" w:space="0" w:color="auto"/>
          </w:divBdr>
        </w:div>
        <w:div w:id="780225135">
          <w:marLeft w:val="0"/>
          <w:marRight w:val="0"/>
          <w:marTop w:val="0"/>
          <w:marBottom w:val="0"/>
          <w:divBdr>
            <w:top w:val="none" w:sz="0" w:space="0" w:color="auto"/>
            <w:left w:val="none" w:sz="0" w:space="0" w:color="auto"/>
            <w:bottom w:val="none" w:sz="0" w:space="0" w:color="auto"/>
            <w:right w:val="none" w:sz="0" w:space="0" w:color="auto"/>
          </w:divBdr>
        </w:div>
        <w:div w:id="429737748">
          <w:marLeft w:val="0"/>
          <w:marRight w:val="0"/>
          <w:marTop w:val="0"/>
          <w:marBottom w:val="0"/>
          <w:divBdr>
            <w:top w:val="none" w:sz="0" w:space="0" w:color="auto"/>
            <w:left w:val="none" w:sz="0" w:space="0" w:color="auto"/>
            <w:bottom w:val="none" w:sz="0" w:space="0" w:color="auto"/>
            <w:right w:val="none" w:sz="0" w:space="0" w:color="auto"/>
          </w:divBdr>
        </w:div>
        <w:div w:id="1530146113">
          <w:marLeft w:val="0"/>
          <w:marRight w:val="0"/>
          <w:marTop w:val="0"/>
          <w:marBottom w:val="0"/>
          <w:divBdr>
            <w:top w:val="none" w:sz="0" w:space="0" w:color="auto"/>
            <w:left w:val="none" w:sz="0" w:space="0" w:color="auto"/>
            <w:bottom w:val="none" w:sz="0" w:space="0" w:color="auto"/>
            <w:right w:val="none" w:sz="0" w:space="0" w:color="auto"/>
          </w:divBdr>
        </w:div>
        <w:div w:id="467169199">
          <w:marLeft w:val="0"/>
          <w:marRight w:val="0"/>
          <w:marTop w:val="0"/>
          <w:marBottom w:val="0"/>
          <w:divBdr>
            <w:top w:val="none" w:sz="0" w:space="0" w:color="auto"/>
            <w:left w:val="none" w:sz="0" w:space="0" w:color="auto"/>
            <w:bottom w:val="none" w:sz="0" w:space="0" w:color="auto"/>
            <w:right w:val="none" w:sz="0" w:space="0" w:color="auto"/>
          </w:divBdr>
        </w:div>
      </w:divsChild>
    </w:div>
    <w:div w:id="1155682133">
      <w:bodyDiv w:val="1"/>
      <w:marLeft w:val="0"/>
      <w:marRight w:val="0"/>
      <w:marTop w:val="0"/>
      <w:marBottom w:val="0"/>
      <w:divBdr>
        <w:top w:val="none" w:sz="0" w:space="0" w:color="auto"/>
        <w:left w:val="none" w:sz="0" w:space="0" w:color="auto"/>
        <w:bottom w:val="none" w:sz="0" w:space="0" w:color="auto"/>
        <w:right w:val="none" w:sz="0" w:space="0" w:color="auto"/>
      </w:divBdr>
    </w:div>
    <w:div w:id="1156607607">
      <w:bodyDiv w:val="1"/>
      <w:marLeft w:val="0"/>
      <w:marRight w:val="0"/>
      <w:marTop w:val="0"/>
      <w:marBottom w:val="0"/>
      <w:divBdr>
        <w:top w:val="none" w:sz="0" w:space="0" w:color="auto"/>
        <w:left w:val="none" w:sz="0" w:space="0" w:color="auto"/>
        <w:bottom w:val="none" w:sz="0" w:space="0" w:color="auto"/>
        <w:right w:val="none" w:sz="0" w:space="0" w:color="auto"/>
      </w:divBdr>
    </w:div>
    <w:div w:id="1158813931">
      <w:bodyDiv w:val="1"/>
      <w:marLeft w:val="0"/>
      <w:marRight w:val="0"/>
      <w:marTop w:val="0"/>
      <w:marBottom w:val="0"/>
      <w:divBdr>
        <w:top w:val="none" w:sz="0" w:space="0" w:color="auto"/>
        <w:left w:val="none" w:sz="0" w:space="0" w:color="auto"/>
        <w:bottom w:val="none" w:sz="0" w:space="0" w:color="auto"/>
        <w:right w:val="none" w:sz="0" w:space="0" w:color="auto"/>
      </w:divBdr>
    </w:div>
    <w:div w:id="1164590524">
      <w:bodyDiv w:val="1"/>
      <w:marLeft w:val="0"/>
      <w:marRight w:val="0"/>
      <w:marTop w:val="0"/>
      <w:marBottom w:val="0"/>
      <w:divBdr>
        <w:top w:val="none" w:sz="0" w:space="0" w:color="auto"/>
        <w:left w:val="none" w:sz="0" w:space="0" w:color="auto"/>
        <w:bottom w:val="none" w:sz="0" w:space="0" w:color="auto"/>
        <w:right w:val="none" w:sz="0" w:space="0" w:color="auto"/>
      </w:divBdr>
    </w:div>
    <w:div w:id="1165054514">
      <w:bodyDiv w:val="1"/>
      <w:marLeft w:val="0"/>
      <w:marRight w:val="0"/>
      <w:marTop w:val="0"/>
      <w:marBottom w:val="0"/>
      <w:divBdr>
        <w:top w:val="none" w:sz="0" w:space="0" w:color="auto"/>
        <w:left w:val="none" w:sz="0" w:space="0" w:color="auto"/>
        <w:bottom w:val="none" w:sz="0" w:space="0" w:color="auto"/>
        <w:right w:val="none" w:sz="0" w:space="0" w:color="auto"/>
      </w:divBdr>
    </w:div>
    <w:div w:id="1168442331">
      <w:bodyDiv w:val="1"/>
      <w:marLeft w:val="0"/>
      <w:marRight w:val="0"/>
      <w:marTop w:val="0"/>
      <w:marBottom w:val="0"/>
      <w:divBdr>
        <w:top w:val="none" w:sz="0" w:space="0" w:color="auto"/>
        <w:left w:val="none" w:sz="0" w:space="0" w:color="auto"/>
        <w:bottom w:val="none" w:sz="0" w:space="0" w:color="auto"/>
        <w:right w:val="none" w:sz="0" w:space="0" w:color="auto"/>
      </w:divBdr>
    </w:div>
    <w:div w:id="1170563825">
      <w:bodyDiv w:val="1"/>
      <w:marLeft w:val="0"/>
      <w:marRight w:val="0"/>
      <w:marTop w:val="0"/>
      <w:marBottom w:val="0"/>
      <w:divBdr>
        <w:top w:val="none" w:sz="0" w:space="0" w:color="auto"/>
        <w:left w:val="none" w:sz="0" w:space="0" w:color="auto"/>
        <w:bottom w:val="none" w:sz="0" w:space="0" w:color="auto"/>
        <w:right w:val="none" w:sz="0" w:space="0" w:color="auto"/>
      </w:divBdr>
    </w:div>
    <w:div w:id="1174609209">
      <w:bodyDiv w:val="1"/>
      <w:marLeft w:val="0"/>
      <w:marRight w:val="0"/>
      <w:marTop w:val="0"/>
      <w:marBottom w:val="0"/>
      <w:divBdr>
        <w:top w:val="none" w:sz="0" w:space="0" w:color="auto"/>
        <w:left w:val="none" w:sz="0" w:space="0" w:color="auto"/>
        <w:bottom w:val="none" w:sz="0" w:space="0" w:color="auto"/>
        <w:right w:val="none" w:sz="0" w:space="0" w:color="auto"/>
      </w:divBdr>
    </w:div>
    <w:div w:id="1182163720">
      <w:bodyDiv w:val="1"/>
      <w:marLeft w:val="0"/>
      <w:marRight w:val="0"/>
      <w:marTop w:val="0"/>
      <w:marBottom w:val="0"/>
      <w:divBdr>
        <w:top w:val="none" w:sz="0" w:space="0" w:color="auto"/>
        <w:left w:val="none" w:sz="0" w:space="0" w:color="auto"/>
        <w:bottom w:val="none" w:sz="0" w:space="0" w:color="auto"/>
        <w:right w:val="none" w:sz="0" w:space="0" w:color="auto"/>
      </w:divBdr>
    </w:div>
    <w:div w:id="1182474760">
      <w:bodyDiv w:val="1"/>
      <w:marLeft w:val="0"/>
      <w:marRight w:val="0"/>
      <w:marTop w:val="0"/>
      <w:marBottom w:val="0"/>
      <w:divBdr>
        <w:top w:val="none" w:sz="0" w:space="0" w:color="auto"/>
        <w:left w:val="none" w:sz="0" w:space="0" w:color="auto"/>
        <w:bottom w:val="none" w:sz="0" w:space="0" w:color="auto"/>
        <w:right w:val="none" w:sz="0" w:space="0" w:color="auto"/>
      </w:divBdr>
    </w:div>
    <w:div w:id="1184369577">
      <w:bodyDiv w:val="1"/>
      <w:marLeft w:val="0"/>
      <w:marRight w:val="0"/>
      <w:marTop w:val="0"/>
      <w:marBottom w:val="0"/>
      <w:divBdr>
        <w:top w:val="none" w:sz="0" w:space="0" w:color="auto"/>
        <w:left w:val="none" w:sz="0" w:space="0" w:color="auto"/>
        <w:bottom w:val="none" w:sz="0" w:space="0" w:color="auto"/>
        <w:right w:val="none" w:sz="0" w:space="0" w:color="auto"/>
      </w:divBdr>
    </w:div>
    <w:div w:id="1186823194">
      <w:bodyDiv w:val="1"/>
      <w:marLeft w:val="0"/>
      <w:marRight w:val="0"/>
      <w:marTop w:val="0"/>
      <w:marBottom w:val="0"/>
      <w:divBdr>
        <w:top w:val="none" w:sz="0" w:space="0" w:color="auto"/>
        <w:left w:val="none" w:sz="0" w:space="0" w:color="auto"/>
        <w:bottom w:val="none" w:sz="0" w:space="0" w:color="auto"/>
        <w:right w:val="none" w:sz="0" w:space="0" w:color="auto"/>
      </w:divBdr>
    </w:div>
    <w:div w:id="1188375215">
      <w:bodyDiv w:val="1"/>
      <w:marLeft w:val="0"/>
      <w:marRight w:val="0"/>
      <w:marTop w:val="0"/>
      <w:marBottom w:val="0"/>
      <w:divBdr>
        <w:top w:val="none" w:sz="0" w:space="0" w:color="auto"/>
        <w:left w:val="none" w:sz="0" w:space="0" w:color="auto"/>
        <w:bottom w:val="none" w:sz="0" w:space="0" w:color="auto"/>
        <w:right w:val="none" w:sz="0" w:space="0" w:color="auto"/>
      </w:divBdr>
    </w:div>
    <w:div w:id="1189948251">
      <w:bodyDiv w:val="1"/>
      <w:marLeft w:val="0"/>
      <w:marRight w:val="0"/>
      <w:marTop w:val="0"/>
      <w:marBottom w:val="0"/>
      <w:divBdr>
        <w:top w:val="none" w:sz="0" w:space="0" w:color="auto"/>
        <w:left w:val="none" w:sz="0" w:space="0" w:color="auto"/>
        <w:bottom w:val="none" w:sz="0" w:space="0" w:color="auto"/>
        <w:right w:val="none" w:sz="0" w:space="0" w:color="auto"/>
      </w:divBdr>
    </w:div>
    <w:div w:id="1191531241">
      <w:bodyDiv w:val="1"/>
      <w:marLeft w:val="0"/>
      <w:marRight w:val="0"/>
      <w:marTop w:val="0"/>
      <w:marBottom w:val="0"/>
      <w:divBdr>
        <w:top w:val="none" w:sz="0" w:space="0" w:color="auto"/>
        <w:left w:val="none" w:sz="0" w:space="0" w:color="auto"/>
        <w:bottom w:val="none" w:sz="0" w:space="0" w:color="auto"/>
        <w:right w:val="none" w:sz="0" w:space="0" w:color="auto"/>
      </w:divBdr>
    </w:div>
    <w:div w:id="1192571851">
      <w:bodyDiv w:val="1"/>
      <w:marLeft w:val="0"/>
      <w:marRight w:val="0"/>
      <w:marTop w:val="0"/>
      <w:marBottom w:val="0"/>
      <w:divBdr>
        <w:top w:val="none" w:sz="0" w:space="0" w:color="auto"/>
        <w:left w:val="none" w:sz="0" w:space="0" w:color="auto"/>
        <w:bottom w:val="none" w:sz="0" w:space="0" w:color="auto"/>
        <w:right w:val="none" w:sz="0" w:space="0" w:color="auto"/>
      </w:divBdr>
      <w:divsChild>
        <w:div w:id="418252976">
          <w:marLeft w:val="0"/>
          <w:marRight w:val="0"/>
          <w:marTop w:val="0"/>
          <w:marBottom w:val="0"/>
          <w:divBdr>
            <w:top w:val="none" w:sz="0" w:space="0" w:color="auto"/>
            <w:left w:val="none" w:sz="0" w:space="0" w:color="auto"/>
            <w:bottom w:val="none" w:sz="0" w:space="0" w:color="auto"/>
            <w:right w:val="none" w:sz="0" w:space="0" w:color="auto"/>
          </w:divBdr>
        </w:div>
      </w:divsChild>
    </w:div>
    <w:div w:id="1193300954">
      <w:bodyDiv w:val="1"/>
      <w:marLeft w:val="0"/>
      <w:marRight w:val="0"/>
      <w:marTop w:val="0"/>
      <w:marBottom w:val="0"/>
      <w:divBdr>
        <w:top w:val="none" w:sz="0" w:space="0" w:color="auto"/>
        <w:left w:val="none" w:sz="0" w:space="0" w:color="auto"/>
        <w:bottom w:val="none" w:sz="0" w:space="0" w:color="auto"/>
        <w:right w:val="none" w:sz="0" w:space="0" w:color="auto"/>
      </w:divBdr>
    </w:div>
    <w:div w:id="1194270356">
      <w:bodyDiv w:val="1"/>
      <w:marLeft w:val="0"/>
      <w:marRight w:val="0"/>
      <w:marTop w:val="0"/>
      <w:marBottom w:val="0"/>
      <w:divBdr>
        <w:top w:val="none" w:sz="0" w:space="0" w:color="auto"/>
        <w:left w:val="none" w:sz="0" w:space="0" w:color="auto"/>
        <w:bottom w:val="none" w:sz="0" w:space="0" w:color="auto"/>
        <w:right w:val="none" w:sz="0" w:space="0" w:color="auto"/>
      </w:divBdr>
    </w:div>
    <w:div w:id="1194348225">
      <w:bodyDiv w:val="1"/>
      <w:marLeft w:val="0"/>
      <w:marRight w:val="0"/>
      <w:marTop w:val="0"/>
      <w:marBottom w:val="0"/>
      <w:divBdr>
        <w:top w:val="none" w:sz="0" w:space="0" w:color="auto"/>
        <w:left w:val="none" w:sz="0" w:space="0" w:color="auto"/>
        <w:bottom w:val="none" w:sz="0" w:space="0" w:color="auto"/>
        <w:right w:val="none" w:sz="0" w:space="0" w:color="auto"/>
      </w:divBdr>
    </w:div>
    <w:div w:id="1199197586">
      <w:bodyDiv w:val="1"/>
      <w:marLeft w:val="0"/>
      <w:marRight w:val="0"/>
      <w:marTop w:val="0"/>
      <w:marBottom w:val="0"/>
      <w:divBdr>
        <w:top w:val="none" w:sz="0" w:space="0" w:color="auto"/>
        <w:left w:val="none" w:sz="0" w:space="0" w:color="auto"/>
        <w:bottom w:val="none" w:sz="0" w:space="0" w:color="auto"/>
        <w:right w:val="none" w:sz="0" w:space="0" w:color="auto"/>
      </w:divBdr>
    </w:div>
    <w:div w:id="1204563013">
      <w:bodyDiv w:val="1"/>
      <w:marLeft w:val="0"/>
      <w:marRight w:val="0"/>
      <w:marTop w:val="0"/>
      <w:marBottom w:val="0"/>
      <w:divBdr>
        <w:top w:val="none" w:sz="0" w:space="0" w:color="auto"/>
        <w:left w:val="none" w:sz="0" w:space="0" w:color="auto"/>
        <w:bottom w:val="none" w:sz="0" w:space="0" w:color="auto"/>
        <w:right w:val="none" w:sz="0" w:space="0" w:color="auto"/>
      </w:divBdr>
    </w:div>
    <w:div w:id="1212301692">
      <w:bodyDiv w:val="1"/>
      <w:marLeft w:val="0"/>
      <w:marRight w:val="0"/>
      <w:marTop w:val="0"/>
      <w:marBottom w:val="0"/>
      <w:divBdr>
        <w:top w:val="none" w:sz="0" w:space="0" w:color="auto"/>
        <w:left w:val="none" w:sz="0" w:space="0" w:color="auto"/>
        <w:bottom w:val="none" w:sz="0" w:space="0" w:color="auto"/>
        <w:right w:val="none" w:sz="0" w:space="0" w:color="auto"/>
      </w:divBdr>
    </w:div>
    <w:div w:id="1214347845">
      <w:bodyDiv w:val="1"/>
      <w:marLeft w:val="0"/>
      <w:marRight w:val="0"/>
      <w:marTop w:val="0"/>
      <w:marBottom w:val="0"/>
      <w:divBdr>
        <w:top w:val="none" w:sz="0" w:space="0" w:color="auto"/>
        <w:left w:val="none" w:sz="0" w:space="0" w:color="auto"/>
        <w:bottom w:val="none" w:sz="0" w:space="0" w:color="auto"/>
        <w:right w:val="none" w:sz="0" w:space="0" w:color="auto"/>
      </w:divBdr>
    </w:div>
    <w:div w:id="1217548027">
      <w:bodyDiv w:val="1"/>
      <w:marLeft w:val="0"/>
      <w:marRight w:val="0"/>
      <w:marTop w:val="0"/>
      <w:marBottom w:val="0"/>
      <w:divBdr>
        <w:top w:val="none" w:sz="0" w:space="0" w:color="auto"/>
        <w:left w:val="none" w:sz="0" w:space="0" w:color="auto"/>
        <w:bottom w:val="none" w:sz="0" w:space="0" w:color="auto"/>
        <w:right w:val="none" w:sz="0" w:space="0" w:color="auto"/>
      </w:divBdr>
    </w:div>
    <w:div w:id="1217744024">
      <w:bodyDiv w:val="1"/>
      <w:marLeft w:val="0"/>
      <w:marRight w:val="0"/>
      <w:marTop w:val="0"/>
      <w:marBottom w:val="0"/>
      <w:divBdr>
        <w:top w:val="none" w:sz="0" w:space="0" w:color="auto"/>
        <w:left w:val="none" w:sz="0" w:space="0" w:color="auto"/>
        <w:bottom w:val="none" w:sz="0" w:space="0" w:color="auto"/>
        <w:right w:val="none" w:sz="0" w:space="0" w:color="auto"/>
      </w:divBdr>
    </w:div>
    <w:div w:id="1218468714">
      <w:bodyDiv w:val="1"/>
      <w:marLeft w:val="0"/>
      <w:marRight w:val="0"/>
      <w:marTop w:val="0"/>
      <w:marBottom w:val="0"/>
      <w:divBdr>
        <w:top w:val="none" w:sz="0" w:space="0" w:color="auto"/>
        <w:left w:val="none" w:sz="0" w:space="0" w:color="auto"/>
        <w:bottom w:val="none" w:sz="0" w:space="0" w:color="auto"/>
        <w:right w:val="none" w:sz="0" w:space="0" w:color="auto"/>
      </w:divBdr>
    </w:div>
    <w:div w:id="1220287147">
      <w:bodyDiv w:val="1"/>
      <w:marLeft w:val="0"/>
      <w:marRight w:val="0"/>
      <w:marTop w:val="0"/>
      <w:marBottom w:val="0"/>
      <w:divBdr>
        <w:top w:val="none" w:sz="0" w:space="0" w:color="auto"/>
        <w:left w:val="none" w:sz="0" w:space="0" w:color="auto"/>
        <w:bottom w:val="none" w:sz="0" w:space="0" w:color="auto"/>
        <w:right w:val="none" w:sz="0" w:space="0" w:color="auto"/>
      </w:divBdr>
    </w:div>
    <w:div w:id="1220635160">
      <w:bodyDiv w:val="1"/>
      <w:marLeft w:val="0"/>
      <w:marRight w:val="0"/>
      <w:marTop w:val="0"/>
      <w:marBottom w:val="0"/>
      <w:divBdr>
        <w:top w:val="none" w:sz="0" w:space="0" w:color="auto"/>
        <w:left w:val="none" w:sz="0" w:space="0" w:color="auto"/>
        <w:bottom w:val="none" w:sz="0" w:space="0" w:color="auto"/>
        <w:right w:val="none" w:sz="0" w:space="0" w:color="auto"/>
      </w:divBdr>
    </w:div>
    <w:div w:id="1222444340">
      <w:bodyDiv w:val="1"/>
      <w:marLeft w:val="0"/>
      <w:marRight w:val="0"/>
      <w:marTop w:val="0"/>
      <w:marBottom w:val="0"/>
      <w:divBdr>
        <w:top w:val="none" w:sz="0" w:space="0" w:color="auto"/>
        <w:left w:val="none" w:sz="0" w:space="0" w:color="auto"/>
        <w:bottom w:val="none" w:sz="0" w:space="0" w:color="auto"/>
        <w:right w:val="none" w:sz="0" w:space="0" w:color="auto"/>
      </w:divBdr>
    </w:div>
    <w:div w:id="1227833732">
      <w:bodyDiv w:val="1"/>
      <w:marLeft w:val="0"/>
      <w:marRight w:val="0"/>
      <w:marTop w:val="0"/>
      <w:marBottom w:val="0"/>
      <w:divBdr>
        <w:top w:val="none" w:sz="0" w:space="0" w:color="auto"/>
        <w:left w:val="none" w:sz="0" w:space="0" w:color="auto"/>
        <w:bottom w:val="none" w:sz="0" w:space="0" w:color="auto"/>
        <w:right w:val="none" w:sz="0" w:space="0" w:color="auto"/>
      </w:divBdr>
    </w:div>
    <w:div w:id="1234895574">
      <w:bodyDiv w:val="1"/>
      <w:marLeft w:val="0"/>
      <w:marRight w:val="0"/>
      <w:marTop w:val="0"/>
      <w:marBottom w:val="0"/>
      <w:divBdr>
        <w:top w:val="none" w:sz="0" w:space="0" w:color="auto"/>
        <w:left w:val="none" w:sz="0" w:space="0" w:color="auto"/>
        <w:bottom w:val="none" w:sz="0" w:space="0" w:color="auto"/>
        <w:right w:val="none" w:sz="0" w:space="0" w:color="auto"/>
      </w:divBdr>
    </w:div>
    <w:div w:id="1240020420">
      <w:bodyDiv w:val="1"/>
      <w:marLeft w:val="0"/>
      <w:marRight w:val="0"/>
      <w:marTop w:val="0"/>
      <w:marBottom w:val="0"/>
      <w:divBdr>
        <w:top w:val="none" w:sz="0" w:space="0" w:color="auto"/>
        <w:left w:val="none" w:sz="0" w:space="0" w:color="auto"/>
        <w:bottom w:val="none" w:sz="0" w:space="0" w:color="auto"/>
        <w:right w:val="none" w:sz="0" w:space="0" w:color="auto"/>
      </w:divBdr>
    </w:div>
    <w:div w:id="1243878386">
      <w:bodyDiv w:val="1"/>
      <w:marLeft w:val="0"/>
      <w:marRight w:val="0"/>
      <w:marTop w:val="0"/>
      <w:marBottom w:val="0"/>
      <w:divBdr>
        <w:top w:val="none" w:sz="0" w:space="0" w:color="auto"/>
        <w:left w:val="none" w:sz="0" w:space="0" w:color="auto"/>
        <w:bottom w:val="none" w:sz="0" w:space="0" w:color="auto"/>
        <w:right w:val="none" w:sz="0" w:space="0" w:color="auto"/>
      </w:divBdr>
    </w:div>
    <w:div w:id="1246691337">
      <w:bodyDiv w:val="1"/>
      <w:marLeft w:val="0"/>
      <w:marRight w:val="0"/>
      <w:marTop w:val="0"/>
      <w:marBottom w:val="0"/>
      <w:divBdr>
        <w:top w:val="none" w:sz="0" w:space="0" w:color="auto"/>
        <w:left w:val="none" w:sz="0" w:space="0" w:color="auto"/>
        <w:bottom w:val="none" w:sz="0" w:space="0" w:color="auto"/>
        <w:right w:val="none" w:sz="0" w:space="0" w:color="auto"/>
      </w:divBdr>
    </w:div>
    <w:div w:id="1248467098">
      <w:bodyDiv w:val="1"/>
      <w:marLeft w:val="0"/>
      <w:marRight w:val="0"/>
      <w:marTop w:val="0"/>
      <w:marBottom w:val="0"/>
      <w:divBdr>
        <w:top w:val="none" w:sz="0" w:space="0" w:color="auto"/>
        <w:left w:val="none" w:sz="0" w:space="0" w:color="auto"/>
        <w:bottom w:val="none" w:sz="0" w:space="0" w:color="auto"/>
        <w:right w:val="none" w:sz="0" w:space="0" w:color="auto"/>
      </w:divBdr>
    </w:div>
    <w:div w:id="1252471348">
      <w:bodyDiv w:val="1"/>
      <w:marLeft w:val="0"/>
      <w:marRight w:val="0"/>
      <w:marTop w:val="0"/>
      <w:marBottom w:val="0"/>
      <w:divBdr>
        <w:top w:val="none" w:sz="0" w:space="0" w:color="auto"/>
        <w:left w:val="none" w:sz="0" w:space="0" w:color="auto"/>
        <w:bottom w:val="none" w:sz="0" w:space="0" w:color="auto"/>
        <w:right w:val="none" w:sz="0" w:space="0" w:color="auto"/>
      </w:divBdr>
    </w:div>
    <w:div w:id="1257711609">
      <w:bodyDiv w:val="1"/>
      <w:marLeft w:val="0"/>
      <w:marRight w:val="0"/>
      <w:marTop w:val="0"/>
      <w:marBottom w:val="0"/>
      <w:divBdr>
        <w:top w:val="none" w:sz="0" w:space="0" w:color="auto"/>
        <w:left w:val="none" w:sz="0" w:space="0" w:color="auto"/>
        <w:bottom w:val="none" w:sz="0" w:space="0" w:color="auto"/>
        <w:right w:val="none" w:sz="0" w:space="0" w:color="auto"/>
      </w:divBdr>
    </w:div>
    <w:div w:id="1259947874">
      <w:bodyDiv w:val="1"/>
      <w:marLeft w:val="0"/>
      <w:marRight w:val="0"/>
      <w:marTop w:val="0"/>
      <w:marBottom w:val="0"/>
      <w:divBdr>
        <w:top w:val="none" w:sz="0" w:space="0" w:color="auto"/>
        <w:left w:val="none" w:sz="0" w:space="0" w:color="auto"/>
        <w:bottom w:val="none" w:sz="0" w:space="0" w:color="auto"/>
        <w:right w:val="none" w:sz="0" w:space="0" w:color="auto"/>
      </w:divBdr>
    </w:div>
    <w:div w:id="1260262235">
      <w:bodyDiv w:val="1"/>
      <w:marLeft w:val="0"/>
      <w:marRight w:val="0"/>
      <w:marTop w:val="0"/>
      <w:marBottom w:val="0"/>
      <w:divBdr>
        <w:top w:val="none" w:sz="0" w:space="0" w:color="auto"/>
        <w:left w:val="none" w:sz="0" w:space="0" w:color="auto"/>
        <w:bottom w:val="none" w:sz="0" w:space="0" w:color="auto"/>
        <w:right w:val="none" w:sz="0" w:space="0" w:color="auto"/>
      </w:divBdr>
    </w:div>
    <w:div w:id="1261912074">
      <w:bodyDiv w:val="1"/>
      <w:marLeft w:val="0"/>
      <w:marRight w:val="0"/>
      <w:marTop w:val="0"/>
      <w:marBottom w:val="0"/>
      <w:divBdr>
        <w:top w:val="none" w:sz="0" w:space="0" w:color="auto"/>
        <w:left w:val="none" w:sz="0" w:space="0" w:color="auto"/>
        <w:bottom w:val="none" w:sz="0" w:space="0" w:color="auto"/>
        <w:right w:val="none" w:sz="0" w:space="0" w:color="auto"/>
      </w:divBdr>
    </w:div>
    <w:div w:id="1263028404">
      <w:bodyDiv w:val="1"/>
      <w:marLeft w:val="0"/>
      <w:marRight w:val="0"/>
      <w:marTop w:val="0"/>
      <w:marBottom w:val="0"/>
      <w:divBdr>
        <w:top w:val="none" w:sz="0" w:space="0" w:color="auto"/>
        <w:left w:val="none" w:sz="0" w:space="0" w:color="auto"/>
        <w:bottom w:val="none" w:sz="0" w:space="0" w:color="auto"/>
        <w:right w:val="none" w:sz="0" w:space="0" w:color="auto"/>
      </w:divBdr>
    </w:div>
    <w:div w:id="1275283786">
      <w:bodyDiv w:val="1"/>
      <w:marLeft w:val="0"/>
      <w:marRight w:val="0"/>
      <w:marTop w:val="0"/>
      <w:marBottom w:val="0"/>
      <w:divBdr>
        <w:top w:val="none" w:sz="0" w:space="0" w:color="auto"/>
        <w:left w:val="none" w:sz="0" w:space="0" w:color="auto"/>
        <w:bottom w:val="none" w:sz="0" w:space="0" w:color="auto"/>
        <w:right w:val="none" w:sz="0" w:space="0" w:color="auto"/>
      </w:divBdr>
    </w:div>
    <w:div w:id="1278296562">
      <w:bodyDiv w:val="1"/>
      <w:marLeft w:val="0"/>
      <w:marRight w:val="0"/>
      <w:marTop w:val="0"/>
      <w:marBottom w:val="0"/>
      <w:divBdr>
        <w:top w:val="none" w:sz="0" w:space="0" w:color="auto"/>
        <w:left w:val="none" w:sz="0" w:space="0" w:color="auto"/>
        <w:bottom w:val="none" w:sz="0" w:space="0" w:color="auto"/>
        <w:right w:val="none" w:sz="0" w:space="0" w:color="auto"/>
      </w:divBdr>
    </w:div>
    <w:div w:id="1278487167">
      <w:bodyDiv w:val="1"/>
      <w:marLeft w:val="0"/>
      <w:marRight w:val="0"/>
      <w:marTop w:val="0"/>
      <w:marBottom w:val="0"/>
      <w:divBdr>
        <w:top w:val="none" w:sz="0" w:space="0" w:color="auto"/>
        <w:left w:val="none" w:sz="0" w:space="0" w:color="auto"/>
        <w:bottom w:val="none" w:sz="0" w:space="0" w:color="auto"/>
        <w:right w:val="none" w:sz="0" w:space="0" w:color="auto"/>
      </w:divBdr>
    </w:div>
    <w:div w:id="1278636390">
      <w:bodyDiv w:val="1"/>
      <w:marLeft w:val="0"/>
      <w:marRight w:val="0"/>
      <w:marTop w:val="0"/>
      <w:marBottom w:val="0"/>
      <w:divBdr>
        <w:top w:val="none" w:sz="0" w:space="0" w:color="auto"/>
        <w:left w:val="none" w:sz="0" w:space="0" w:color="auto"/>
        <w:bottom w:val="none" w:sz="0" w:space="0" w:color="auto"/>
        <w:right w:val="none" w:sz="0" w:space="0" w:color="auto"/>
      </w:divBdr>
    </w:div>
    <w:div w:id="1280574942">
      <w:bodyDiv w:val="1"/>
      <w:marLeft w:val="0"/>
      <w:marRight w:val="0"/>
      <w:marTop w:val="0"/>
      <w:marBottom w:val="0"/>
      <w:divBdr>
        <w:top w:val="none" w:sz="0" w:space="0" w:color="auto"/>
        <w:left w:val="none" w:sz="0" w:space="0" w:color="auto"/>
        <w:bottom w:val="none" w:sz="0" w:space="0" w:color="auto"/>
        <w:right w:val="none" w:sz="0" w:space="0" w:color="auto"/>
      </w:divBdr>
    </w:div>
    <w:div w:id="1282305037">
      <w:bodyDiv w:val="1"/>
      <w:marLeft w:val="0"/>
      <w:marRight w:val="0"/>
      <w:marTop w:val="0"/>
      <w:marBottom w:val="0"/>
      <w:divBdr>
        <w:top w:val="none" w:sz="0" w:space="0" w:color="auto"/>
        <w:left w:val="none" w:sz="0" w:space="0" w:color="auto"/>
        <w:bottom w:val="none" w:sz="0" w:space="0" w:color="auto"/>
        <w:right w:val="none" w:sz="0" w:space="0" w:color="auto"/>
      </w:divBdr>
    </w:div>
    <w:div w:id="1283267117">
      <w:bodyDiv w:val="1"/>
      <w:marLeft w:val="0"/>
      <w:marRight w:val="0"/>
      <w:marTop w:val="0"/>
      <w:marBottom w:val="0"/>
      <w:divBdr>
        <w:top w:val="none" w:sz="0" w:space="0" w:color="auto"/>
        <w:left w:val="none" w:sz="0" w:space="0" w:color="auto"/>
        <w:bottom w:val="none" w:sz="0" w:space="0" w:color="auto"/>
        <w:right w:val="none" w:sz="0" w:space="0" w:color="auto"/>
      </w:divBdr>
    </w:div>
    <w:div w:id="1284463824">
      <w:bodyDiv w:val="1"/>
      <w:marLeft w:val="0"/>
      <w:marRight w:val="0"/>
      <w:marTop w:val="0"/>
      <w:marBottom w:val="0"/>
      <w:divBdr>
        <w:top w:val="none" w:sz="0" w:space="0" w:color="auto"/>
        <w:left w:val="none" w:sz="0" w:space="0" w:color="auto"/>
        <w:bottom w:val="none" w:sz="0" w:space="0" w:color="auto"/>
        <w:right w:val="none" w:sz="0" w:space="0" w:color="auto"/>
      </w:divBdr>
    </w:div>
    <w:div w:id="1291396815">
      <w:bodyDiv w:val="1"/>
      <w:marLeft w:val="0"/>
      <w:marRight w:val="0"/>
      <w:marTop w:val="0"/>
      <w:marBottom w:val="0"/>
      <w:divBdr>
        <w:top w:val="none" w:sz="0" w:space="0" w:color="auto"/>
        <w:left w:val="none" w:sz="0" w:space="0" w:color="auto"/>
        <w:bottom w:val="none" w:sz="0" w:space="0" w:color="auto"/>
        <w:right w:val="none" w:sz="0" w:space="0" w:color="auto"/>
      </w:divBdr>
    </w:div>
    <w:div w:id="1293173490">
      <w:bodyDiv w:val="1"/>
      <w:marLeft w:val="0"/>
      <w:marRight w:val="0"/>
      <w:marTop w:val="0"/>
      <w:marBottom w:val="0"/>
      <w:divBdr>
        <w:top w:val="none" w:sz="0" w:space="0" w:color="auto"/>
        <w:left w:val="none" w:sz="0" w:space="0" w:color="auto"/>
        <w:bottom w:val="none" w:sz="0" w:space="0" w:color="auto"/>
        <w:right w:val="none" w:sz="0" w:space="0" w:color="auto"/>
      </w:divBdr>
    </w:div>
    <w:div w:id="1293562968">
      <w:bodyDiv w:val="1"/>
      <w:marLeft w:val="0"/>
      <w:marRight w:val="0"/>
      <w:marTop w:val="0"/>
      <w:marBottom w:val="0"/>
      <w:divBdr>
        <w:top w:val="none" w:sz="0" w:space="0" w:color="auto"/>
        <w:left w:val="none" w:sz="0" w:space="0" w:color="auto"/>
        <w:bottom w:val="none" w:sz="0" w:space="0" w:color="auto"/>
        <w:right w:val="none" w:sz="0" w:space="0" w:color="auto"/>
      </w:divBdr>
    </w:div>
    <w:div w:id="1295408154">
      <w:bodyDiv w:val="1"/>
      <w:marLeft w:val="0"/>
      <w:marRight w:val="0"/>
      <w:marTop w:val="0"/>
      <w:marBottom w:val="0"/>
      <w:divBdr>
        <w:top w:val="none" w:sz="0" w:space="0" w:color="auto"/>
        <w:left w:val="none" w:sz="0" w:space="0" w:color="auto"/>
        <w:bottom w:val="none" w:sz="0" w:space="0" w:color="auto"/>
        <w:right w:val="none" w:sz="0" w:space="0" w:color="auto"/>
      </w:divBdr>
    </w:div>
    <w:div w:id="1299187523">
      <w:bodyDiv w:val="1"/>
      <w:marLeft w:val="0"/>
      <w:marRight w:val="0"/>
      <w:marTop w:val="0"/>
      <w:marBottom w:val="0"/>
      <w:divBdr>
        <w:top w:val="none" w:sz="0" w:space="0" w:color="auto"/>
        <w:left w:val="none" w:sz="0" w:space="0" w:color="auto"/>
        <w:bottom w:val="none" w:sz="0" w:space="0" w:color="auto"/>
        <w:right w:val="none" w:sz="0" w:space="0" w:color="auto"/>
      </w:divBdr>
    </w:div>
    <w:div w:id="1301301470">
      <w:bodyDiv w:val="1"/>
      <w:marLeft w:val="0"/>
      <w:marRight w:val="0"/>
      <w:marTop w:val="0"/>
      <w:marBottom w:val="0"/>
      <w:divBdr>
        <w:top w:val="none" w:sz="0" w:space="0" w:color="auto"/>
        <w:left w:val="none" w:sz="0" w:space="0" w:color="auto"/>
        <w:bottom w:val="none" w:sz="0" w:space="0" w:color="auto"/>
        <w:right w:val="none" w:sz="0" w:space="0" w:color="auto"/>
      </w:divBdr>
    </w:div>
    <w:div w:id="1302348120">
      <w:bodyDiv w:val="1"/>
      <w:marLeft w:val="0"/>
      <w:marRight w:val="0"/>
      <w:marTop w:val="0"/>
      <w:marBottom w:val="0"/>
      <w:divBdr>
        <w:top w:val="none" w:sz="0" w:space="0" w:color="auto"/>
        <w:left w:val="none" w:sz="0" w:space="0" w:color="auto"/>
        <w:bottom w:val="none" w:sz="0" w:space="0" w:color="auto"/>
        <w:right w:val="none" w:sz="0" w:space="0" w:color="auto"/>
      </w:divBdr>
    </w:div>
    <w:div w:id="1304890219">
      <w:bodyDiv w:val="1"/>
      <w:marLeft w:val="0"/>
      <w:marRight w:val="0"/>
      <w:marTop w:val="0"/>
      <w:marBottom w:val="0"/>
      <w:divBdr>
        <w:top w:val="none" w:sz="0" w:space="0" w:color="auto"/>
        <w:left w:val="none" w:sz="0" w:space="0" w:color="auto"/>
        <w:bottom w:val="none" w:sz="0" w:space="0" w:color="auto"/>
        <w:right w:val="none" w:sz="0" w:space="0" w:color="auto"/>
      </w:divBdr>
    </w:div>
    <w:div w:id="1308630886">
      <w:bodyDiv w:val="1"/>
      <w:marLeft w:val="0"/>
      <w:marRight w:val="0"/>
      <w:marTop w:val="0"/>
      <w:marBottom w:val="0"/>
      <w:divBdr>
        <w:top w:val="none" w:sz="0" w:space="0" w:color="auto"/>
        <w:left w:val="none" w:sz="0" w:space="0" w:color="auto"/>
        <w:bottom w:val="none" w:sz="0" w:space="0" w:color="auto"/>
        <w:right w:val="none" w:sz="0" w:space="0" w:color="auto"/>
      </w:divBdr>
    </w:div>
    <w:div w:id="1312708501">
      <w:bodyDiv w:val="1"/>
      <w:marLeft w:val="0"/>
      <w:marRight w:val="0"/>
      <w:marTop w:val="0"/>
      <w:marBottom w:val="0"/>
      <w:divBdr>
        <w:top w:val="none" w:sz="0" w:space="0" w:color="auto"/>
        <w:left w:val="none" w:sz="0" w:space="0" w:color="auto"/>
        <w:bottom w:val="none" w:sz="0" w:space="0" w:color="auto"/>
        <w:right w:val="none" w:sz="0" w:space="0" w:color="auto"/>
      </w:divBdr>
    </w:div>
    <w:div w:id="1315648119">
      <w:bodyDiv w:val="1"/>
      <w:marLeft w:val="0"/>
      <w:marRight w:val="0"/>
      <w:marTop w:val="0"/>
      <w:marBottom w:val="0"/>
      <w:divBdr>
        <w:top w:val="none" w:sz="0" w:space="0" w:color="auto"/>
        <w:left w:val="none" w:sz="0" w:space="0" w:color="auto"/>
        <w:bottom w:val="none" w:sz="0" w:space="0" w:color="auto"/>
        <w:right w:val="none" w:sz="0" w:space="0" w:color="auto"/>
      </w:divBdr>
    </w:div>
    <w:div w:id="1315836325">
      <w:bodyDiv w:val="1"/>
      <w:marLeft w:val="0"/>
      <w:marRight w:val="0"/>
      <w:marTop w:val="0"/>
      <w:marBottom w:val="0"/>
      <w:divBdr>
        <w:top w:val="none" w:sz="0" w:space="0" w:color="auto"/>
        <w:left w:val="none" w:sz="0" w:space="0" w:color="auto"/>
        <w:bottom w:val="none" w:sz="0" w:space="0" w:color="auto"/>
        <w:right w:val="none" w:sz="0" w:space="0" w:color="auto"/>
      </w:divBdr>
    </w:div>
    <w:div w:id="1321542377">
      <w:bodyDiv w:val="1"/>
      <w:marLeft w:val="0"/>
      <w:marRight w:val="0"/>
      <w:marTop w:val="0"/>
      <w:marBottom w:val="0"/>
      <w:divBdr>
        <w:top w:val="none" w:sz="0" w:space="0" w:color="auto"/>
        <w:left w:val="none" w:sz="0" w:space="0" w:color="auto"/>
        <w:bottom w:val="none" w:sz="0" w:space="0" w:color="auto"/>
        <w:right w:val="none" w:sz="0" w:space="0" w:color="auto"/>
      </w:divBdr>
    </w:div>
    <w:div w:id="1321805828">
      <w:bodyDiv w:val="1"/>
      <w:marLeft w:val="0"/>
      <w:marRight w:val="0"/>
      <w:marTop w:val="0"/>
      <w:marBottom w:val="0"/>
      <w:divBdr>
        <w:top w:val="none" w:sz="0" w:space="0" w:color="auto"/>
        <w:left w:val="none" w:sz="0" w:space="0" w:color="auto"/>
        <w:bottom w:val="none" w:sz="0" w:space="0" w:color="auto"/>
        <w:right w:val="none" w:sz="0" w:space="0" w:color="auto"/>
      </w:divBdr>
    </w:div>
    <w:div w:id="1325011202">
      <w:bodyDiv w:val="1"/>
      <w:marLeft w:val="0"/>
      <w:marRight w:val="0"/>
      <w:marTop w:val="0"/>
      <w:marBottom w:val="0"/>
      <w:divBdr>
        <w:top w:val="none" w:sz="0" w:space="0" w:color="auto"/>
        <w:left w:val="none" w:sz="0" w:space="0" w:color="auto"/>
        <w:bottom w:val="none" w:sz="0" w:space="0" w:color="auto"/>
        <w:right w:val="none" w:sz="0" w:space="0" w:color="auto"/>
      </w:divBdr>
    </w:div>
    <w:div w:id="1326402269">
      <w:bodyDiv w:val="1"/>
      <w:marLeft w:val="0"/>
      <w:marRight w:val="0"/>
      <w:marTop w:val="0"/>
      <w:marBottom w:val="0"/>
      <w:divBdr>
        <w:top w:val="none" w:sz="0" w:space="0" w:color="auto"/>
        <w:left w:val="none" w:sz="0" w:space="0" w:color="auto"/>
        <w:bottom w:val="none" w:sz="0" w:space="0" w:color="auto"/>
        <w:right w:val="none" w:sz="0" w:space="0" w:color="auto"/>
      </w:divBdr>
    </w:div>
    <w:div w:id="1327972620">
      <w:bodyDiv w:val="1"/>
      <w:marLeft w:val="0"/>
      <w:marRight w:val="0"/>
      <w:marTop w:val="0"/>
      <w:marBottom w:val="0"/>
      <w:divBdr>
        <w:top w:val="none" w:sz="0" w:space="0" w:color="auto"/>
        <w:left w:val="none" w:sz="0" w:space="0" w:color="auto"/>
        <w:bottom w:val="none" w:sz="0" w:space="0" w:color="auto"/>
        <w:right w:val="none" w:sz="0" w:space="0" w:color="auto"/>
      </w:divBdr>
    </w:div>
    <w:div w:id="1331760012">
      <w:bodyDiv w:val="1"/>
      <w:marLeft w:val="0"/>
      <w:marRight w:val="0"/>
      <w:marTop w:val="0"/>
      <w:marBottom w:val="0"/>
      <w:divBdr>
        <w:top w:val="none" w:sz="0" w:space="0" w:color="auto"/>
        <w:left w:val="none" w:sz="0" w:space="0" w:color="auto"/>
        <w:bottom w:val="none" w:sz="0" w:space="0" w:color="auto"/>
        <w:right w:val="none" w:sz="0" w:space="0" w:color="auto"/>
      </w:divBdr>
    </w:div>
    <w:div w:id="1337147943">
      <w:bodyDiv w:val="1"/>
      <w:marLeft w:val="0"/>
      <w:marRight w:val="0"/>
      <w:marTop w:val="0"/>
      <w:marBottom w:val="0"/>
      <w:divBdr>
        <w:top w:val="none" w:sz="0" w:space="0" w:color="auto"/>
        <w:left w:val="none" w:sz="0" w:space="0" w:color="auto"/>
        <w:bottom w:val="none" w:sz="0" w:space="0" w:color="auto"/>
        <w:right w:val="none" w:sz="0" w:space="0" w:color="auto"/>
      </w:divBdr>
    </w:div>
    <w:div w:id="1341199824">
      <w:bodyDiv w:val="1"/>
      <w:marLeft w:val="0"/>
      <w:marRight w:val="0"/>
      <w:marTop w:val="0"/>
      <w:marBottom w:val="0"/>
      <w:divBdr>
        <w:top w:val="none" w:sz="0" w:space="0" w:color="auto"/>
        <w:left w:val="none" w:sz="0" w:space="0" w:color="auto"/>
        <w:bottom w:val="none" w:sz="0" w:space="0" w:color="auto"/>
        <w:right w:val="none" w:sz="0" w:space="0" w:color="auto"/>
      </w:divBdr>
    </w:div>
    <w:div w:id="1348480185">
      <w:bodyDiv w:val="1"/>
      <w:marLeft w:val="0"/>
      <w:marRight w:val="0"/>
      <w:marTop w:val="0"/>
      <w:marBottom w:val="0"/>
      <w:divBdr>
        <w:top w:val="none" w:sz="0" w:space="0" w:color="auto"/>
        <w:left w:val="none" w:sz="0" w:space="0" w:color="auto"/>
        <w:bottom w:val="none" w:sz="0" w:space="0" w:color="auto"/>
        <w:right w:val="none" w:sz="0" w:space="0" w:color="auto"/>
      </w:divBdr>
    </w:div>
    <w:div w:id="1356806228">
      <w:bodyDiv w:val="1"/>
      <w:marLeft w:val="0"/>
      <w:marRight w:val="0"/>
      <w:marTop w:val="0"/>
      <w:marBottom w:val="0"/>
      <w:divBdr>
        <w:top w:val="none" w:sz="0" w:space="0" w:color="auto"/>
        <w:left w:val="none" w:sz="0" w:space="0" w:color="auto"/>
        <w:bottom w:val="none" w:sz="0" w:space="0" w:color="auto"/>
        <w:right w:val="none" w:sz="0" w:space="0" w:color="auto"/>
      </w:divBdr>
    </w:div>
    <w:div w:id="1359043258">
      <w:bodyDiv w:val="1"/>
      <w:marLeft w:val="0"/>
      <w:marRight w:val="0"/>
      <w:marTop w:val="0"/>
      <w:marBottom w:val="0"/>
      <w:divBdr>
        <w:top w:val="none" w:sz="0" w:space="0" w:color="auto"/>
        <w:left w:val="none" w:sz="0" w:space="0" w:color="auto"/>
        <w:bottom w:val="none" w:sz="0" w:space="0" w:color="auto"/>
        <w:right w:val="none" w:sz="0" w:space="0" w:color="auto"/>
      </w:divBdr>
    </w:div>
    <w:div w:id="1364094628">
      <w:bodyDiv w:val="1"/>
      <w:marLeft w:val="0"/>
      <w:marRight w:val="0"/>
      <w:marTop w:val="0"/>
      <w:marBottom w:val="0"/>
      <w:divBdr>
        <w:top w:val="none" w:sz="0" w:space="0" w:color="auto"/>
        <w:left w:val="none" w:sz="0" w:space="0" w:color="auto"/>
        <w:bottom w:val="none" w:sz="0" w:space="0" w:color="auto"/>
        <w:right w:val="none" w:sz="0" w:space="0" w:color="auto"/>
      </w:divBdr>
    </w:div>
    <w:div w:id="1366561692">
      <w:bodyDiv w:val="1"/>
      <w:marLeft w:val="0"/>
      <w:marRight w:val="0"/>
      <w:marTop w:val="0"/>
      <w:marBottom w:val="0"/>
      <w:divBdr>
        <w:top w:val="none" w:sz="0" w:space="0" w:color="auto"/>
        <w:left w:val="none" w:sz="0" w:space="0" w:color="auto"/>
        <w:bottom w:val="none" w:sz="0" w:space="0" w:color="auto"/>
        <w:right w:val="none" w:sz="0" w:space="0" w:color="auto"/>
      </w:divBdr>
    </w:div>
    <w:div w:id="1367636315">
      <w:bodyDiv w:val="1"/>
      <w:marLeft w:val="0"/>
      <w:marRight w:val="0"/>
      <w:marTop w:val="0"/>
      <w:marBottom w:val="0"/>
      <w:divBdr>
        <w:top w:val="none" w:sz="0" w:space="0" w:color="auto"/>
        <w:left w:val="none" w:sz="0" w:space="0" w:color="auto"/>
        <w:bottom w:val="none" w:sz="0" w:space="0" w:color="auto"/>
        <w:right w:val="none" w:sz="0" w:space="0" w:color="auto"/>
      </w:divBdr>
    </w:div>
    <w:div w:id="1368677126">
      <w:bodyDiv w:val="1"/>
      <w:marLeft w:val="0"/>
      <w:marRight w:val="0"/>
      <w:marTop w:val="0"/>
      <w:marBottom w:val="0"/>
      <w:divBdr>
        <w:top w:val="none" w:sz="0" w:space="0" w:color="auto"/>
        <w:left w:val="none" w:sz="0" w:space="0" w:color="auto"/>
        <w:bottom w:val="none" w:sz="0" w:space="0" w:color="auto"/>
        <w:right w:val="none" w:sz="0" w:space="0" w:color="auto"/>
      </w:divBdr>
    </w:div>
    <w:div w:id="1374034137">
      <w:bodyDiv w:val="1"/>
      <w:marLeft w:val="0"/>
      <w:marRight w:val="0"/>
      <w:marTop w:val="0"/>
      <w:marBottom w:val="0"/>
      <w:divBdr>
        <w:top w:val="none" w:sz="0" w:space="0" w:color="auto"/>
        <w:left w:val="none" w:sz="0" w:space="0" w:color="auto"/>
        <w:bottom w:val="none" w:sz="0" w:space="0" w:color="auto"/>
        <w:right w:val="none" w:sz="0" w:space="0" w:color="auto"/>
      </w:divBdr>
    </w:div>
    <w:div w:id="1375737071">
      <w:bodyDiv w:val="1"/>
      <w:marLeft w:val="0"/>
      <w:marRight w:val="0"/>
      <w:marTop w:val="0"/>
      <w:marBottom w:val="0"/>
      <w:divBdr>
        <w:top w:val="none" w:sz="0" w:space="0" w:color="auto"/>
        <w:left w:val="none" w:sz="0" w:space="0" w:color="auto"/>
        <w:bottom w:val="none" w:sz="0" w:space="0" w:color="auto"/>
        <w:right w:val="none" w:sz="0" w:space="0" w:color="auto"/>
      </w:divBdr>
    </w:div>
    <w:div w:id="1375931981">
      <w:bodyDiv w:val="1"/>
      <w:marLeft w:val="0"/>
      <w:marRight w:val="0"/>
      <w:marTop w:val="0"/>
      <w:marBottom w:val="0"/>
      <w:divBdr>
        <w:top w:val="none" w:sz="0" w:space="0" w:color="auto"/>
        <w:left w:val="none" w:sz="0" w:space="0" w:color="auto"/>
        <w:bottom w:val="none" w:sz="0" w:space="0" w:color="auto"/>
        <w:right w:val="none" w:sz="0" w:space="0" w:color="auto"/>
      </w:divBdr>
    </w:div>
    <w:div w:id="1377774293">
      <w:bodyDiv w:val="1"/>
      <w:marLeft w:val="0"/>
      <w:marRight w:val="0"/>
      <w:marTop w:val="0"/>
      <w:marBottom w:val="0"/>
      <w:divBdr>
        <w:top w:val="none" w:sz="0" w:space="0" w:color="auto"/>
        <w:left w:val="none" w:sz="0" w:space="0" w:color="auto"/>
        <w:bottom w:val="none" w:sz="0" w:space="0" w:color="auto"/>
        <w:right w:val="none" w:sz="0" w:space="0" w:color="auto"/>
      </w:divBdr>
    </w:div>
    <w:div w:id="1383939140">
      <w:bodyDiv w:val="1"/>
      <w:marLeft w:val="0"/>
      <w:marRight w:val="0"/>
      <w:marTop w:val="0"/>
      <w:marBottom w:val="0"/>
      <w:divBdr>
        <w:top w:val="none" w:sz="0" w:space="0" w:color="auto"/>
        <w:left w:val="none" w:sz="0" w:space="0" w:color="auto"/>
        <w:bottom w:val="none" w:sz="0" w:space="0" w:color="auto"/>
        <w:right w:val="none" w:sz="0" w:space="0" w:color="auto"/>
      </w:divBdr>
    </w:div>
    <w:div w:id="1385644281">
      <w:bodyDiv w:val="1"/>
      <w:marLeft w:val="0"/>
      <w:marRight w:val="0"/>
      <w:marTop w:val="0"/>
      <w:marBottom w:val="0"/>
      <w:divBdr>
        <w:top w:val="none" w:sz="0" w:space="0" w:color="auto"/>
        <w:left w:val="none" w:sz="0" w:space="0" w:color="auto"/>
        <w:bottom w:val="none" w:sz="0" w:space="0" w:color="auto"/>
        <w:right w:val="none" w:sz="0" w:space="0" w:color="auto"/>
      </w:divBdr>
    </w:div>
    <w:div w:id="1387338096">
      <w:bodyDiv w:val="1"/>
      <w:marLeft w:val="0"/>
      <w:marRight w:val="0"/>
      <w:marTop w:val="0"/>
      <w:marBottom w:val="0"/>
      <w:divBdr>
        <w:top w:val="none" w:sz="0" w:space="0" w:color="auto"/>
        <w:left w:val="none" w:sz="0" w:space="0" w:color="auto"/>
        <w:bottom w:val="none" w:sz="0" w:space="0" w:color="auto"/>
        <w:right w:val="none" w:sz="0" w:space="0" w:color="auto"/>
      </w:divBdr>
    </w:div>
    <w:div w:id="1389526002">
      <w:bodyDiv w:val="1"/>
      <w:marLeft w:val="0"/>
      <w:marRight w:val="0"/>
      <w:marTop w:val="0"/>
      <w:marBottom w:val="0"/>
      <w:divBdr>
        <w:top w:val="none" w:sz="0" w:space="0" w:color="auto"/>
        <w:left w:val="none" w:sz="0" w:space="0" w:color="auto"/>
        <w:bottom w:val="none" w:sz="0" w:space="0" w:color="auto"/>
        <w:right w:val="none" w:sz="0" w:space="0" w:color="auto"/>
      </w:divBdr>
    </w:div>
    <w:div w:id="1394432408">
      <w:bodyDiv w:val="1"/>
      <w:marLeft w:val="0"/>
      <w:marRight w:val="0"/>
      <w:marTop w:val="0"/>
      <w:marBottom w:val="0"/>
      <w:divBdr>
        <w:top w:val="none" w:sz="0" w:space="0" w:color="auto"/>
        <w:left w:val="none" w:sz="0" w:space="0" w:color="auto"/>
        <w:bottom w:val="none" w:sz="0" w:space="0" w:color="auto"/>
        <w:right w:val="none" w:sz="0" w:space="0" w:color="auto"/>
      </w:divBdr>
    </w:div>
    <w:div w:id="1396784545">
      <w:bodyDiv w:val="1"/>
      <w:marLeft w:val="0"/>
      <w:marRight w:val="0"/>
      <w:marTop w:val="0"/>
      <w:marBottom w:val="0"/>
      <w:divBdr>
        <w:top w:val="none" w:sz="0" w:space="0" w:color="auto"/>
        <w:left w:val="none" w:sz="0" w:space="0" w:color="auto"/>
        <w:bottom w:val="none" w:sz="0" w:space="0" w:color="auto"/>
        <w:right w:val="none" w:sz="0" w:space="0" w:color="auto"/>
      </w:divBdr>
    </w:div>
    <w:div w:id="1398749032">
      <w:bodyDiv w:val="1"/>
      <w:marLeft w:val="0"/>
      <w:marRight w:val="0"/>
      <w:marTop w:val="0"/>
      <w:marBottom w:val="0"/>
      <w:divBdr>
        <w:top w:val="none" w:sz="0" w:space="0" w:color="auto"/>
        <w:left w:val="none" w:sz="0" w:space="0" w:color="auto"/>
        <w:bottom w:val="none" w:sz="0" w:space="0" w:color="auto"/>
        <w:right w:val="none" w:sz="0" w:space="0" w:color="auto"/>
      </w:divBdr>
    </w:div>
    <w:div w:id="1403404713">
      <w:bodyDiv w:val="1"/>
      <w:marLeft w:val="0"/>
      <w:marRight w:val="0"/>
      <w:marTop w:val="0"/>
      <w:marBottom w:val="0"/>
      <w:divBdr>
        <w:top w:val="none" w:sz="0" w:space="0" w:color="auto"/>
        <w:left w:val="none" w:sz="0" w:space="0" w:color="auto"/>
        <w:bottom w:val="none" w:sz="0" w:space="0" w:color="auto"/>
        <w:right w:val="none" w:sz="0" w:space="0" w:color="auto"/>
      </w:divBdr>
      <w:divsChild>
        <w:div w:id="348727737">
          <w:marLeft w:val="0"/>
          <w:marRight w:val="0"/>
          <w:marTop w:val="0"/>
          <w:marBottom w:val="0"/>
          <w:divBdr>
            <w:top w:val="none" w:sz="0" w:space="0" w:color="auto"/>
            <w:left w:val="none" w:sz="0" w:space="0" w:color="auto"/>
            <w:bottom w:val="none" w:sz="0" w:space="0" w:color="auto"/>
            <w:right w:val="none" w:sz="0" w:space="0" w:color="auto"/>
          </w:divBdr>
        </w:div>
        <w:div w:id="633875133">
          <w:marLeft w:val="0"/>
          <w:marRight w:val="0"/>
          <w:marTop w:val="0"/>
          <w:marBottom w:val="0"/>
          <w:divBdr>
            <w:top w:val="none" w:sz="0" w:space="0" w:color="auto"/>
            <w:left w:val="none" w:sz="0" w:space="0" w:color="auto"/>
            <w:bottom w:val="none" w:sz="0" w:space="0" w:color="auto"/>
            <w:right w:val="none" w:sz="0" w:space="0" w:color="auto"/>
          </w:divBdr>
        </w:div>
        <w:div w:id="697123293">
          <w:marLeft w:val="0"/>
          <w:marRight w:val="0"/>
          <w:marTop w:val="0"/>
          <w:marBottom w:val="0"/>
          <w:divBdr>
            <w:top w:val="none" w:sz="0" w:space="0" w:color="auto"/>
            <w:left w:val="none" w:sz="0" w:space="0" w:color="auto"/>
            <w:bottom w:val="none" w:sz="0" w:space="0" w:color="auto"/>
            <w:right w:val="none" w:sz="0" w:space="0" w:color="auto"/>
          </w:divBdr>
        </w:div>
        <w:div w:id="1394541870">
          <w:marLeft w:val="0"/>
          <w:marRight w:val="0"/>
          <w:marTop w:val="0"/>
          <w:marBottom w:val="0"/>
          <w:divBdr>
            <w:top w:val="none" w:sz="0" w:space="0" w:color="auto"/>
            <w:left w:val="none" w:sz="0" w:space="0" w:color="auto"/>
            <w:bottom w:val="none" w:sz="0" w:space="0" w:color="auto"/>
            <w:right w:val="none" w:sz="0" w:space="0" w:color="auto"/>
          </w:divBdr>
        </w:div>
        <w:div w:id="961299774">
          <w:marLeft w:val="0"/>
          <w:marRight w:val="0"/>
          <w:marTop w:val="0"/>
          <w:marBottom w:val="0"/>
          <w:divBdr>
            <w:top w:val="none" w:sz="0" w:space="0" w:color="auto"/>
            <w:left w:val="none" w:sz="0" w:space="0" w:color="auto"/>
            <w:bottom w:val="none" w:sz="0" w:space="0" w:color="auto"/>
            <w:right w:val="none" w:sz="0" w:space="0" w:color="auto"/>
          </w:divBdr>
        </w:div>
        <w:div w:id="3174887">
          <w:marLeft w:val="0"/>
          <w:marRight w:val="0"/>
          <w:marTop w:val="0"/>
          <w:marBottom w:val="0"/>
          <w:divBdr>
            <w:top w:val="none" w:sz="0" w:space="0" w:color="auto"/>
            <w:left w:val="none" w:sz="0" w:space="0" w:color="auto"/>
            <w:bottom w:val="none" w:sz="0" w:space="0" w:color="auto"/>
            <w:right w:val="none" w:sz="0" w:space="0" w:color="auto"/>
          </w:divBdr>
        </w:div>
        <w:div w:id="1418408407">
          <w:marLeft w:val="0"/>
          <w:marRight w:val="0"/>
          <w:marTop w:val="0"/>
          <w:marBottom w:val="0"/>
          <w:divBdr>
            <w:top w:val="none" w:sz="0" w:space="0" w:color="auto"/>
            <w:left w:val="none" w:sz="0" w:space="0" w:color="auto"/>
            <w:bottom w:val="none" w:sz="0" w:space="0" w:color="auto"/>
            <w:right w:val="none" w:sz="0" w:space="0" w:color="auto"/>
          </w:divBdr>
        </w:div>
        <w:div w:id="573516118">
          <w:marLeft w:val="0"/>
          <w:marRight w:val="0"/>
          <w:marTop w:val="0"/>
          <w:marBottom w:val="0"/>
          <w:divBdr>
            <w:top w:val="none" w:sz="0" w:space="0" w:color="auto"/>
            <w:left w:val="none" w:sz="0" w:space="0" w:color="auto"/>
            <w:bottom w:val="none" w:sz="0" w:space="0" w:color="auto"/>
            <w:right w:val="none" w:sz="0" w:space="0" w:color="auto"/>
          </w:divBdr>
        </w:div>
      </w:divsChild>
    </w:div>
    <w:div w:id="1404328211">
      <w:bodyDiv w:val="1"/>
      <w:marLeft w:val="0"/>
      <w:marRight w:val="0"/>
      <w:marTop w:val="0"/>
      <w:marBottom w:val="0"/>
      <w:divBdr>
        <w:top w:val="none" w:sz="0" w:space="0" w:color="auto"/>
        <w:left w:val="none" w:sz="0" w:space="0" w:color="auto"/>
        <w:bottom w:val="none" w:sz="0" w:space="0" w:color="auto"/>
        <w:right w:val="none" w:sz="0" w:space="0" w:color="auto"/>
      </w:divBdr>
    </w:div>
    <w:div w:id="1405180954">
      <w:bodyDiv w:val="1"/>
      <w:marLeft w:val="0"/>
      <w:marRight w:val="0"/>
      <w:marTop w:val="0"/>
      <w:marBottom w:val="0"/>
      <w:divBdr>
        <w:top w:val="none" w:sz="0" w:space="0" w:color="auto"/>
        <w:left w:val="none" w:sz="0" w:space="0" w:color="auto"/>
        <w:bottom w:val="none" w:sz="0" w:space="0" w:color="auto"/>
        <w:right w:val="none" w:sz="0" w:space="0" w:color="auto"/>
      </w:divBdr>
    </w:div>
    <w:div w:id="1410153417">
      <w:bodyDiv w:val="1"/>
      <w:marLeft w:val="0"/>
      <w:marRight w:val="0"/>
      <w:marTop w:val="0"/>
      <w:marBottom w:val="0"/>
      <w:divBdr>
        <w:top w:val="none" w:sz="0" w:space="0" w:color="auto"/>
        <w:left w:val="none" w:sz="0" w:space="0" w:color="auto"/>
        <w:bottom w:val="none" w:sz="0" w:space="0" w:color="auto"/>
        <w:right w:val="none" w:sz="0" w:space="0" w:color="auto"/>
      </w:divBdr>
    </w:div>
    <w:div w:id="1426802518">
      <w:bodyDiv w:val="1"/>
      <w:marLeft w:val="0"/>
      <w:marRight w:val="0"/>
      <w:marTop w:val="0"/>
      <w:marBottom w:val="0"/>
      <w:divBdr>
        <w:top w:val="none" w:sz="0" w:space="0" w:color="auto"/>
        <w:left w:val="none" w:sz="0" w:space="0" w:color="auto"/>
        <w:bottom w:val="none" w:sz="0" w:space="0" w:color="auto"/>
        <w:right w:val="none" w:sz="0" w:space="0" w:color="auto"/>
      </w:divBdr>
    </w:div>
    <w:div w:id="1426875865">
      <w:bodyDiv w:val="1"/>
      <w:marLeft w:val="0"/>
      <w:marRight w:val="0"/>
      <w:marTop w:val="0"/>
      <w:marBottom w:val="0"/>
      <w:divBdr>
        <w:top w:val="none" w:sz="0" w:space="0" w:color="auto"/>
        <w:left w:val="none" w:sz="0" w:space="0" w:color="auto"/>
        <w:bottom w:val="none" w:sz="0" w:space="0" w:color="auto"/>
        <w:right w:val="none" w:sz="0" w:space="0" w:color="auto"/>
      </w:divBdr>
    </w:div>
    <w:div w:id="1428767636">
      <w:bodyDiv w:val="1"/>
      <w:marLeft w:val="0"/>
      <w:marRight w:val="0"/>
      <w:marTop w:val="0"/>
      <w:marBottom w:val="0"/>
      <w:divBdr>
        <w:top w:val="none" w:sz="0" w:space="0" w:color="auto"/>
        <w:left w:val="none" w:sz="0" w:space="0" w:color="auto"/>
        <w:bottom w:val="none" w:sz="0" w:space="0" w:color="auto"/>
        <w:right w:val="none" w:sz="0" w:space="0" w:color="auto"/>
      </w:divBdr>
      <w:divsChild>
        <w:div w:id="1653368994">
          <w:marLeft w:val="0"/>
          <w:marRight w:val="0"/>
          <w:marTop w:val="0"/>
          <w:marBottom w:val="0"/>
          <w:divBdr>
            <w:top w:val="none" w:sz="0" w:space="0" w:color="auto"/>
            <w:left w:val="none" w:sz="0" w:space="0" w:color="auto"/>
            <w:bottom w:val="none" w:sz="0" w:space="0" w:color="auto"/>
            <w:right w:val="none" w:sz="0" w:space="0" w:color="auto"/>
          </w:divBdr>
        </w:div>
        <w:div w:id="1028071170">
          <w:marLeft w:val="0"/>
          <w:marRight w:val="0"/>
          <w:marTop w:val="0"/>
          <w:marBottom w:val="0"/>
          <w:divBdr>
            <w:top w:val="none" w:sz="0" w:space="0" w:color="auto"/>
            <w:left w:val="none" w:sz="0" w:space="0" w:color="auto"/>
            <w:bottom w:val="none" w:sz="0" w:space="0" w:color="auto"/>
            <w:right w:val="none" w:sz="0" w:space="0" w:color="auto"/>
          </w:divBdr>
        </w:div>
        <w:div w:id="842663257">
          <w:marLeft w:val="0"/>
          <w:marRight w:val="0"/>
          <w:marTop w:val="0"/>
          <w:marBottom w:val="0"/>
          <w:divBdr>
            <w:top w:val="none" w:sz="0" w:space="0" w:color="auto"/>
            <w:left w:val="none" w:sz="0" w:space="0" w:color="auto"/>
            <w:bottom w:val="none" w:sz="0" w:space="0" w:color="auto"/>
            <w:right w:val="none" w:sz="0" w:space="0" w:color="auto"/>
          </w:divBdr>
        </w:div>
        <w:div w:id="601954894">
          <w:marLeft w:val="0"/>
          <w:marRight w:val="0"/>
          <w:marTop w:val="0"/>
          <w:marBottom w:val="0"/>
          <w:divBdr>
            <w:top w:val="none" w:sz="0" w:space="0" w:color="auto"/>
            <w:left w:val="none" w:sz="0" w:space="0" w:color="auto"/>
            <w:bottom w:val="none" w:sz="0" w:space="0" w:color="auto"/>
            <w:right w:val="none" w:sz="0" w:space="0" w:color="auto"/>
          </w:divBdr>
        </w:div>
        <w:div w:id="815758759">
          <w:marLeft w:val="0"/>
          <w:marRight w:val="0"/>
          <w:marTop w:val="0"/>
          <w:marBottom w:val="0"/>
          <w:divBdr>
            <w:top w:val="none" w:sz="0" w:space="0" w:color="auto"/>
            <w:left w:val="none" w:sz="0" w:space="0" w:color="auto"/>
            <w:bottom w:val="none" w:sz="0" w:space="0" w:color="auto"/>
            <w:right w:val="none" w:sz="0" w:space="0" w:color="auto"/>
          </w:divBdr>
        </w:div>
        <w:div w:id="197861606">
          <w:marLeft w:val="0"/>
          <w:marRight w:val="0"/>
          <w:marTop w:val="0"/>
          <w:marBottom w:val="0"/>
          <w:divBdr>
            <w:top w:val="none" w:sz="0" w:space="0" w:color="auto"/>
            <w:left w:val="none" w:sz="0" w:space="0" w:color="auto"/>
            <w:bottom w:val="none" w:sz="0" w:space="0" w:color="auto"/>
            <w:right w:val="none" w:sz="0" w:space="0" w:color="auto"/>
          </w:divBdr>
        </w:div>
        <w:div w:id="685014777">
          <w:marLeft w:val="0"/>
          <w:marRight w:val="0"/>
          <w:marTop w:val="0"/>
          <w:marBottom w:val="0"/>
          <w:divBdr>
            <w:top w:val="none" w:sz="0" w:space="0" w:color="auto"/>
            <w:left w:val="none" w:sz="0" w:space="0" w:color="auto"/>
            <w:bottom w:val="none" w:sz="0" w:space="0" w:color="auto"/>
            <w:right w:val="none" w:sz="0" w:space="0" w:color="auto"/>
          </w:divBdr>
        </w:div>
        <w:div w:id="1392730127">
          <w:marLeft w:val="0"/>
          <w:marRight w:val="0"/>
          <w:marTop w:val="0"/>
          <w:marBottom w:val="0"/>
          <w:divBdr>
            <w:top w:val="none" w:sz="0" w:space="0" w:color="auto"/>
            <w:left w:val="none" w:sz="0" w:space="0" w:color="auto"/>
            <w:bottom w:val="none" w:sz="0" w:space="0" w:color="auto"/>
            <w:right w:val="none" w:sz="0" w:space="0" w:color="auto"/>
          </w:divBdr>
        </w:div>
      </w:divsChild>
    </w:div>
    <w:div w:id="1439906079">
      <w:bodyDiv w:val="1"/>
      <w:marLeft w:val="0"/>
      <w:marRight w:val="0"/>
      <w:marTop w:val="0"/>
      <w:marBottom w:val="0"/>
      <w:divBdr>
        <w:top w:val="none" w:sz="0" w:space="0" w:color="auto"/>
        <w:left w:val="none" w:sz="0" w:space="0" w:color="auto"/>
        <w:bottom w:val="none" w:sz="0" w:space="0" w:color="auto"/>
        <w:right w:val="none" w:sz="0" w:space="0" w:color="auto"/>
      </w:divBdr>
    </w:div>
    <w:div w:id="1446846428">
      <w:bodyDiv w:val="1"/>
      <w:marLeft w:val="0"/>
      <w:marRight w:val="0"/>
      <w:marTop w:val="0"/>
      <w:marBottom w:val="0"/>
      <w:divBdr>
        <w:top w:val="none" w:sz="0" w:space="0" w:color="auto"/>
        <w:left w:val="none" w:sz="0" w:space="0" w:color="auto"/>
        <w:bottom w:val="none" w:sz="0" w:space="0" w:color="auto"/>
        <w:right w:val="none" w:sz="0" w:space="0" w:color="auto"/>
      </w:divBdr>
    </w:div>
    <w:div w:id="1448114041">
      <w:bodyDiv w:val="1"/>
      <w:marLeft w:val="0"/>
      <w:marRight w:val="0"/>
      <w:marTop w:val="0"/>
      <w:marBottom w:val="0"/>
      <w:divBdr>
        <w:top w:val="none" w:sz="0" w:space="0" w:color="auto"/>
        <w:left w:val="none" w:sz="0" w:space="0" w:color="auto"/>
        <w:bottom w:val="none" w:sz="0" w:space="0" w:color="auto"/>
        <w:right w:val="none" w:sz="0" w:space="0" w:color="auto"/>
      </w:divBdr>
    </w:div>
    <w:div w:id="1450082127">
      <w:bodyDiv w:val="1"/>
      <w:marLeft w:val="0"/>
      <w:marRight w:val="0"/>
      <w:marTop w:val="0"/>
      <w:marBottom w:val="0"/>
      <w:divBdr>
        <w:top w:val="none" w:sz="0" w:space="0" w:color="auto"/>
        <w:left w:val="none" w:sz="0" w:space="0" w:color="auto"/>
        <w:bottom w:val="none" w:sz="0" w:space="0" w:color="auto"/>
        <w:right w:val="none" w:sz="0" w:space="0" w:color="auto"/>
      </w:divBdr>
    </w:div>
    <w:div w:id="1451972041">
      <w:bodyDiv w:val="1"/>
      <w:marLeft w:val="0"/>
      <w:marRight w:val="0"/>
      <w:marTop w:val="0"/>
      <w:marBottom w:val="0"/>
      <w:divBdr>
        <w:top w:val="none" w:sz="0" w:space="0" w:color="auto"/>
        <w:left w:val="none" w:sz="0" w:space="0" w:color="auto"/>
        <w:bottom w:val="none" w:sz="0" w:space="0" w:color="auto"/>
        <w:right w:val="none" w:sz="0" w:space="0" w:color="auto"/>
      </w:divBdr>
    </w:div>
    <w:div w:id="1453013995">
      <w:bodyDiv w:val="1"/>
      <w:marLeft w:val="0"/>
      <w:marRight w:val="0"/>
      <w:marTop w:val="0"/>
      <w:marBottom w:val="0"/>
      <w:divBdr>
        <w:top w:val="none" w:sz="0" w:space="0" w:color="auto"/>
        <w:left w:val="none" w:sz="0" w:space="0" w:color="auto"/>
        <w:bottom w:val="none" w:sz="0" w:space="0" w:color="auto"/>
        <w:right w:val="none" w:sz="0" w:space="0" w:color="auto"/>
      </w:divBdr>
    </w:div>
    <w:div w:id="1463496825">
      <w:bodyDiv w:val="1"/>
      <w:marLeft w:val="0"/>
      <w:marRight w:val="0"/>
      <w:marTop w:val="0"/>
      <w:marBottom w:val="0"/>
      <w:divBdr>
        <w:top w:val="none" w:sz="0" w:space="0" w:color="auto"/>
        <w:left w:val="none" w:sz="0" w:space="0" w:color="auto"/>
        <w:bottom w:val="none" w:sz="0" w:space="0" w:color="auto"/>
        <w:right w:val="none" w:sz="0" w:space="0" w:color="auto"/>
      </w:divBdr>
    </w:div>
    <w:div w:id="1481121118">
      <w:bodyDiv w:val="1"/>
      <w:marLeft w:val="0"/>
      <w:marRight w:val="0"/>
      <w:marTop w:val="0"/>
      <w:marBottom w:val="0"/>
      <w:divBdr>
        <w:top w:val="none" w:sz="0" w:space="0" w:color="auto"/>
        <w:left w:val="none" w:sz="0" w:space="0" w:color="auto"/>
        <w:bottom w:val="none" w:sz="0" w:space="0" w:color="auto"/>
        <w:right w:val="none" w:sz="0" w:space="0" w:color="auto"/>
      </w:divBdr>
    </w:div>
    <w:div w:id="1481573850">
      <w:bodyDiv w:val="1"/>
      <w:marLeft w:val="0"/>
      <w:marRight w:val="0"/>
      <w:marTop w:val="0"/>
      <w:marBottom w:val="0"/>
      <w:divBdr>
        <w:top w:val="none" w:sz="0" w:space="0" w:color="auto"/>
        <w:left w:val="none" w:sz="0" w:space="0" w:color="auto"/>
        <w:bottom w:val="none" w:sz="0" w:space="0" w:color="auto"/>
        <w:right w:val="none" w:sz="0" w:space="0" w:color="auto"/>
      </w:divBdr>
    </w:div>
    <w:div w:id="1490898204">
      <w:bodyDiv w:val="1"/>
      <w:marLeft w:val="0"/>
      <w:marRight w:val="0"/>
      <w:marTop w:val="0"/>
      <w:marBottom w:val="0"/>
      <w:divBdr>
        <w:top w:val="none" w:sz="0" w:space="0" w:color="auto"/>
        <w:left w:val="none" w:sz="0" w:space="0" w:color="auto"/>
        <w:bottom w:val="none" w:sz="0" w:space="0" w:color="auto"/>
        <w:right w:val="none" w:sz="0" w:space="0" w:color="auto"/>
      </w:divBdr>
    </w:div>
    <w:div w:id="1503012501">
      <w:bodyDiv w:val="1"/>
      <w:marLeft w:val="0"/>
      <w:marRight w:val="0"/>
      <w:marTop w:val="0"/>
      <w:marBottom w:val="0"/>
      <w:divBdr>
        <w:top w:val="none" w:sz="0" w:space="0" w:color="auto"/>
        <w:left w:val="none" w:sz="0" w:space="0" w:color="auto"/>
        <w:bottom w:val="none" w:sz="0" w:space="0" w:color="auto"/>
        <w:right w:val="none" w:sz="0" w:space="0" w:color="auto"/>
      </w:divBdr>
    </w:div>
    <w:div w:id="1508984476">
      <w:bodyDiv w:val="1"/>
      <w:marLeft w:val="0"/>
      <w:marRight w:val="0"/>
      <w:marTop w:val="0"/>
      <w:marBottom w:val="0"/>
      <w:divBdr>
        <w:top w:val="none" w:sz="0" w:space="0" w:color="auto"/>
        <w:left w:val="none" w:sz="0" w:space="0" w:color="auto"/>
        <w:bottom w:val="none" w:sz="0" w:space="0" w:color="auto"/>
        <w:right w:val="none" w:sz="0" w:space="0" w:color="auto"/>
      </w:divBdr>
    </w:div>
    <w:div w:id="1514488634">
      <w:bodyDiv w:val="1"/>
      <w:marLeft w:val="0"/>
      <w:marRight w:val="0"/>
      <w:marTop w:val="0"/>
      <w:marBottom w:val="0"/>
      <w:divBdr>
        <w:top w:val="none" w:sz="0" w:space="0" w:color="auto"/>
        <w:left w:val="none" w:sz="0" w:space="0" w:color="auto"/>
        <w:bottom w:val="none" w:sz="0" w:space="0" w:color="auto"/>
        <w:right w:val="none" w:sz="0" w:space="0" w:color="auto"/>
      </w:divBdr>
      <w:divsChild>
        <w:div w:id="1540163874">
          <w:marLeft w:val="0"/>
          <w:marRight w:val="0"/>
          <w:marTop w:val="0"/>
          <w:marBottom w:val="0"/>
          <w:divBdr>
            <w:top w:val="none" w:sz="0" w:space="0" w:color="auto"/>
            <w:left w:val="none" w:sz="0" w:space="0" w:color="auto"/>
            <w:bottom w:val="none" w:sz="0" w:space="0" w:color="auto"/>
            <w:right w:val="none" w:sz="0" w:space="0" w:color="auto"/>
          </w:divBdr>
        </w:div>
        <w:div w:id="1536314172">
          <w:marLeft w:val="0"/>
          <w:marRight w:val="0"/>
          <w:marTop w:val="0"/>
          <w:marBottom w:val="0"/>
          <w:divBdr>
            <w:top w:val="none" w:sz="0" w:space="0" w:color="auto"/>
            <w:left w:val="none" w:sz="0" w:space="0" w:color="auto"/>
            <w:bottom w:val="none" w:sz="0" w:space="0" w:color="auto"/>
            <w:right w:val="none" w:sz="0" w:space="0" w:color="auto"/>
          </w:divBdr>
        </w:div>
        <w:div w:id="1746224294">
          <w:marLeft w:val="0"/>
          <w:marRight w:val="0"/>
          <w:marTop w:val="0"/>
          <w:marBottom w:val="0"/>
          <w:divBdr>
            <w:top w:val="none" w:sz="0" w:space="0" w:color="auto"/>
            <w:left w:val="none" w:sz="0" w:space="0" w:color="auto"/>
            <w:bottom w:val="none" w:sz="0" w:space="0" w:color="auto"/>
            <w:right w:val="none" w:sz="0" w:space="0" w:color="auto"/>
          </w:divBdr>
        </w:div>
        <w:div w:id="506988560">
          <w:marLeft w:val="0"/>
          <w:marRight w:val="0"/>
          <w:marTop w:val="0"/>
          <w:marBottom w:val="0"/>
          <w:divBdr>
            <w:top w:val="none" w:sz="0" w:space="0" w:color="auto"/>
            <w:left w:val="none" w:sz="0" w:space="0" w:color="auto"/>
            <w:bottom w:val="none" w:sz="0" w:space="0" w:color="auto"/>
            <w:right w:val="none" w:sz="0" w:space="0" w:color="auto"/>
          </w:divBdr>
        </w:div>
      </w:divsChild>
    </w:div>
    <w:div w:id="1520925518">
      <w:bodyDiv w:val="1"/>
      <w:marLeft w:val="0"/>
      <w:marRight w:val="0"/>
      <w:marTop w:val="0"/>
      <w:marBottom w:val="0"/>
      <w:divBdr>
        <w:top w:val="none" w:sz="0" w:space="0" w:color="auto"/>
        <w:left w:val="none" w:sz="0" w:space="0" w:color="auto"/>
        <w:bottom w:val="none" w:sz="0" w:space="0" w:color="auto"/>
        <w:right w:val="none" w:sz="0" w:space="0" w:color="auto"/>
      </w:divBdr>
    </w:div>
    <w:div w:id="1522669843">
      <w:bodyDiv w:val="1"/>
      <w:marLeft w:val="0"/>
      <w:marRight w:val="0"/>
      <w:marTop w:val="0"/>
      <w:marBottom w:val="0"/>
      <w:divBdr>
        <w:top w:val="none" w:sz="0" w:space="0" w:color="auto"/>
        <w:left w:val="none" w:sz="0" w:space="0" w:color="auto"/>
        <w:bottom w:val="none" w:sz="0" w:space="0" w:color="auto"/>
        <w:right w:val="none" w:sz="0" w:space="0" w:color="auto"/>
      </w:divBdr>
    </w:div>
    <w:div w:id="1525095151">
      <w:bodyDiv w:val="1"/>
      <w:marLeft w:val="0"/>
      <w:marRight w:val="0"/>
      <w:marTop w:val="0"/>
      <w:marBottom w:val="0"/>
      <w:divBdr>
        <w:top w:val="none" w:sz="0" w:space="0" w:color="auto"/>
        <w:left w:val="none" w:sz="0" w:space="0" w:color="auto"/>
        <w:bottom w:val="none" w:sz="0" w:space="0" w:color="auto"/>
        <w:right w:val="none" w:sz="0" w:space="0" w:color="auto"/>
      </w:divBdr>
    </w:div>
    <w:div w:id="1531652241">
      <w:bodyDiv w:val="1"/>
      <w:marLeft w:val="0"/>
      <w:marRight w:val="0"/>
      <w:marTop w:val="0"/>
      <w:marBottom w:val="0"/>
      <w:divBdr>
        <w:top w:val="none" w:sz="0" w:space="0" w:color="auto"/>
        <w:left w:val="none" w:sz="0" w:space="0" w:color="auto"/>
        <w:bottom w:val="none" w:sz="0" w:space="0" w:color="auto"/>
        <w:right w:val="none" w:sz="0" w:space="0" w:color="auto"/>
      </w:divBdr>
    </w:div>
    <w:div w:id="1533492102">
      <w:bodyDiv w:val="1"/>
      <w:marLeft w:val="0"/>
      <w:marRight w:val="0"/>
      <w:marTop w:val="0"/>
      <w:marBottom w:val="0"/>
      <w:divBdr>
        <w:top w:val="none" w:sz="0" w:space="0" w:color="auto"/>
        <w:left w:val="none" w:sz="0" w:space="0" w:color="auto"/>
        <w:bottom w:val="none" w:sz="0" w:space="0" w:color="auto"/>
        <w:right w:val="none" w:sz="0" w:space="0" w:color="auto"/>
      </w:divBdr>
    </w:div>
    <w:div w:id="1534342966">
      <w:bodyDiv w:val="1"/>
      <w:marLeft w:val="0"/>
      <w:marRight w:val="0"/>
      <w:marTop w:val="0"/>
      <w:marBottom w:val="0"/>
      <w:divBdr>
        <w:top w:val="none" w:sz="0" w:space="0" w:color="auto"/>
        <w:left w:val="none" w:sz="0" w:space="0" w:color="auto"/>
        <w:bottom w:val="none" w:sz="0" w:space="0" w:color="auto"/>
        <w:right w:val="none" w:sz="0" w:space="0" w:color="auto"/>
      </w:divBdr>
    </w:div>
    <w:div w:id="1534688473">
      <w:bodyDiv w:val="1"/>
      <w:marLeft w:val="0"/>
      <w:marRight w:val="0"/>
      <w:marTop w:val="0"/>
      <w:marBottom w:val="0"/>
      <w:divBdr>
        <w:top w:val="none" w:sz="0" w:space="0" w:color="auto"/>
        <w:left w:val="none" w:sz="0" w:space="0" w:color="auto"/>
        <w:bottom w:val="none" w:sz="0" w:space="0" w:color="auto"/>
        <w:right w:val="none" w:sz="0" w:space="0" w:color="auto"/>
      </w:divBdr>
    </w:div>
    <w:div w:id="1535465556">
      <w:bodyDiv w:val="1"/>
      <w:marLeft w:val="0"/>
      <w:marRight w:val="0"/>
      <w:marTop w:val="0"/>
      <w:marBottom w:val="0"/>
      <w:divBdr>
        <w:top w:val="none" w:sz="0" w:space="0" w:color="auto"/>
        <w:left w:val="none" w:sz="0" w:space="0" w:color="auto"/>
        <w:bottom w:val="none" w:sz="0" w:space="0" w:color="auto"/>
        <w:right w:val="none" w:sz="0" w:space="0" w:color="auto"/>
      </w:divBdr>
    </w:div>
    <w:div w:id="1539048623">
      <w:bodyDiv w:val="1"/>
      <w:marLeft w:val="0"/>
      <w:marRight w:val="0"/>
      <w:marTop w:val="0"/>
      <w:marBottom w:val="0"/>
      <w:divBdr>
        <w:top w:val="none" w:sz="0" w:space="0" w:color="auto"/>
        <w:left w:val="none" w:sz="0" w:space="0" w:color="auto"/>
        <w:bottom w:val="none" w:sz="0" w:space="0" w:color="auto"/>
        <w:right w:val="none" w:sz="0" w:space="0" w:color="auto"/>
      </w:divBdr>
    </w:div>
    <w:div w:id="1542010558">
      <w:bodyDiv w:val="1"/>
      <w:marLeft w:val="0"/>
      <w:marRight w:val="0"/>
      <w:marTop w:val="0"/>
      <w:marBottom w:val="0"/>
      <w:divBdr>
        <w:top w:val="none" w:sz="0" w:space="0" w:color="auto"/>
        <w:left w:val="none" w:sz="0" w:space="0" w:color="auto"/>
        <w:bottom w:val="none" w:sz="0" w:space="0" w:color="auto"/>
        <w:right w:val="none" w:sz="0" w:space="0" w:color="auto"/>
      </w:divBdr>
      <w:divsChild>
        <w:div w:id="828594131">
          <w:marLeft w:val="0"/>
          <w:marRight w:val="0"/>
          <w:marTop w:val="0"/>
          <w:marBottom w:val="0"/>
          <w:divBdr>
            <w:top w:val="none" w:sz="0" w:space="0" w:color="auto"/>
            <w:left w:val="none" w:sz="0" w:space="0" w:color="auto"/>
            <w:bottom w:val="none" w:sz="0" w:space="0" w:color="auto"/>
            <w:right w:val="none" w:sz="0" w:space="0" w:color="auto"/>
          </w:divBdr>
        </w:div>
      </w:divsChild>
    </w:div>
    <w:div w:id="1542087050">
      <w:bodyDiv w:val="1"/>
      <w:marLeft w:val="0"/>
      <w:marRight w:val="0"/>
      <w:marTop w:val="0"/>
      <w:marBottom w:val="0"/>
      <w:divBdr>
        <w:top w:val="none" w:sz="0" w:space="0" w:color="auto"/>
        <w:left w:val="none" w:sz="0" w:space="0" w:color="auto"/>
        <w:bottom w:val="none" w:sz="0" w:space="0" w:color="auto"/>
        <w:right w:val="none" w:sz="0" w:space="0" w:color="auto"/>
      </w:divBdr>
    </w:div>
    <w:div w:id="1551845969">
      <w:bodyDiv w:val="1"/>
      <w:marLeft w:val="0"/>
      <w:marRight w:val="0"/>
      <w:marTop w:val="0"/>
      <w:marBottom w:val="0"/>
      <w:divBdr>
        <w:top w:val="none" w:sz="0" w:space="0" w:color="auto"/>
        <w:left w:val="none" w:sz="0" w:space="0" w:color="auto"/>
        <w:bottom w:val="none" w:sz="0" w:space="0" w:color="auto"/>
        <w:right w:val="none" w:sz="0" w:space="0" w:color="auto"/>
      </w:divBdr>
    </w:div>
    <w:div w:id="1553301254">
      <w:bodyDiv w:val="1"/>
      <w:marLeft w:val="0"/>
      <w:marRight w:val="0"/>
      <w:marTop w:val="0"/>
      <w:marBottom w:val="0"/>
      <w:divBdr>
        <w:top w:val="none" w:sz="0" w:space="0" w:color="auto"/>
        <w:left w:val="none" w:sz="0" w:space="0" w:color="auto"/>
        <w:bottom w:val="none" w:sz="0" w:space="0" w:color="auto"/>
        <w:right w:val="none" w:sz="0" w:space="0" w:color="auto"/>
      </w:divBdr>
    </w:div>
    <w:div w:id="1559979205">
      <w:bodyDiv w:val="1"/>
      <w:marLeft w:val="0"/>
      <w:marRight w:val="0"/>
      <w:marTop w:val="0"/>
      <w:marBottom w:val="0"/>
      <w:divBdr>
        <w:top w:val="none" w:sz="0" w:space="0" w:color="auto"/>
        <w:left w:val="none" w:sz="0" w:space="0" w:color="auto"/>
        <w:bottom w:val="none" w:sz="0" w:space="0" w:color="auto"/>
        <w:right w:val="none" w:sz="0" w:space="0" w:color="auto"/>
      </w:divBdr>
    </w:div>
    <w:div w:id="1560362458">
      <w:bodyDiv w:val="1"/>
      <w:marLeft w:val="0"/>
      <w:marRight w:val="0"/>
      <w:marTop w:val="0"/>
      <w:marBottom w:val="0"/>
      <w:divBdr>
        <w:top w:val="none" w:sz="0" w:space="0" w:color="auto"/>
        <w:left w:val="none" w:sz="0" w:space="0" w:color="auto"/>
        <w:bottom w:val="none" w:sz="0" w:space="0" w:color="auto"/>
        <w:right w:val="none" w:sz="0" w:space="0" w:color="auto"/>
      </w:divBdr>
    </w:div>
    <w:div w:id="1561213355">
      <w:bodyDiv w:val="1"/>
      <w:marLeft w:val="0"/>
      <w:marRight w:val="0"/>
      <w:marTop w:val="0"/>
      <w:marBottom w:val="0"/>
      <w:divBdr>
        <w:top w:val="none" w:sz="0" w:space="0" w:color="auto"/>
        <w:left w:val="none" w:sz="0" w:space="0" w:color="auto"/>
        <w:bottom w:val="none" w:sz="0" w:space="0" w:color="auto"/>
        <w:right w:val="none" w:sz="0" w:space="0" w:color="auto"/>
      </w:divBdr>
    </w:div>
    <w:div w:id="1562668245">
      <w:bodyDiv w:val="1"/>
      <w:marLeft w:val="0"/>
      <w:marRight w:val="0"/>
      <w:marTop w:val="0"/>
      <w:marBottom w:val="0"/>
      <w:divBdr>
        <w:top w:val="none" w:sz="0" w:space="0" w:color="auto"/>
        <w:left w:val="none" w:sz="0" w:space="0" w:color="auto"/>
        <w:bottom w:val="none" w:sz="0" w:space="0" w:color="auto"/>
        <w:right w:val="none" w:sz="0" w:space="0" w:color="auto"/>
      </w:divBdr>
    </w:div>
    <w:div w:id="1563053002">
      <w:bodyDiv w:val="1"/>
      <w:marLeft w:val="0"/>
      <w:marRight w:val="0"/>
      <w:marTop w:val="0"/>
      <w:marBottom w:val="0"/>
      <w:divBdr>
        <w:top w:val="none" w:sz="0" w:space="0" w:color="auto"/>
        <w:left w:val="none" w:sz="0" w:space="0" w:color="auto"/>
        <w:bottom w:val="none" w:sz="0" w:space="0" w:color="auto"/>
        <w:right w:val="none" w:sz="0" w:space="0" w:color="auto"/>
      </w:divBdr>
    </w:div>
    <w:div w:id="1570192880">
      <w:bodyDiv w:val="1"/>
      <w:marLeft w:val="0"/>
      <w:marRight w:val="0"/>
      <w:marTop w:val="0"/>
      <w:marBottom w:val="0"/>
      <w:divBdr>
        <w:top w:val="none" w:sz="0" w:space="0" w:color="auto"/>
        <w:left w:val="none" w:sz="0" w:space="0" w:color="auto"/>
        <w:bottom w:val="none" w:sz="0" w:space="0" w:color="auto"/>
        <w:right w:val="none" w:sz="0" w:space="0" w:color="auto"/>
      </w:divBdr>
      <w:divsChild>
        <w:div w:id="1418750425">
          <w:marLeft w:val="0"/>
          <w:marRight w:val="0"/>
          <w:marTop w:val="0"/>
          <w:marBottom w:val="0"/>
          <w:divBdr>
            <w:top w:val="none" w:sz="0" w:space="0" w:color="auto"/>
            <w:left w:val="none" w:sz="0" w:space="0" w:color="auto"/>
            <w:bottom w:val="none" w:sz="0" w:space="0" w:color="auto"/>
            <w:right w:val="none" w:sz="0" w:space="0" w:color="auto"/>
          </w:divBdr>
        </w:div>
        <w:div w:id="1516921554">
          <w:marLeft w:val="0"/>
          <w:marRight w:val="0"/>
          <w:marTop w:val="0"/>
          <w:marBottom w:val="0"/>
          <w:divBdr>
            <w:top w:val="none" w:sz="0" w:space="0" w:color="auto"/>
            <w:left w:val="none" w:sz="0" w:space="0" w:color="auto"/>
            <w:bottom w:val="none" w:sz="0" w:space="0" w:color="auto"/>
            <w:right w:val="none" w:sz="0" w:space="0" w:color="auto"/>
          </w:divBdr>
        </w:div>
        <w:div w:id="1159882779">
          <w:marLeft w:val="0"/>
          <w:marRight w:val="0"/>
          <w:marTop w:val="0"/>
          <w:marBottom w:val="0"/>
          <w:divBdr>
            <w:top w:val="none" w:sz="0" w:space="0" w:color="auto"/>
            <w:left w:val="none" w:sz="0" w:space="0" w:color="auto"/>
            <w:bottom w:val="none" w:sz="0" w:space="0" w:color="auto"/>
            <w:right w:val="none" w:sz="0" w:space="0" w:color="auto"/>
          </w:divBdr>
        </w:div>
        <w:div w:id="175190489">
          <w:marLeft w:val="0"/>
          <w:marRight w:val="0"/>
          <w:marTop w:val="0"/>
          <w:marBottom w:val="0"/>
          <w:divBdr>
            <w:top w:val="none" w:sz="0" w:space="0" w:color="auto"/>
            <w:left w:val="none" w:sz="0" w:space="0" w:color="auto"/>
            <w:bottom w:val="none" w:sz="0" w:space="0" w:color="auto"/>
            <w:right w:val="none" w:sz="0" w:space="0" w:color="auto"/>
          </w:divBdr>
        </w:div>
      </w:divsChild>
    </w:div>
    <w:div w:id="1574974611">
      <w:bodyDiv w:val="1"/>
      <w:marLeft w:val="0"/>
      <w:marRight w:val="0"/>
      <w:marTop w:val="0"/>
      <w:marBottom w:val="0"/>
      <w:divBdr>
        <w:top w:val="none" w:sz="0" w:space="0" w:color="auto"/>
        <w:left w:val="none" w:sz="0" w:space="0" w:color="auto"/>
        <w:bottom w:val="none" w:sz="0" w:space="0" w:color="auto"/>
        <w:right w:val="none" w:sz="0" w:space="0" w:color="auto"/>
      </w:divBdr>
    </w:div>
    <w:div w:id="1579367367">
      <w:bodyDiv w:val="1"/>
      <w:marLeft w:val="0"/>
      <w:marRight w:val="0"/>
      <w:marTop w:val="0"/>
      <w:marBottom w:val="0"/>
      <w:divBdr>
        <w:top w:val="none" w:sz="0" w:space="0" w:color="auto"/>
        <w:left w:val="none" w:sz="0" w:space="0" w:color="auto"/>
        <w:bottom w:val="none" w:sz="0" w:space="0" w:color="auto"/>
        <w:right w:val="none" w:sz="0" w:space="0" w:color="auto"/>
      </w:divBdr>
    </w:div>
    <w:div w:id="1580216797">
      <w:bodyDiv w:val="1"/>
      <w:marLeft w:val="0"/>
      <w:marRight w:val="0"/>
      <w:marTop w:val="0"/>
      <w:marBottom w:val="0"/>
      <w:divBdr>
        <w:top w:val="none" w:sz="0" w:space="0" w:color="auto"/>
        <w:left w:val="none" w:sz="0" w:space="0" w:color="auto"/>
        <w:bottom w:val="none" w:sz="0" w:space="0" w:color="auto"/>
        <w:right w:val="none" w:sz="0" w:space="0" w:color="auto"/>
      </w:divBdr>
    </w:div>
    <w:div w:id="1588885373">
      <w:bodyDiv w:val="1"/>
      <w:marLeft w:val="0"/>
      <w:marRight w:val="0"/>
      <w:marTop w:val="0"/>
      <w:marBottom w:val="0"/>
      <w:divBdr>
        <w:top w:val="none" w:sz="0" w:space="0" w:color="auto"/>
        <w:left w:val="none" w:sz="0" w:space="0" w:color="auto"/>
        <w:bottom w:val="none" w:sz="0" w:space="0" w:color="auto"/>
        <w:right w:val="none" w:sz="0" w:space="0" w:color="auto"/>
      </w:divBdr>
    </w:div>
    <w:div w:id="1589803291">
      <w:bodyDiv w:val="1"/>
      <w:marLeft w:val="0"/>
      <w:marRight w:val="0"/>
      <w:marTop w:val="0"/>
      <w:marBottom w:val="0"/>
      <w:divBdr>
        <w:top w:val="none" w:sz="0" w:space="0" w:color="auto"/>
        <w:left w:val="none" w:sz="0" w:space="0" w:color="auto"/>
        <w:bottom w:val="none" w:sz="0" w:space="0" w:color="auto"/>
        <w:right w:val="none" w:sz="0" w:space="0" w:color="auto"/>
      </w:divBdr>
    </w:div>
    <w:div w:id="1593467049">
      <w:bodyDiv w:val="1"/>
      <w:marLeft w:val="0"/>
      <w:marRight w:val="0"/>
      <w:marTop w:val="0"/>
      <w:marBottom w:val="0"/>
      <w:divBdr>
        <w:top w:val="none" w:sz="0" w:space="0" w:color="auto"/>
        <w:left w:val="none" w:sz="0" w:space="0" w:color="auto"/>
        <w:bottom w:val="none" w:sz="0" w:space="0" w:color="auto"/>
        <w:right w:val="none" w:sz="0" w:space="0" w:color="auto"/>
      </w:divBdr>
    </w:div>
    <w:div w:id="1595280462">
      <w:bodyDiv w:val="1"/>
      <w:marLeft w:val="0"/>
      <w:marRight w:val="0"/>
      <w:marTop w:val="0"/>
      <w:marBottom w:val="0"/>
      <w:divBdr>
        <w:top w:val="none" w:sz="0" w:space="0" w:color="auto"/>
        <w:left w:val="none" w:sz="0" w:space="0" w:color="auto"/>
        <w:bottom w:val="none" w:sz="0" w:space="0" w:color="auto"/>
        <w:right w:val="none" w:sz="0" w:space="0" w:color="auto"/>
      </w:divBdr>
    </w:div>
    <w:div w:id="1597056786">
      <w:bodyDiv w:val="1"/>
      <w:marLeft w:val="0"/>
      <w:marRight w:val="0"/>
      <w:marTop w:val="0"/>
      <w:marBottom w:val="0"/>
      <w:divBdr>
        <w:top w:val="none" w:sz="0" w:space="0" w:color="auto"/>
        <w:left w:val="none" w:sz="0" w:space="0" w:color="auto"/>
        <w:bottom w:val="none" w:sz="0" w:space="0" w:color="auto"/>
        <w:right w:val="none" w:sz="0" w:space="0" w:color="auto"/>
      </w:divBdr>
    </w:div>
    <w:div w:id="1597981588">
      <w:bodyDiv w:val="1"/>
      <w:marLeft w:val="0"/>
      <w:marRight w:val="0"/>
      <w:marTop w:val="0"/>
      <w:marBottom w:val="0"/>
      <w:divBdr>
        <w:top w:val="none" w:sz="0" w:space="0" w:color="auto"/>
        <w:left w:val="none" w:sz="0" w:space="0" w:color="auto"/>
        <w:bottom w:val="none" w:sz="0" w:space="0" w:color="auto"/>
        <w:right w:val="none" w:sz="0" w:space="0" w:color="auto"/>
      </w:divBdr>
    </w:div>
    <w:div w:id="1601136643">
      <w:bodyDiv w:val="1"/>
      <w:marLeft w:val="0"/>
      <w:marRight w:val="0"/>
      <w:marTop w:val="0"/>
      <w:marBottom w:val="0"/>
      <w:divBdr>
        <w:top w:val="none" w:sz="0" w:space="0" w:color="auto"/>
        <w:left w:val="none" w:sz="0" w:space="0" w:color="auto"/>
        <w:bottom w:val="none" w:sz="0" w:space="0" w:color="auto"/>
        <w:right w:val="none" w:sz="0" w:space="0" w:color="auto"/>
      </w:divBdr>
    </w:div>
    <w:div w:id="1612735678">
      <w:bodyDiv w:val="1"/>
      <w:marLeft w:val="0"/>
      <w:marRight w:val="0"/>
      <w:marTop w:val="0"/>
      <w:marBottom w:val="0"/>
      <w:divBdr>
        <w:top w:val="none" w:sz="0" w:space="0" w:color="auto"/>
        <w:left w:val="none" w:sz="0" w:space="0" w:color="auto"/>
        <w:bottom w:val="none" w:sz="0" w:space="0" w:color="auto"/>
        <w:right w:val="none" w:sz="0" w:space="0" w:color="auto"/>
      </w:divBdr>
    </w:div>
    <w:div w:id="1614286783">
      <w:bodyDiv w:val="1"/>
      <w:marLeft w:val="0"/>
      <w:marRight w:val="0"/>
      <w:marTop w:val="0"/>
      <w:marBottom w:val="0"/>
      <w:divBdr>
        <w:top w:val="none" w:sz="0" w:space="0" w:color="auto"/>
        <w:left w:val="none" w:sz="0" w:space="0" w:color="auto"/>
        <w:bottom w:val="none" w:sz="0" w:space="0" w:color="auto"/>
        <w:right w:val="none" w:sz="0" w:space="0" w:color="auto"/>
      </w:divBdr>
    </w:div>
    <w:div w:id="1617254799">
      <w:bodyDiv w:val="1"/>
      <w:marLeft w:val="0"/>
      <w:marRight w:val="0"/>
      <w:marTop w:val="0"/>
      <w:marBottom w:val="0"/>
      <w:divBdr>
        <w:top w:val="none" w:sz="0" w:space="0" w:color="auto"/>
        <w:left w:val="none" w:sz="0" w:space="0" w:color="auto"/>
        <w:bottom w:val="none" w:sz="0" w:space="0" w:color="auto"/>
        <w:right w:val="none" w:sz="0" w:space="0" w:color="auto"/>
      </w:divBdr>
    </w:div>
    <w:div w:id="1627858380">
      <w:bodyDiv w:val="1"/>
      <w:marLeft w:val="0"/>
      <w:marRight w:val="0"/>
      <w:marTop w:val="0"/>
      <w:marBottom w:val="0"/>
      <w:divBdr>
        <w:top w:val="none" w:sz="0" w:space="0" w:color="auto"/>
        <w:left w:val="none" w:sz="0" w:space="0" w:color="auto"/>
        <w:bottom w:val="none" w:sz="0" w:space="0" w:color="auto"/>
        <w:right w:val="none" w:sz="0" w:space="0" w:color="auto"/>
      </w:divBdr>
    </w:div>
    <w:div w:id="1629893355">
      <w:bodyDiv w:val="1"/>
      <w:marLeft w:val="0"/>
      <w:marRight w:val="0"/>
      <w:marTop w:val="0"/>
      <w:marBottom w:val="0"/>
      <w:divBdr>
        <w:top w:val="none" w:sz="0" w:space="0" w:color="auto"/>
        <w:left w:val="none" w:sz="0" w:space="0" w:color="auto"/>
        <w:bottom w:val="none" w:sz="0" w:space="0" w:color="auto"/>
        <w:right w:val="none" w:sz="0" w:space="0" w:color="auto"/>
      </w:divBdr>
    </w:div>
    <w:div w:id="1629965741">
      <w:bodyDiv w:val="1"/>
      <w:marLeft w:val="0"/>
      <w:marRight w:val="0"/>
      <w:marTop w:val="0"/>
      <w:marBottom w:val="0"/>
      <w:divBdr>
        <w:top w:val="none" w:sz="0" w:space="0" w:color="auto"/>
        <w:left w:val="none" w:sz="0" w:space="0" w:color="auto"/>
        <w:bottom w:val="none" w:sz="0" w:space="0" w:color="auto"/>
        <w:right w:val="none" w:sz="0" w:space="0" w:color="auto"/>
      </w:divBdr>
    </w:div>
    <w:div w:id="1630739248">
      <w:bodyDiv w:val="1"/>
      <w:marLeft w:val="0"/>
      <w:marRight w:val="0"/>
      <w:marTop w:val="0"/>
      <w:marBottom w:val="0"/>
      <w:divBdr>
        <w:top w:val="none" w:sz="0" w:space="0" w:color="auto"/>
        <w:left w:val="none" w:sz="0" w:space="0" w:color="auto"/>
        <w:bottom w:val="none" w:sz="0" w:space="0" w:color="auto"/>
        <w:right w:val="none" w:sz="0" w:space="0" w:color="auto"/>
      </w:divBdr>
    </w:div>
    <w:div w:id="1640839055">
      <w:bodyDiv w:val="1"/>
      <w:marLeft w:val="0"/>
      <w:marRight w:val="0"/>
      <w:marTop w:val="0"/>
      <w:marBottom w:val="0"/>
      <w:divBdr>
        <w:top w:val="none" w:sz="0" w:space="0" w:color="auto"/>
        <w:left w:val="none" w:sz="0" w:space="0" w:color="auto"/>
        <w:bottom w:val="none" w:sz="0" w:space="0" w:color="auto"/>
        <w:right w:val="none" w:sz="0" w:space="0" w:color="auto"/>
      </w:divBdr>
    </w:div>
    <w:div w:id="1642729148">
      <w:bodyDiv w:val="1"/>
      <w:marLeft w:val="0"/>
      <w:marRight w:val="0"/>
      <w:marTop w:val="0"/>
      <w:marBottom w:val="0"/>
      <w:divBdr>
        <w:top w:val="none" w:sz="0" w:space="0" w:color="auto"/>
        <w:left w:val="none" w:sz="0" w:space="0" w:color="auto"/>
        <w:bottom w:val="none" w:sz="0" w:space="0" w:color="auto"/>
        <w:right w:val="none" w:sz="0" w:space="0" w:color="auto"/>
      </w:divBdr>
    </w:div>
    <w:div w:id="1643851384">
      <w:bodyDiv w:val="1"/>
      <w:marLeft w:val="0"/>
      <w:marRight w:val="0"/>
      <w:marTop w:val="0"/>
      <w:marBottom w:val="0"/>
      <w:divBdr>
        <w:top w:val="none" w:sz="0" w:space="0" w:color="auto"/>
        <w:left w:val="none" w:sz="0" w:space="0" w:color="auto"/>
        <w:bottom w:val="none" w:sz="0" w:space="0" w:color="auto"/>
        <w:right w:val="none" w:sz="0" w:space="0" w:color="auto"/>
      </w:divBdr>
    </w:div>
    <w:div w:id="1645310051">
      <w:bodyDiv w:val="1"/>
      <w:marLeft w:val="0"/>
      <w:marRight w:val="0"/>
      <w:marTop w:val="0"/>
      <w:marBottom w:val="0"/>
      <w:divBdr>
        <w:top w:val="none" w:sz="0" w:space="0" w:color="auto"/>
        <w:left w:val="none" w:sz="0" w:space="0" w:color="auto"/>
        <w:bottom w:val="none" w:sz="0" w:space="0" w:color="auto"/>
        <w:right w:val="none" w:sz="0" w:space="0" w:color="auto"/>
      </w:divBdr>
    </w:div>
    <w:div w:id="1648124009">
      <w:bodyDiv w:val="1"/>
      <w:marLeft w:val="0"/>
      <w:marRight w:val="0"/>
      <w:marTop w:val="0"/>
      <w:marBottom w:val="0"/>
      <w:divBdr>
        <w:top w:val="none" w:sz="0" w:space="0" w:color="auto"/>
        <w:left w:val="none" w:sz="0" w:space="0" w:color="auto"/>
        <w:bottom w:val="none" w:sz="0" w:space="0" w:color="auto"/>
        <w:right w:val="none" w:sz="0" w:space="0" w:color="auto"/>
      </w:divBdr>
    </w:div>
    <w:div w:id="1649092599">
      <w:bodyDiv w:val="1"/>
      <w:marLeft w:val="0"/>
      <w:marRight w:val="0"/>
      <w:marTop w:val="0"/>
      <w:marBottom w:val="0"/>
      <w:divBdr>
        <w:top w:val="none" w:sz="0" w:space="0" w:color="auto"/>
        <w:left w:val="none" w:sz="0" w:space="0" w:color="auto"/>
        <w:bottom w:val="none" w:sz="0" w:space="0" w:color="auto"/>
        <w:right w:val="none" w:sz="0" w:space="0" w:color="auto"/>
      </w:divBdr>
    </w:div>
    <w:div w:id="1656254737">
      <w:bodyDiv w:val="1"/>
      <w:marLeft w:val="0"/>
      <w:marRight w:val="0"/>
      <w:marTop w:val="0"/>
      <w:marBottom w:val="0"/>
      <w:divBdr>
        <w:top w:val="none" w:sz="0" w:space="0" w:color="auto"/>
        <w:left w:val="none" w:sz="0" w:space="0" w:color="auto"/>
        <w:bottom w:val="none" w:sz="0" w:space="0" w:color="auto"/>
        <w:right w:val="none" w:sz="0" w:space="0" w:color="auto"/>
      </w:divBdr>
    </w:div>
    <w:div w:id="1659263838">
      <w:bodyDiv w:val="1"/>
      <w:marLeft w:val="0"/>
      <w:marRight w:val="0"/>
      <w:marTop w:val="0"/>
      <w:marBottom w:val="0"/>
      <w:divBdr>
        <w:top w:val="none" w:sz="0" w:space="0" w:color="auto"/>
        <w:left w:val="none" w:sz="0" w:space="0" w:color="auto"/>
        <w:bottom w:val="none" w:sz="0" w:space="0" w:color="auto"/>
        <w:right w:val="none" w:sz="0" w:space="0" w:color="auto"/>
      </w:divBdr>
    </w:div>
    <w:div w:id="1664118276">
      <w:bodyDiv w:val="1"/>
      <w:marLeft w:val="0"/>
      <w:marRight w:val="0"/>
      <w:marTop w:val="0"/>
      <w:marBottom w:val="0"/>
      <w:divBdr>
        <w:top w:val="none" w:sz="0" w:space="0" w:color="auto"/>
        <w:left w:val="none" w:sz="0" w:space="0" w:color="auto"/>
        <w:bottom w:val="none" w:sz="0" w:space="0" w:color="auto"/>
        <w:right w:val="none" w:sz="0" w:space="0" w:color="auto"/>
      </w:divBdr>
    </w:div>
    <w:div w:id="1667443475">
      <w:bodyDiv w:val="1"/>
      <w:marLeft w:val="0"/>
      <w:marRight w:val="0"/>
      <w:marTop w:val="0"/>
      <w:marBottom w:val="0"/>
      <w:divBdr>
        <w:top w:val="none" w:sz="0" w:space="0" w:color="auto"/>
        <w:left w:val="none" w:sz="0" w:space="0" w:color="auto"/>
        <w:bottom w:val="none" w:sz="0" w:space="0" w:color="auto"/>
        <w:right w:val="none" w:sz="0" w:space="0" w:color="auto"/>
      </w:divBdr>
    </w:div>
    <w:div w:id="1675646917">
      <w:bodyDiv w:val="1"/>
      <w:marLeft w:val="0"/>
      <w:marRight w:val="0"/>
      <w:marTop w:val="0"/>
      <w:marBottom w:val="0"/>
      <w:divBdr>
        <w:top w:val="none" w:sz="0" w:space="0" w:color="auto"/>
        <w:left w:val="none" w:sz="0" w:space="0" w:color="auto"/>
        <w:bottom w:val="none" w:sz="0" w:space="0" w:color="auto"/>
        <w:right w:val="none" w:sz="0" w:space="0" w:color="auto"/>
      </w:divBdr>
    </w:div>
    <w:div w:id="1676110717">
      <w:bodyDiv w:val="1"/>
      <w:marLeft w:val="0"/>
      <w:marRight w:val="0"/>
      <w:marTop w:val="0"/>
      <w:marBottom w:val="0"/>
      <w:divBdr>
        <w:top w:val="none" w:sz="0" w:space="0" w:color="auto"/>
        <w:left w:val="none" w:sz="0" w:space="0" w:color="auto"/>
        <w:bottom w:val="none" w:sz="0" w:space="0" w:color="auto"/>
        <w:right w:val="none" w:sz="0" w:space="0" w:color="auto"/>
      </w:divBdr>
    </w:div>
    <w:div w:id="1682274004">
      <w:bodyDiv w:val="1"/>
      <w:marLeft w:val="0"/>
      <w:marRight w:val="0"/>
      <w:marTop w:val="0"/>
      <w:marBottom w:val="0"/>
      <w:divBdr>
        <w:top w:val="none" w:sz="0" w:space="0" w:color="auto"/>
        <w:left w:val="none" w:sz="0" w:space="0" w:color="auto"/>
        <w:bottom w:val="none" w:sz="0" w:space="0" w:color="auto"/>
        <w:right w:val="none" w:sz="0" w:space="0" w:color="auto"/>
      </w:divBdr>
    </w:div>
    <w:div w:id="1683624524">
      <w:bodyDiv w:val="1"/>
      <w:marLeft w:val="0"/>
      <w:marRight w:val="0"/>
      <w:marTop w:val="0"/>
      <w:marBottom w:val="0"/>
      <w:divBdr>
        <w:top w:val="none" w:sz="0" w:space="0" w:color="auto"/>
        <w:left w:val="none" w:sz="0" w:space="0" w:color="auto"/>
        <w:bottom w:val="none" w:sz="0" w:space="0" w:color="auto"/>
        <w:right w:val="none" w:sz="0" w:space="0" w:color="auto"/>
      </w:divBdr>
    </w:div>
    <w:div w:id="1683706961">
      <w:bodyDiv w:val="1"/>
      <w:marLeft w:val="0"/>
      <w:marRight w:val="0"/>
      <w:marTop w:val="0"/>
      <w:marBottom w:val="0"/>
      <w:divBdr>
        <w:top w:val="none" w:sz="0" w:space="0" w:color="auto"/>
        <w:left w:val="none" w:sz="0" w:space="0" w:color="auto"/>
        <w:bottom w:val="none" w:sz="0" w:space="0" w:color="auto"/>
        <w:right w:val="none" w:sz="0" w:space="0" w:color="auto"/>
      </w:divBdr>
      <w:divsChild>
        <w:div w:id="1289579915">
          <w:marLeft w:val="0"/>
          <w:marRight w:val="0"/>
          <w:marTop w:val="0"/>
          <w:marBottom w:val="0"/>
          <w:divBdr>
            <w:top w:val="none" w:sz="0" w:space="0" w:color="auto"/>
            <w:left w:val="none" w:sz="0" w:space="0" w:color="auto"/>
            <w:bottom w:val="none" w:sz="0" w:space="0" w:color="auto"/>
            <w:right w:val="none" w:sz="0" w:space="0" w:color="auto"/>
          </w:divBdr>
        </w:div>
        <w:div w:id="602882082">
          <w:marLeft w:val="0"/>
          <w:marRight w:val="0"/>
          <w:marTop w:val="0"/>
          <w:marBottom w:val="0"/>
          <w:divBdr>
            <w:top w:val="none" w:sz="0" w:space="0" w:color="auto"/>
            <w:left w:val="none" w:sz="0" w:space="0" w:color="auto"/>
            <w:bottom w:val="none" w:sz="0" w:space="0" w:color="auto"/>
            <w:right w:val="none" w:sz="0" w:space="0" w:color="auto"/>
          </w:divBdr>
        </w:div>
        <w:div w:id="1835487398">
          <w:marLeft w:val="0"/>
          <w:marRight w:val="0"/>
          <w:marTop w:val="0"/>
          <w:marBottom w:val="0"/>
          <w:divBdr>
            <w:top w:val="none" w:sz="0" w:space="0" w:color="auto"/>
            <w:left w:val="none" w:sz="0" w:space="0" w:color="auto"/>
            <w:bottom w:val="none" w:sz="0" w:space="0" w:color="auto"/>
            <w:right w:val="none" w:sz="0" w:space="0" w:color="auto"/>
          </w:divBdr>
        </w:div>
        <w:div w:id="405422539">
          <w:marLeft w:val="0"/>
          <w:marRight w:val="0"/>
          <w:marTop w:val="0"/>
          <w:marBottom w:val="0"/>
          <w:divBdr>
            <w:top w:val="none" w:sz="0" w:space="0" w:color="auto"/>
            <w:left w:val="none" w:sz="0" w:space="0" w:color="auto"/>
            <w:bottom w:val="none" w:sz="0" w:space="0" w:color="auto"/>
            <w:right w:val="none" w:sz="0" w:space="0" w:color="auto"/>
          </w:divBdr>
        </w:div>
        <w:div w:id="425350075">
          <w:marLeft w:val="0"/>
          <w:marRight w:val="0"/>
          <w:marTop w:val="0"/>
          <w:marBottom w:val="0"/>
          <w:divBdr>
            <w:top w:val="none" w:sz="0" w:space="0" w:color="auto"/>
            <w:left w:val="none" w:sz="0" w:space="0" w:color="auto"/>
            <w:bottom w:val="none" w:sz="0" w:space="0" w:color="auto"/>
            <w:right w:val="none" w:sz="0" w:space="0" w:color="auto"/>
          </w:divBdr>
        </w:div>
        <w:div w:id="1317303027">
          <w:marLeft w:val="0"/>
          <w:marRight w:val="0"/>
          <w:marTop w:val="0"/>
          <w:marBottom w:val="0"/>
          <w:divBdr>
            <w:top w:val="none" w:sz="0" w:space="0" w:color="auto"/>
            <w:left w:val="none" w:sz="0" w:space="0" w:color="auto"/>
            <w:bottom w:val="none" w:sz="0" w:space="0" w:color="auto"/>
            <w:right w:val="none" w:sz="0" w:space="0" w:color="auto"/>
          </w:divBdr>
        </w:div>
        <w:div w:id="294070984">
          <w:marLeft w:val="0"/>
          <w:marRight w:val="0"/>
          <w:marTop w:val="0"/>
          <w:marBottom w:val="0"/>
          <w:divBdr>
            <w:top w:val="none" w:sz="0" w:space="0" w:color="auto"/>
            <w:left w:val="none" w:sz="0" w:space="0" w:color="auto"/>
            <w:bottom w:val="none" w:sz="0" w:space="0" w:color="auto"/>
            <w:right w:val="none" w:sz="0" w:space="0" w:color="auto"/>
          </w:divBdr>
        </w:div>
        <w:div w:id="1591426144">
          <w:marLeft w:val="0"/>
          <w:marRight w:val="0"/>
          <w:marTop w:val="0"/>
          <w:marBottom w:val="0"/>
          <w:divBdr>
            <w:top w:val="none" w:sz="0" w:space="0" w:color="auto"/>
            <w:left w:val="none" w:sz="0" w:space="0" w:color="auto"/>
            <w:bottom w:val="none" w:sz="0" w:space="0" w:color="auto"/>
            <w:right w:val="none" w:sz="0" w:space="0" w:color="auto"/>
          </w:divBdr>
        </w:div>
        <w:div w:id="1290280282">
          <w:marLeft w:val="0"/>
          <w:marRight w:val="0"/>
          <w:marTop w:val="0"/>
          <w:marBottom w:val="0"/>
          <w:divBdr>
            <w:top w:val="none" w:sz="0" w:space="0" w:color="auto"/>
            <w:left w:val="none" w:sz="0" w:space="0" w:color="auto"/>
            <w:bottom w:val="none" w:sz="0" w:space="0" w:color="auto"/>
            <w:right w:val="none" w:sz="0" w:space="0" w:color="auto"/>
          </w:divBdr>
        </w:div>
        <w:div w:id="242372553">
          <w:marLeft w:val="0"/>
          <w:marRight w:val="0"/>
          <w:marTop w:val="0"/>
          <w:marBottom w:val="0"/>
          <w:divBdr>
            <w:top w:val="none" w:sz="0" w:space="0" w:color="auto"/>
            <w:left w:val="none" w:sz="0" w:space="0" w:color="auto"/>
            <w:bottom w:val="none" w:sz="0" w:space="0" w:color="auto"/>
            <w:right w:val="none" w:sz="0" w:space="0" w:color="auto"/>
          </w:divBdr>
        </w:div>
        <w:div w:id="72747258">
          <w:marLeft w:val="0"/>
          <w:marRight w:val="0"/>
          <w:marTop w:val="0"/>
          <w:marBottom w:val="0"/>
          <w:divBdr>
            <w:top w:val="none" w:sz="0" w:space="0" w:color="auto"/>
            <w:left w:val="none" w:sz="0" w:space="0" w:color="auto"/>
            <w:bottom w:val="none" w:sz="0" w:space="0" w:color="auto"/>
            <w:right w:val="none" w:sz="0" w:space="0" w:color="auto"/>
          </w:divBdr>
        </w:div>
      </w:divsChild>
    </w:div>
    <w:div w:id="1686979553">
      <w:bodyDiv w:val="1"/>
      <w:marLeft w:val="0"/>
      <w:marRight w:val="0"/>
      <w:marTop w:val="0"/>
      <w:marBottom w:val="0"/>
      <w:divBdr>
        <w:top w:val="none" w:sz="0" w:space="0" w:color="auto"/>
        <w:left w:val="none" w:sz="0" w:space="0" w:color="auto"/>
        <w:bottom w:val="none" w:sz="0" w:space="0" w:color="auto"/>
        <w:right w:val="none" w:sz="0" w:space="0" w:color="auto"/>
      </w:divBdr>
    </w:div>
    <w:div w:id="1688557900">
      <w:bodyDiv w:val="1"/>
      <w:marLeft w:val="0"/>
      <w:marRight w:val="0"/>
      <w:marTop w:val="0"/>
      <w:marBottom w:val="0"/>
      <w:divBdr>
        <w:top w:val="none" w:sz="0" w:space="0" w:color="auto"/>
        <w:left w:val="none" w:sz="0" w:space="0" w:color="auto"/>
        <w:bottom w:val="none" w:sz="0" w:space="0" w:color="auto"/>
        <w:right w:val="none" w:sz="0" w:space="0" w:color="auto"/>
      </w:divBdr>
    </w:div>
    <w:div w:id="1690183054">
      <w:bodyDiv w:val="1"/>
      <w:marLeft w:val="0"/>
      <w:marRight w:val="0"/>
      <w:marTop w:val="0"/>
      <w:marBottom w:val="0"/>
      <w:divBdr>
        <w:top w:val="none" w:sz="0" w:space="0" w:color="auto"/>
        <w:left w:val="none" w:sz="0" w:space="0" w:color="auto"/>
        <w:bottom w:val="none" w:sz="0" w:space="0" w:color="auto"/>
        <w:right w:val="none" w:sz="0" w:space="0" w:color="auto"/>
      </w:divBdr>
    </w:div>
    <w:div w:id="1692299848">
      <w:bodyDiv w:val="1"/>
      <w:marLeft w:val="0"/>
      <w:marRight w:val="0"/>
      <w:marTop w:val="0"/>
      <w:marBottom w:val="0"/>
      <w:divBdr>
        <w:top w:val="none" w:sz="0" w:space="0" w:color="auto"/>
        <w:left w:val="none" w:sz="0" w:space="0" w:color="auto"/>
        <w:bottom w:val="none" w:sz="0" w:space="0" w:color="auto"/>
        <w:right w:val="none" w:sz="0" w:space="0" w:color="auto"/>
      </w:divBdr>
    </w:div>
    <w:div w:id="1692759525">
      <w:bodyDiv w:val="1"/>
      <w:marLeft w:val="0"/>
      <w:marRight w:val="0"/>
      <w:marTop w:val="0"/>
      <w:marBottom w:val="0"/>
      <w:divBdr>
        <w:top w:val="none" w:sz="0" w:space="0" w:color="auto"/>
        <w:left w:val="none" w:sz="0" w:space="0" w:color="auto"/>
        <w:bottom w:val="none" w:sz="0" w:space="0" w:color="auto"/>
        <w:right w:val="none" w:sz="0" w:space="0" w:color="auto"/>
      </w:divBdr>
    </w:div>
    <w:div w:id="1695811543">
      <w:bodyDiv w:val="1"/>
      <w:marLeft w:val="0"/>
      <w:marRight w:val="0"/>
      <w:marTop w:val="0"/>
      <w:marBottom w:val="0"/>
      <w:divBdr>
        <w:top w:val="none" w:sz="0" w:space="0" w:color="auto"/>
        <w:left w:val="none" w:sz="0" w:space="0" w:color="auto"/>
        <w:bottom w:val="none" w:sz="0" w:space="0" w:color="auto"/>
        <w:right w:val="none" w:sz="0" w:space="0" w:color="auto"/>
      </w:divBdr>
    </w:div>
    <w:div w:id="1703742698">
      <w:bodyDiv w:val="1"/>
      <w:marLeft w:val="0"/>
      <w:marRight w:val="0"/>
      <w:marTop w:val="0"/>
      <w:marBottom w:val="0"/>
      <w:divBdr>
        <w:top w:val="none" w:sz="0" w:space="0" w:color="auto"/>
        <w:left w:val="none" w:sz="0" w:space="0" w:color="auto"/>
        <w:bottom w:val="none" w:sz="0" w:space="0" w:color="auto"/>
        <w:right w:val="none" w:sz="0" w:space="0" w:color="auto"/>
      </w:divBdr>
    </w:div>
    <w:div w:id="1712269582">
      <w:bodyDiv w:val="1"/>
      <w:marLeft w:val="0"/>
      <w:marRight w:val="0"/>
      <w:marTop w:val="0"/>
      <w:marBottom w:val="0"/>
      <w:divBdr>
        <w:top w:val="none" w:sz="0" w:space="0" w:color="auto"/>
        <w:left w:val="none" w:sz="0" w:space="0" w:color="auto"/>
        <w:bottom w:val="none" w:sz="0" w:space="0" w:color="auto"/>
        <w:right w:val="none" w:sz="0" w:space="0" w:color="auto"/>
      </w:divBdr>
    </w:div>
    <w:div w:id="1712921204">
      <w:bodyDiv w:val="1"/>
      <w:marLeft w:val="0"/>
      <w:marRight w:val="0"/>
      <w:marTop w:val="0"/>
      <w:marBottom w:val="0"/>
      <w:divBdr>
        <w:top w:val="none" w:sz="0" w:space="0" w:color="auto"/>
        <w:left w:val="none" w:sz="0" w:space="0" w:color="auto"/>
        <w:bottom w:val="none" w:sz="0" w:space="0" w:color="auto"/>
        <w:right w:val="none" w:sz="0" w:space="0" w:color="auto"/>
      </w:divBdr>
    </w:div>
    <w:div w:id="1717898531">
      <w:bodyDiv w:val="1"/>
      <w:marLeft w:val="0"/>
      <w:marRight w:val="0"/>
      <w:marTop w:val="0"/>
      <w:marBottom w:val="0"/>
      <w:divBdr>
        <w:top w:val="none" w:sz="0" w:space="0" w:color="auto"/>
        <w:left w:val="none" w:sz="0" w:space="0" w:color="auto"/>
        <w:bottom w:val="none" w:sz="0" w:space="0" w:color="auto"/>
        <w:right w:val="none" w:sz="0" w:space="0" w:color="auto"/>
      </w:divBdr>
    </w:div>
    <w:div w:id="1718316672">
      <w:bodyDiv w:val="1"/>
      <w:marLeft w:val="0"/>
      <w:marRight w:val="0"/>
      <w:marTop w:val="0"/>
      <w:marBottom w:val="0"/>
      <w:divBdr>
        <w:top w:val="none" w:sz="0" w:space="0" w:color="auto"/>
        <w:left w:val="none" w:sz="0" w:space="0" w:color="auto"/>
        <w:bottom w:val="none" w:sz="0" w:space="0" w:color="auto"/>
        <w:right w:val="none" w:sz="0" w:space="0" w:color="auto"/>
      </w:divBdr>
    </w:div>
    <w:div w:id="1727337837">
      <w:bodyDiv w:val="1"/>
      <w:marLeft w:val="0"/>
      <w:marRight w:val="0"/>
      <w:marTop w:val="0"/>
      <w:marBottom w:val="0"/>
      <w:divBdr>
        <w:top w:val="none" w:sz="0" w:space="0" w:color="auto"/>
        <w:left w:val="none" w:sz="0" w:space="0" w:color="auto"/>
        <w:bottom w:val="none" w:sz="0" w:space="0" w:color="auto"/>
        <w:right w:val="none" w:sz="0" w:space="0" w:color="auto"/>
      </w:divBdr>
    </w:div>
    <w:div w:id="1729567886">
      <w:bodyDiv w:val="1"/>
      <w:marLeft w:val="0"/>
      <w:marRight w:val="0"/>
      <w:marTop w:val="0"/>
      <w:marBottom w:val="0"/>
      <w:divBdr>
        <w:top w:val="none" w:sz="0" w:space="0" w:color="auto"/>
        <w:left w:val="none" w:sz="0" w:space="0" w:color="auto"/>
        <w:bottom w:val="none" w:sz="0" w:space="0" w:color="auto"/>
        <w:right w:val="none" w:sz="0" w:space="0" w:color="auto"/>
      </w:divBdr>
      <w:divsChild>
        <w:div w:id="366370562">
          <w:marLeft w:val="0"/>
          <w:marRight w:val="0"/>
          <w:marTop w:val="0"/>
          <w:marBottom w:val="0"/>
          <w:divBdr>
            <w:top w:val="none" w:sz="0" w:space="0" w:color="auto"/>
            <w:left w:val="none" w:sz="0" w:space="0" w:color="auto"/>
            <w:bottom w:val="none" w:sz="0" w:space="0" w:color="auto"/>
            <w:right w:val="none" w:sz="0" w:space="0" w:color="auto"/>
          </w:divBdr>
        </w:div>
      </w:divsChild>
    </w:div>
    <w:div w:id="1729769021">
      <w:bodyDiv w:val="1"/>
      <w:marLeft w:val="0"/>
      <w:marRight w:val="0"/>
      <w:marTop w:val="0"/>
      <w:marBottom w:val="0"/>
      <w:divBdr>
        <w:top w:val="none" w:sz="0" w:space="0" w:color="auto"/>
        <w:left w:val="none" w:sz="0" w:space="0" w:color="auto"/>
        <w:bottom w:val="none" w:sz="0" w:space="0" w:color="auto"/>
        <w:right w:val="none" w:sz="0" w:space="0" w:color="auto"/>
      </w:divBdr>
    </w:div>
    <w:div w:id="1735619254">
      <w:bodyDiv w:val="1"/>
      <w:marLeft w:val="0"/>
      <w:marRight w:val="0"/>
      <w:marTop w:val="0"/>
      <w:marBottom w:val="0"/>
      <w:divBdr>
        <w:top w:val="none" w:sz="0" w:space="0" w:color="auto"/>
        <w:left w:val="none" w:sz="0" w:space="0" w:color="auto"/>
        <w:bottom w:val="none" w:sz="0" w:space="0" w:color="auto"/>
        <w:right w:val="none" w:sz="0" w:space="0" w:color="auto"/>
      </w:divBdr>
    </w:div>
    <w:div w:id="1739985167">
      <w:bodyDiv w:val="1"/>
      <w:marLeft w:val="0"/>
      <w:marRight w:val="0"/>
      <w:marTop w:val="0"/>
      <w:marBottom w:val="0"/>
      <w:divBdr>
        <w:top w:val="none" w:sz="0" w:space="0" w:color="auto"/>
        <w:left w:val="none" w:sz="0" w:space="0" w:color="auto"/>
        <w:bottom w:val="none" w:sz="0" w:space="0" w:color="auto"/>
        <w:right w:val="none" w:sz="0" w:space="0" w:color="auto"/>
      </w:divBdr>
    </w:div>
    <w:div w:id="1741950611">
      <w:bodyDiv w:val="1"/>
      <w:marLeft w:val="0"/>
      <w:marRight w:val="0"/>
      <w:marTop w:val="0"/>
      <w:marBottom w:val="0"/>
      <w:divBdr>
        <w:top w:val="none" w:sz="0" w:space="0" w:color="auto"/>
        <w:left w:val="none" w:sz="0" w:space="0" w:color="auto"/>
        <w:bottom w:val="none" w:sz="0" w:space="0" w:color="auto"/>
        <w:right w:val="none" w:sz="0" w:space="0" w:color="auto"/>
      </w:divBdr>
    </w:div>
    <w:div w:id="1743870907">
      <w:bodyDiv w:val="1"/>
      <w:marLeft w:val="0"/>
      <w:marRight w:val="0"/>
      <w:marTop w:val="0"/>
      <w:marBottom w:val="0"/>
      <w:divBdr>
        <w:top w:val="none" w:sz="0" w:space="0" w:color="auto"/>
        <w:left w:val="none" w:sz="0" w:space="0" w:color="auto"/>
        <w:bottom w:val="none" w:sz="0" w:space="0" w:color="auto"/>
        <w:right w:val="none" w:sz="0" w:space="0" w:color="auto"/>
      </w:divBdr>
    </w:div>
    <w:div w:id="1744789389">
      <w:bodyDiv w:val="1"/>
      <w:marLeft w:val="0"/>
      <w:marRight w:val="0"/>
      <w:marTop w:val="0"/>
      <w:marBottom w:val="0"/>
      <w:divBdr>
        <w:top w:val="none" w:sz="0" w:space="0" w:color="auto"/>
        <w:left w:val="none" w:sz="0" w:space="0" w:color="auto"/>
        <w:bottom w:val="none" w:sz="0" w:space="0" w:color="auto"/>
        <w:right w:val="none" w:sz="0" w:space="0" w:color="auto"/>
      </w:divBdr>
    </w:div>
    <w:div w:id="1744913398">
      <w:bodyDiv w:val="1"/>
      <w:marLeft w:val="0"/>
      <w:marRight w:val="0"/>
      <w:marTop w:val="0"/>
      <w:marBottom w:val="0"/>
      <w:divBdr>
        <w:top w:val="none" w:sz="0" w:space="0" w:color="auto"/>
        <w:left w:val="none" w:sz="0" w:space="0" w:color="auto"/>
        <w:bottom w:val="none" w:sz="0" w:space="0" w:color="auto"/>
        <w:right w:val="none" w:sz="0" w:space="0" w:color="auto"/>
      </w:divBdr>
    </w:div>
    <w:div w:id="1747996764">
      <w:bodyDiv w:val="1"/>
      <w:marLeft w:val="0"/>
      <w:marRight w:val="0"/>
      <w:marTop w:val="0"/>
      <w:marBottom w:val="0"/>
      <w:divBdr>
        <w:top w:val="none" w:sz="0" w:space="0" w:color="auto"/>
        <w:left w:val="none" w:sz="0" w:space="0" w:color="auto"/>
        <w:bottom w:val="none" w:sz="0" w:space="0" w:color="auto"/>
        <w:right w:val="none" w:sz="0" w:space="0" w:color="auto"/>
      </w:divBdr>
    </w:div>
    <w:div w:id="1750344870">
      <w:bodyDiv w:val="1"/>
      <w:marLeft w:val="0"/>
      <w:marRight w:val="0"/>
      <w:marTop w:val="0"/>
      <w:marBottom w:val="0"/>
      <w:divBdr>
        <w:top w:val="none" w:sz="0" w:space="0" w:color="auto"/>
        <w:left w:val="none" w:sz="0" w:space="0" w:color="auto"/>
        <w:bottom w:val="none" w:sz="0" w:space="0" w:color="auto"/>
        <w:right w:val="none" w:sz="0" w:space="0" w:color="auto"/>
      </w:divBdr>
    </w:div>
    <w:div w:id="1754624720">
      <w:bodyDiv w:val="1"/>
      <w:marLeft w:val="0"/>
      <w:marRight w:val="0"/>
      <w:marTop w:val="0"/>
      <w:marBottom w:val="0"/>
      <w:divBdr>
        <w:top w:val="none" w:sz="0" w:space="0" w:color="auto"/>
        <w:left w:val="none" w:sz="0" w:space="0" w:color="auto"/>
        <w:bottom w:val="none" w:sz="0" w:space="0" w:color="auto"/>
        <w:right w:val="none" w:sz="0" w:space="0" w:color="auto"/>
      </w:divBdr>
    </w:div>
    <w:div w:id="1766995016">
      <w:bodyDiv w:val="1"/>
      <w:marLeft w:val="0"/>
      <w:marRight w:val="0"/>
      <w:marTop w:val="0"/>
      <w:marBottom w:val="0"/>
      <w:divBdr>
        <w:top w:val="none" w:sz="0" w:space="0" w:color="auto"/>
        <w:left w:val="none" w:sz="0" w:space="0" w:color="auto"/>
        <w:bottom w:val="none" w:sz="0" w:space="0" w:color="auto"/>
        <w:right w:val="none" w:sz="0" w:space="0" w:color="auto"/>
      </w:divBdr>
    </w:div>
    <w:div w:id="1774396582">
      <w:bodyDiv w:val="1"/>
      <w:marLeft w:val="0"/>
      <w:marRight w:val="0"/>
      <w:marTop w:val="0"/>
      <w:marBottom w:val="0"/>
      <w:divBdr>
        <w:top w:val="none" w:sz="0" w:space="0" w:color="auto"/>
        <w:left w:val="none" w:sz="0" w:space="0" w:color="auto"/>
        <w:bottom w:val="none" w:sz="0" w:space="0" w:color="auto"/>
        <w:right w:val="none" w:sz="0" w:space="0" w:color="auto"/>
      </w:divBdr>
    </w:div>
    <w:div w:id="1775442486">
      <w:bodyDiv w:val="1"/>
      <w:marLeft w:val="0"/>
      <w:marRight w:val="0"/>
      <w:marTop w:val="0"/>
      <w:marBottom w:val="0"/>
      <w:divBdr>
        <w:top w:val="none" w:sz="0" w:space="0" w:color="auto"/>
        <w:left w:val="none" w:sz="0" w:space="0" w:color="auto"/>
        <w:bottom w:val="none" w:sz="0" w:space="0" w:color="auto"/>
        <w:right w:val="none" w:sz="0" w:space="0" w:color="auto"/>
      </w:divBdr>
    </w:div>
    <w:div w:id="1781412360">
      <w:bodyDiv w:val="1"/>
      <w:marLeft w:val="0"/>
      <w:marRight w:val="0"/>
      <w:marTop w:val="0"/>
      <w:marBottom w:val="0"/>
      <w:divBdr>
        <w:top w:val="none" w:sz="0" w:space="0" w:color="auto"/>
        <w:left w:val="none" w:sz="0" w:space="0" w:color="auto"/>
        <w:bottom w:val="none" w:sz="0" w:space="0" w:color="auto"/>
        <w:right w:val="none" w:sz="0" w:space="0" w:color="auto"/>
      </w:divBdr>
    </w:div>
    <w:div w:id="1785155151">
      <w:bodyDiv w:val="1"/>
      <w:marLeft w:val="0"/>
      <w:marRight w:val="0"/>
      <w:marTop w:val="0"/>
      <w:marBottom w:val="0"/>
      <w:divBdr>
        <w:top w:val="none" w:sz="0" w:space="0" w:color="auto"/>
        <w:left w:val="none" w:sz="0" w:space="0" w:color="auto"/>
        <w:bottom w:val="none" w:sz="0" w:space="0" w:color="auto"/>
        <w:right w:val="none" w:sz="0" w:space="0" w:color="auto"/>
      </w:divBdr>
    </w:div>
    <w:div w:id="1786734254">
      <w:bodyDiv w:val="1"/>
      <w:marLeft w:val="0"/>
      <w:marRight w:val="0"/>
      <w:marTop w:val="0"/>
      <w:marBottom w:val="0"/>
      <w:divBdr>
        <w:top w:val="none" w:sz="0" w:space="0" w:color="auto"/>
        <w:left w:val="none" w:sz="0" w:space="0" w:color="auto"/>
        <w:bottom w:val="none" w:sz="0" w:space="0" w:color="auto"/>
        <w:right w:val="none" w:sz="0" w:space="0" w:color="auto"/>
      </w:divBdr>
    </w:div>
    <w:div w:id="1790123191">
      <w:bodyDiv w:val="1"/>
      <w:marLeft w:val="0"/>
      <w:marRight w:val="0"/>
      <w:marTop w:val="0"/>
      <w:marBottom w:val="0"/>
      <w:divBdr>
        <w:top w:val="none" w:sz="0" w:space="0" w:color="auto"/>
        <w:left w:val="none" w:sz="0" w:space="0" w:color="auto"/>
        <w:bottom w:val="none" w:sz="0" w:space="0" w:color="auto"/>
        <w:right w:val="none" w:sz="0" w:space="0" w:color="auto"/>
      </w:divBdr>
    </w:div>
    <w:div w:id="1791513131">
      <w:bodyDiv w:val="1"/>
      <w:marLeft w:val="0"/>
      <w:marRight w:val="0"/>
      <w:marTop w:val="0"/>
      <w:marBottom w:val="0"/>
      <w:divBdr>
        <w:top w:val="none" w:sz="0" w:space="0" w:color="auto"/>
        <w:left w:val="none" w:sz="0" w:space="0" w:color="auto"/>
        <w:bottom w:val="none" w:sz="0" w:space="0" w:color="auto"/>
        <w:right w:val="none" w:sz="0" w:space="0" w:color="auto"/>
      </w:divBdr>
    </w:div>
    <w:div w:id="1797065029">
      <w:bodyDiv w:val="1"/>
      <w:marLeft w:val="0"/>
      <w:marRight w:val="0"/>
      <w:marTop w:val="0"/>
      <w:marBottom w:val="0"/>
      <w:divBdr>
        <w:top w:val="none" w:sz="0" w:space="0" w:color="auto"/>
        <w:left w:val="none" w:sz="0" w:space="0" w:color="auto"/>
        <w:bottom w:val="none" w:sz="0" w:space="0" w:color="auto"/>
        <w:right w:val="none" w:sz="0" w:space="0" w:color="auto"/>
      </w:divBdr>
    </w:div>
    <w:div w:id="1801730351">
      <w:bodyDiv w:val="1"/>
      <w:marLeft w:val="0"/>
      <w:marRight w:val="0"/>
      <w:marTop w:val="0"/>
      <w:marBottom w:val="0"/>
      <w:divBdr>
        <w:top w:val="none" w:sz="0" w:space="0" w:color="auto"/>
        <w:left w:val="none" w:sz="0" w:space="0" w:color="auto"/>
        <w:bottom w:val="none" w:sz="0" w:space="0" w:color="auto"/>
        <w:right w:val="none" w:sz="0" w:space="0" w:color="auto"/>
      </w:divBdr>
    </w:div>
    <w:div w:id="1807894764">
      <w:bodyDiv w:val="1"/>
      <w:marLeft w:val="0"/>
      <w:marRight w:val="0"/>
      <w:marTop w:val="0"/>
      <w:marBottom w:val="0"/>
      <w:divBdr>
        <w:top w:val="none" w:sz="0" w:space="0" w:color="auto"/>
        <w:left w:val="none" w:sz="0" w:space="0" w:color="auto"/>
        <w:bottom w:val="none" w:sz="0" w:space="0" w:color="auto"/>
        <w:right w:val="none" w:sz="0" w:space="0" w:color="auto"/>
      </w:divBdr>
    </w:div>
    <w:div w:id="1809974603">
      <w:bodyDiv w:val="1"/>
      <w:marLeft w:val="0"/>
      <w:marRight w:val="0"/>
      <w:marTop w:val="0"/>
      <w:marBottom w:val="0"/>
      <w:divBdr>
        <w:top w:val="none" w:sz="0" w:space="0" w:color="auto"/>
        <w:left w:val="none" w:sz="0" w:space="0" w:color="auto"/>
        <w:bottom w:val="none" w:sz="0" w:space="0" w:color="auto"/>
        <w:right w:val="none" w:sz="0" w:space="0" w:color="auto"/>
      </w:divBdr>
    </w:div>
    <w:div w:id="1810590292">
      <w:bodyDiv w:val="1"/>
      <w:marLeft w:val="0"/>
      <w:marRight w:val="0"/>
      <w:marTop w:val="0"/>
      <w:marBottom w:val="0"/>
      <w:divBdr>
        <w:top w:val="none" w:sz="0" w:space="0" w:color="auto"/>
        <w:left w:val="none" w:sz="0" w:space="0" w:color="auto"/>
        <w:bottom w:val="none" w:sz="0" w:space="0" w:color="auto"/>
        <w:right w:val="none" w:sz="0" w:space="0" w:color="auto"/>
      </w:divBdr>
    </w:div>
    <w:div w:id="1811363319">
      <w:bodyDiv w:val="1"/>
      <w:marLeft w:val="0"/>
      <w:marRight w:val="0"/>
      <w:marTop w:val="0"/>
      <w:marBottom w:val="0"/>
      <w:divBdr>
        <w:top w:val="none" w:sz="0" w:space="0" w:color="auto"/>
        <w:left w:val="none" w:sz="0" w:space="0" w:color="auto"/>
        <w:bottom w:val="none" w:sz="0" w:space="0" w:color="auto"/>
        <w:right w:val="none" w:sz="0" w:space="0" w:color="auto"/>
      </w:divBdr>
    </w:div>
    <w:div w:id="1829832315">
      <w:bodyDiv w:val="1"/>
      <w:marLeft w:val="0"/>
      <w:marRight w:val="0"/>
      <w:marTop w:val="0"/>
      <w:marBottom w:val="0"/>
      <w:divBdr>
        <w:top w:val="none" w:sz="0" w:space="0" w:color="auto"/>
        <w:left w:val="none" w:sz="0" w:space="0" w:color="auto"/>
        <w:bottom w:val="none" w:sz="0" w:space="0" w:color="auto"/>
        <w:right w:val="none" w:sz="0" w:space="0" w:color="auto"/>
      </w:divBdr>
    </w:div>
    <w:div w:id="1833989116">
      <w:bodyDiv w:val="1"/>
      <w:marLeft w:val="0"/>
      <w:marRight w:val="0"/>
      <w:marTop w:val="0"/>
      <w:marBottom w:val="0"/>
      <w:divBdr>
        <w:top w:val="none" w:sz="0" w:space="0" w:color="auto"/>
        <w:left w:val="none" w:sz="0" w:space="0" w:color="auto"/>
        <w:bottom w:val="none" w:sz="0" w:space="0" w:color="auto"/>
        <w:right w:val="none" w:sz="0" w:space="0" w:color="auto"/>
      </w:divBdr>
    </w:div>
    <w:div w:id="1841919079">
      <w:bodyDiv w:val="1"/>
      <w:marLeft w:val="0"/>
      <w:marRight w:val="0"/>
      <w:marTop w:val="0"/>
      <w:marBottom w:val="0"/>
      <w:divBdr>
        <w:top w:val="none" w:sz="0" w:space="0" w:color="auto"/>
        <w:left w:val="none" w:sz="0" w:space="0" w:color="auto"/>
        <w:bottom w:val="none" w:sz="0" w:space="0" w:color="auto"/>
        <w:right w:val="none" w:sz="0" w:space="0" w:color="auto"/>
      </w:divBdr>
    </w:div>
    <w:div w:id="1842426474">
      <w:bodyDiv w:val="1"/>
      <w:marLeft w:val="0"/>
      <w:marRight w:val="0"/>
      <w:marTop w:val="0"/>
      <w:marBottom w:val="0"/>
      <w:divBdr>
        <w:top w:val="none" w:sz="0" w:space="0" w:color="auto"/>
        <w:left w:val="none" w:sz="0" w:space="0" w:color="auto"/>
        <w:bottom w:val="none" w:sz="0" w:space="0" w:color="auto"/>
        <w:right w:val="none" w:sz="0" w:space="0" w:color="auto"/>
      </w:divBdr>
    </w:div>
    <w:div w:id="1843810996">
      <w:bodyDiv w:val="1"/>
      <w:marLeft w:val="0"/>
      <w:marRight w:val="0"/>
      <w:marTop w:val="0"/>
      <w:marBottom w:val="0"/>
      <w:divBdr>
        <w:top w:val="none" w:sz="0" w:space="0" w:color="auto"/>
        <w:left w:val="none" w:sz="0" w:space="0" w:color="auto"/>
        <w:bottom w:val="none" w:sz="0" w:space="0" w:color="auto"/>
        <w:right w:val="none" w:sz="0" w:space="0" w:color="auto"/>
      </w:divBdr>
    </w:div>
    <w:div w:id="1843858143">
      <w:bodyDiv w:val="1"/>
      <w:marLeft w:val="0"/>
      <w:marRight w:val="0"/>
      <w:marTop w:val="0"/>
      <w:marBottom w:val="0"/>
      <w:divBdr>
        <w:top w:val="none" w:sz="0" w:space="0" w:color="auto"/>
        <w:left w:val="none" w:sz="0" w:space="0" w:color="auto"/>
        <w:bottom w:val="none" w:sz="0" w:space="0" w:color="auto"/>
        <w:right w:val="none" w:sz="0" w:space="0" w:color="auto"/>
      </w:divBdr>
    </w:div>
    <w:div w:id="1846243081">
      <w:bodyDiv w:val="1"/>
      <w:marLeft w:val="0"/>
      <w:marRight w:val="0"/>
      <w:marTop w:val="0"/>
      <w:marBottom w:val="0"/>
      <w:divBdr>
        <w:top w:val="none" w:sz="0" w:space="0" w:color="auto"/>
        <w:left w:val="none" w:sz="0" w:space="0" w:color="auto"/>
        <w:bottom w:val="none" w:sz="0" w:space="0" w:color="auto"/>
        <w:right w:val="none" w:sz="0" w:space="0" w:color="auto"/>
      </w:divBdr>
    </w:div>
    <w:div w:id="1856263302">
      <w:bodyDiv w:val="1"/>
      <w:marLeft w:val="0"/>
      <w:marRight w:val="0"/>
      <w:marTop w:val="0"/>
      <w:marBottom w:val="0"/>
      <w:divBdr>
        <w:top w:val="none" w:sz="0" w:space="0" w:color="auto"/>
        <w:left w:val="none" w:sz="0" w:space="0" w:color="auto"/>
        <w:bottom w:val="none" w:sz="0" w:space="0" w:color="auto"/>
        <w:right w:val="none" w:sz="0" w:space="0" w:color="auto"/>
      </w:divBdr>
    </w:div>
    <w:div w:id="1861434020">
      <w:bodyDiv w:val="1"/>
      <w:marLeft w:val="0"/>
      <w:marRight w:val="0"/>
      <w:marTop w:val="0"/>
      <w:marBottom w:val="0"/>
      <w:divBdr>
        <w:top w:val="none" w:sz="0" w:space="0" w:color="auto"/>
        <w:left w:val="none" w:sz="0" w:space="0" w:color="auto"/>
        <w:bottom w:val="none" w:sz="0" w:space="0" w:color="auto"/>
        <w:right w:val="none" w:sz="0" w:space="0" w:color="auto"/>
      </w:divBdr>
    </w:div>
    <w:div w:id="1871528885">
      <w:bodyDiv w:val="1"/>
      <w:marLeft w:val="0"/>
      <w:marRight w:val="0"/>
      <w:marTop w:val="0"/>
      <w:marBottom w:val="0"/>
      <w:divBdr>
        <w:top w:val="none" w:sz="0" w:space="0" w:color="auto"/>
        <w:left w:val="none" w:sz="0" w:space="0" w:color="auto"/>
        <w:bottom w:val="none" w:sz="0" w:space="0" w:color="auto"/>
        <w:right w:val="none" w:sz="0" w:space="0" w:color="auto"/>
      </w:divBdr>
    </w:div>
    <w:div w:id="1873759089">
      <w:bodyDiv w:val="1"/>
      <w:marLeft w:val="0"/>
      <w:marRight w:val="0"/>
      <w:marTop w:val="0"/>
      <w:marBottom w:val="0"/>
      <w:divBdr>
        <w:top w:val="none" w:sz="0" w:space="0" w:color="auto"/>
        <w:left w:val="none" w:sz="0" w:space="0" w:color="auto"/>
        <w:bottom w:val="none" w:sz="0" w:space="0" w:color="auto"/>
        <w:right w:val="none" w:sz="0" w:space="0" w:color="auto"/>
      </w:divBdr>
    </w:div>
    <w:div w:id="1877428495">
      <w:bodyDiv w:val="1"/>
      <w:marLeft w:val="0"/>
      <w:marRight w:val="0"/>
      <w:marTop w:val="0"/>
      <w:marBottom w:val="0"/>
      <w:divBdr>
        <w:top w:val="none" w:sz="0" w:space="0" w:color="auto"/>
        <w:left w:val="none" w:sz="0" w:space="0" w:color="auto"/>
        <w:bottom w:val="none" w:sz="0" w:space="0" w:color="auto"/>
        <w:right w:val="none" w:sz="0" w:space="0" w:color="auto"/>
      </w:divBdr>
    </w:div>
    <w:div w:id="1878854638">
      <w:bodyDiv w:val="1"/>
      <w:marLeft w:val="0"/>
      <w:marRight w:val="0"/>
      <w:marTop w:val="0"/>
      <w:marBottom w:val="0"/>
      <w:divBdr>
        <w:top w:val="none" w:sz="0" w:space="0" w:color="auto"/>
        <w:left w:val="none" w:sz="0" w:space="0" w:color="auto"/>
        <w:bottom w:val="none" w:sz="0" w:space="0" w:color="auto"/>
        <w:right w:val="none" w:sz="0" w:space="0" w:color="auto"/>
      </w:divBdr>
    </w:div>
    <w:div w:id="1881165041">
      <w:bodyDiv w:val="1"/>
      <w:marLeft w:val="0"/>
      <w:marRight w:val="0"/>
      <w:marTop w:val="0"/>
      <w:marBottom w:val="0"/>
      <w:divBdr>
        <w:top w:val="none" w:sz="0" w:space="0" w:color="auto"/>
        <w:left w:val="none" w:sz="0" w:space="0" w:color="auto"/>
        <w:bottom w:val="none" w:sz="0" w:space="0" w:color="auto"/>
        <w:right w:val="none" w:sz="0" w:space="0" w:color="auto"/>
      </w:divBdr>
    </w:div>
    <w:div w:id="1883008102">
      <w:bodyDiv w:val="1"/>
      <w:marLeft w:val="0"/>
      <w:marRight w:val="0"/>
      <w:marTop w:val="0"/>
      <w:marBottom w:val="0"/>
      <w:divBdr>
        <w:top w:val="none" w:sz="0" w:space="0" w:color="auto"/>
        <w:left w:val="none" w:sz="0" w:space="0" w:color="auto"/>
        <w:bottom w:val="none" w:sz="0" w:space="0" w:color="auto"/>
        <w:right w:val="none" w:sz="0" w:space="0" w:color="auto"/>
      </w:divBdr>
    </w:div>
    <w:div w:id="1883054559">
      <w:bodyDiv w:val="1"/>
      <w:marLeft w:val="0"/>
      <w:marRight w:val="0"/>
      <w:marTop w:val="0"/>
      <w:marBottom w:val="0"/>
      <w:divBdr>
        <w:top w:val="none" w:sz="0" w:space="0" w:color="auto"/>
        <w:left w:val="none" w:sz="0" w:space="0" w:color="auto"/>
        <w:bottom w:val="none" w:sz="0" w:space="0" w:color="auto"/>
        <w:right w:val="none" w:sz="0" w:space="0" w:color="auto"/>
      </w:divBdr>
    </w:div>
    <w:div w:id="1885369616">
      <w:bodyDiv w:val="1"/>
      <w:marLeft w:val="0"/>
      <w:marRight w:val="0"/>
      <w:marTop w:val="0"/>
      <w:marBottom w:val="0"/>
      <w:divBdr>
        <w:top w:val="none" w:sz="0" w:space="0" w:color="auto"/>
        <w:left w:val="none" w:sz="0" w:space="0" w:color="auto"/>
        <w:bottom w:val="none" w:sz="0" w:space="0" w:color="auto"/>
        <w:right w:val="none" w:sz="0" w:space="0" w:color="auto"/>
      </w:divBdr>
    </w:div>
    <w:div w:id="1886674576">
      <w:bodyDiv w:val="1"/>
      <w:marLeft w:val="0"/>
      <w:marRight w:val="0"/>
      <w:marTop w:val="0"/>
      <w:marBottom w:val="0"/>
      <w:divBdr>
        <w:top w:val="none" w:sz="0" w:space="0" w:color="auto"/>
        <w:left w:val="none" w:sz="0" w:space="0" w:color="auto"/>
        <w:bottom w:val="none" w:sz="0" w:space="0" w:color="auto"/>
        <w:right w:val="none" w:sz="0" w:space="0" w:color="auto"/>
      </w:divBdr>
    </w:div>
    <w:div w:id="1889102623">
      <w:bodyDiv w:val="1"/>
      <w:marLeft w:val="0"/>
      <w:marRight w:val="0"/>
      <w:marTop w:val="0"/>
      <w:marBottom w:val="0"/>
      <w:divBdr>
        <w:top w:val="none" w:sz="0" w:space="0" w:color="auto"/>
        <w:left w:val="none" w:sz="0" w:space="0" w:color="auto"/>
        <w:bottom w:val="none" w:sz="0" w:space="0" w:color="auto"/>
        <w:right w:val="none" w:sz="0" w:space="0" w:color="auto"/>
      </w:divBdr>
    </w:div>
    <w:div w:id="1893694269">
      <w:bodyDiv w:val="1"/>
      <w:marLeft w:val="0"/>
      <w:marRight w:val="0"/>
      <w:marTop w:val="0"/>
      <w:marBottom w:val="0"/>
      <w:divBdr>
        <w:top w:val="none" w:sz="0" w:space="0" w:color="auto"/>
        <w:left w:val="none" w:sz="0" w:space="0" w:color="auto"/>
        <w:bottom w:val="none" w:sz="0" w:space="0" w:color="auto"/>
        <w:right w:val="none" w:sz="0" w:space="0" w:color="auto"/>
      </w:divBdr>
    </w:div>
    <w:div w:id="1898008694">
      <w:bodyDiv w:val="1"/>
      <w:marLeft w:val="0"/>
      <w:marRight w:val="0"/>
      <w:marTop w:val="0"/>
      <w:marBottom w:val="0"/>
      <w:divBdr>
        <w:top w:val="none" w:sz="0" w:space="0" w:color="auto"/>
        <w:left w:val="none" w:sz="0" w:space="0" w:color="auto"/>
        <w:bottom w:val="none" w:sz="0" w:space="0" w:color="auto"/>
        <w:right w:val="none" w:sz="0" w:space="0" w:color="auto"/>
      </w:divBdr>
    </w:div>
    <w:div w:id="1903828986">
      <w:bodyDiv w:val="1"/>
      <w:marLeft w:val="0"/>
      <w:marRight w:val="0"/>
      <w:marTop w:val="0"/>
      <w:marBottom w:val="0"/>
      <w:divBdr>
        <w:top w:val="none" w:sz="0" w:space="0" w:color="auto"/>
        <w:left w:val="none" w:sz="0" w:space="0" w:color="auto"/>
        <w:bottom w:val="none" w:sz="0" w:space="0" w:color="auto"/>
        <w:right w:val="none" w:sz="0" w:space="0" w:color="auto"/>
      </w:divBdr>
    </w:div>
    <w:div w:id="1905139437">
      <w:bodyDiv w:val="1"/>
      <w:marLeft w:val="0"/>
      <w:marRight w:val="0"/>
      <w:marTop w:val="0"/>
      <w:marBottom w:val="0"/>
      <w:divBdr>
        <w:top w:val="none" w:sz="0" w:space="0" w:color="auto"/>
        <w:left w:val="none" w:sz="0" w:space="0" w:color="auto"/>
        <w:bottom w:val="none" w:sz="0" w:space="0" w:color="auto"/>
        <w:right w:val="none" w:sz="0" w:space="0" w:color="auto"/>
      </w:divBdr>
    </w:div>
    <w:div w:id="1905531075">
      <w:bodyDiv w:val="1"/>
      <w:marLeft w:val="0"/>
      <w:marRight w:val="0"/>
      <w:marTop w:val="0"/>
      <w:marBottom w:val="0"/>
      <w:divBdr>
        <w:top w:val="none" w:sz="0" w:space="0" w:color="auto"/>
        <w:left w:val="none" w:sz="0" w:space="0" w:color="auto"/>
        <w:bottom w:val="none" w:sz="0" w:space="0" w:color="auto"/>
        <w:right w:val="none" w:sz="0" w:space="0" w:color="auto"/>
      </w:divBdr>
    </w:div>
    <w:div w:id="1907952555">
      <w:bodyDiv w:val="1"/>
      <w:marLeft w:val="0"/>
      <w:marRight w:val="0"/>
      <w:marTop w:val="0"/>
      <w:marBottom w:val="0"/>
      <w:divBdr>
        <w:top w:val="none" w:sz="0" w:space="0" w:color="auto"/>
        <w:left w:val="none" w:sz="0" w:space="0" w:color="auto"/>
        <w:bottom w:val="none" w:sz="0" w:space="0" w:color="auto"/>
        <w:right w:val="none" w:sz="0" w:space="0" w:color="auto"/>
      </w:divBdr>
    </w:div>
    <w:div w:id="1910114900">
      <w:bodyDiv w:val="1"/>
      <w:marLeft w:val="0"/>
      <w:marRight w:val="0"/>
      <w:marTop w:val="0"/>
      <w:marBottom w:val="0"/>
      <w:divBdr>
        <w:top w:val="none" w:sz="0" w:space="0" w:color="auto"/>
        <w:left w:val="none" w:sz="0" w:space="0" w:color="auto"/>
        <w:bottom w:val="none" w:sz="0" w:space="0" w:color="auto"/>
        <w:right w:val="none" w:sz="0" w:space="0" w:color="auto"/>
      </w:divBdr>
    </w:div>
    <w:div w:id="1917204360">
      <w:bodyDiv w:val="1"/>
      <w:marLeft w:val="0"/>
      <w:marRight w:val="0"/>
      <w:marTop w:val="0"/>
      <w:marBottom w:val="0"/>
      <w:divBdr>
        <w:top w:val="none" w:sz="0" w:space="0" w:color="auto"/>
        <w:left w:val="none" w:sz="0" w:space="0" w:color="auto"/>
        <w:bottom w:val="none" w:sz="0" w:space="0" w:color="auto"/>
        <w:right w:val="none" w:sz="0" w:space="0" w:color="auto"/>
      </w:divBdr>
    </w:div>
    <w:div w:id="1918713188">
      <w:bodyDiv w:val="1"/>
      <w:marLeft w:val="0"/>
      <w:marRight w:val="0"/>
      <w:marTop w:val="0"/>
      <w:marBottom w:val="0"/>
      <w:divBdr>
        <w:top w:val="none" w:sz="0" w:space="0" w:color="auto"/>
        <w:left w:val="none" w:sz="0" w:space="0" w:color="auto"/>
        <w:bottom w:val="none" w:sz="0" w:space="0" w:color="auto"/>
        <w:right w:val="none" w:sz="0" w:space="0" w:color="auto"/>
      </w:divBdr>
    </w:div>
    <w:div w:id="1920559837">
      <w:bodyDiv w:val="1"/>
      <w:marLeft w:val="0"/>
      <w:marRight w:val="0"/>
      <w:marTop w:val="0"/>
      <w:marBottom w:val="0"/>
      <w:divBdr>
        <w:top w:val="none" w:sz="0" w:space="0" w:color="auto"/>
        <w:left w:val="none" w:sz="0" w:space="0" w:color="auto"/>
        <w:bottom w:val="none" w:sz="0" w:space="0" w:color="auto"/>
        <w:right w:val="none" w:sz="0" w:space="0" w:color="auto"/>
      </w:divBdr>
    </w:div>
    <w:div w:id="1921674102">
      <w:bodyDiv w:val="1"/>
      <w:marLeft w:val="0"/>
      <w:marRight w:val="0"/>
      <w:marTop w:val="0"/>
      <w:marBottom w:val="0"/>
      <w:divBdr>
        <w:top w:val="none" w:sz="0" w:space="0" w:color="auto"/>
        <w:left w:val="none" w:sz="0" w:space="0" w:color="auto"/>
        <w:bottom w:val="none" w:sz="0" w:space="0" w:color="auto"/>
        <w:right w:val="none" w:sz="0" w:space="0" w:color="auto"/>
      </w:divBdr>
    </w:div>
    <w:div w:id="1921796009">
      <w:bodyDiv w:val="1"/>
      <w:marLeft w:val="0"/>
      <w:marRight w:val="0"/>
      <w:marTop w:val="0"/>
      <w:marBottom w:val="0"/>
      <w:divBdr>
        <w:top w:val="none" w:sz="0" w:space="0" w:color="auto"/>
        <w:left w:val="none" w:sz="0" w:space="0" w:color="auto"/>
        <w:bottom w:val="none" w:sz="0" w:space="0" w:color="auto"/>
        <w:right w:val="none" w:sz="0" w:space="0" w:color="auto"/>
      </w:divBdr>
    </w:div>
    <w:div w:id="1925989675">
      <w:bodyDiv w:val="1"/>
      <w:marLeft w:val="0"/>
      <w:marRight w:val="0"/>
      <w:marTop w:val="0"/>
      <w:marBottom w:val="0"/>
      <w:divBdr>
        <w:top w:val="none" w:sz="0" w:space="0" w:color="auto"/>
        <w:left w:val="none" w:sz="0" w:space="0" w:color="auto"/>
        <w:bottom w:val="none" w:sz="0" w:space="0" w:color="auto"/>
        <w:right w:val="none" w:sz="0" w:space="0" w:color="auto"/>
      </w:divBdr>
    </w:div>
    <w:div w:id="1929343509">
      <w:bodyDiv w:val="1"/>
      <w:marLeft w:val="0"/>
      <w:marRight w:val="0"/>
      <w:marTop w:val="0"/>
      <w:marBottom w:val="0"/>
      <w:divBdr>
        <w:top w:val="none" w:sz="0" w:space="0" w:color="auto"/>
        <w:left w:val="none" w:sz="0" w:space="0" w:color="auto"/>
        <w:bottom w:val="none" w:sz="0" w:space="0" w:color="auto"/>
        <w:right w:val="none" w:sz="0" w:space="0" w:color="auto"/>
      </w:divBdr>
    </w:div>
    <w:div w:id="1930574579">
      <w:bodyDiv w:val="1"/>
      <w:marLeft w:val="0"/>
      <w:marRight w:val="0"/>
      <w:marTop w:val="0"/>
      <w:marBottom w:val="0"/>
      <w:divBdr>
        <w:top w:val="none" w:sz="0" w:space="0" w:color="auto"/>
        <w:left w:val="none" w:sz="0" w:space="0" w:color="auto"/>
        <w:bottom w:val="none" w:sz="0" w:space="0" w:color="auto"/>
        <w:right w:val="none" w:sz="0" w:space="0" w:color="auto"/>
      </w:divBdr>
    </w:div>
    <w:div w:id="1931546581">
      <w:bodyDiv w:val="1"/>
      <w:marLeft w:val="0"/>
      <w:marRight w:val="0"/>
      <w:marTop w:val="0"/>
      <w:marBottom w:val="0"/>
      <w:divBdr>
        <w:top w:val="none" w:sz="0" w:space="0" w:color="auto"/>
        <w:left w:val="none" w:sz="0" w:space="0" w:color="auto"/>
        <w:bottom w:val="none" w:sz="0" w:space="0" w:color="auto"/>
        <w:right w:val="none" w:sz="0" w:space="0" w:color="auto"/>
      </w:divBdr>
    </w:div>
    <w:div w:id="1932859270">
      <w:bodyDiv w:val="1"/>
      <w:marLeft w:val="0"/>
      <w:marRight w:val="0"/>
      <w:marTop w:val="0"/>
      <w:marBottom w:val="0"/>
      <w:divBdr>
        <w:top w:val="none" w:sz="0" w:space="0" w:color="auto"/>
        <w:left w:val="none" w:sz="0" w:space="0" w:color="auto"/>
        <w:bottom w:val="none" w:sz="0" w:space="0" w:color="auto"/>
        <w:right w:val="none" w:sz="0" w:space="0" w:color="auto"/>
      </w:divBdr>
    </w:div>
    <w:div w:id="1935242712">
      <w:bodyDiv w:val="1"/>
      <w:marLeft w:val="0"/>
      <w:marRight w:val="0"/>
      <w:marTop w:val="0"/>
      <w:marBottom w:val="0"/>
      <w:divBdr>
        <w:top w:val="none" w:sz="0" w:space="0" w:color="auto"/>
        <w:left w:val="none" w:sz="0" w:space="0" w:color="auto"/>
        <w:bottom w:val="none" w:sz="0" w:space="0" w:color="auto"/>
        <w:right w:val="none" w:sz="0" w:space="0" w:color="auto"/>
      </w:divBdr>
    </w:div>
    <w:div w:id="1935942713">
      <w:bodyDiv w:val="1"/>
      <w:marLeft w:val="0"/>
      <w:marRight w:val="0"/>
      <w:marTop w:val="0"/>
      <w:marBottom w:val="0"/>
      <w:divBdr>
        <w:top w:val="none" w:sz="0" w:space="0" w:color="auto"/>
        <w:left w:val="none" w:sz="0" w:space="0" w:color="auto"/>
        <w:bottom w:val="none" w:sz="0" w:space="0" w:color="auto"/>
        <w:right w:val="none" w:sz="0" w:space="0" w:color="auto"/>
      </w:divBdr>
    </w:div>
    <w:div w:id="1936741993">
      <w:bodyDiv w:val="1"/>
      <w:marLeft w:val="0"/>
      <w:marRight w:val="0"/>
      <w:marTop w:val="0"/>
      <w:marBottom w:val="0"/>
      <w:divBdr>
        <w:top w:val="none" w:sz="0" w:space="0" w:color="auto"/>
        <w:left w:val="none" w:sz="0" w:space="0" w:color="auto"/>
        <w:bottom w:val="none" w:sz="0" w:space="0" w:color="auto"/>
        <w:right w:val="none" w:sz="0" w:space="0" w:color="auto"/>
      </w:divBdr>
      <w:divsChild>
        <w:div w:id="1704862743">
          <w:marLeft w:val="0"/>
          <w:marRight w:val="0"/>
          <w:marTop w:val="0"/>
          <w:marBottom w:val="0"/>
          <w:divBdr>
            <w:top w:val="none" w:sz="0" w:space="0" w:color="auto"/>
            <w:left w:val="none" w:sz="0" w:space="0" w:color="auto"/>
            <w:bottom w:val="none" w:sz="0" w:space="0" w:color="auto"/>
            <w:right w:val="none" w:sz="0" w:space="0" w:color="auto"/>
          </w:divBdr>
        </w:div>
        <w:div w:id="692727954">
          <w:marLeft w:val="0"/>
          <w:marRight w:val="0"/>
          <w:marTop w:val="0"/>
          <w:marBottom w:val="0"/>
          <w:divBdr>
            <w:top w:val="none" w:sz="0" w:space="0" w:color="auto"/>
            <w:left w:val="none" w:sz="0" w:space="0" w:color="auto"/>
            <w:bottom w:val="none" w:sz="0" w:space="0" w:color="auto"/>
            <w:right w:val="none" w:sz="0" w:space="0" w:color="auto"/>
          </w:divBdr>
        </w:div>
        <w:div w:id="1749615019">
          <w:marLeft w:val="0"/>
          <w:marRight w:val="0"/>
          <w:marTop w:val="0"/>
          <w:marBottom w:val="0"/>
          <w:divBdr>
            <w:top w:val="none" w:sz="0" w:space="0" w:color="auto"/>
            <w:left w:val="none" w:sz="0" w:space="0" w:color="auto"/>
            <w:bottom w:val="none" w:sz="0" w:space="0" w:color="auto"/>
            <w:right w:val="none" w:sz="0" w:space="0" w:color="auto"/>
          </w:divBdr>
        </w:div>
        <w:div w:id="346559183">
          <w:marLeft w:val="0"/>
          <w:marRight w:val="0"/>
          <w:marTop w:val="0"/>
          <w:marBottom w:val="0"/>
          <w:divBdr>
            <w:top w:val="none" w:sz="0" w:space="0" w:color="auto"/>
            <w:left w:val="none" w:sz="0" w:space="0" w:color="auto"/>
            <w:bottom w:val="none" w:sz="0" w:space="0" w:color="auto"/>
            <w:right w:val="none" w:sz="0" w:space="0" w:color="auto"/>
          </w:divBdr>
        </w:div>
        <w:div w:id="519662400">
          <w:marLeft w:val="0"/>
          <w:marRight w:val="0"/>
          <w:marTop w:val="0"/>
          <w:marBottom w:val="0"/>
          <w:divBdr>
            <w:top w:val="none" w:sz="0" w:space="0" w:color="auto"/>
            <w:left w:val="none" w:sz="0" w:space="0" w:color="auto"/>
            <w:bottom w:val="none" w:sz="0" w:space="0" w:color="auto"/>
            <w:right w:val="none" w:sz="0" w:space="0" w:color="auto"/>
          </w:divBdr>
        </w:div>
        <w:div w:id="791048584">
          <w:marLeft w:val="0"/>
          <w:marRight w:val="0"/>
          <w:marTop w:val="0"/>
          <w:marBottom w:val="0"/>
          <w:divBdr>
            <w:top w:val="none" w:sz="0" w:space="0" w:color="auto"/>
            <w:left w:val="none" w:sz="0" w:space="0" w:color="auto"/>
            <w:bottom w:val="none" w:sz="0" w:space="0" w:color="auto"/>
            <w:right w:val="none" w:sz="0" w:space="0" w:color="auto"/>
          </w:divBdr>
        </w:div>
        <w:div w:id="553153918">
          <w:marLeft w:val="0"/>
          <w:marRight w:val="0"/>
          <w:marTop w:val="0"/>
          <w:marBottom w:val="0"/>
          <w:divBdr>
            <w:top w:val="none" w:sz="0" w:space="0" w:color="auto"/>
            <w:left w:val="none" w:sz="0" w:space="0" w:color="auto"/>
            <w:bottom w:val="none" w:sz="0" w:space="0" w:color="auto"/>
            <w:right w:val="none" w:sz="0" w:space="0" w:color="auto"/>
          </w:divBdr>
        </w:div>
        <w:div w:id="437870911">
          <w:marLeft w:val="0"/>
          <w:marRight w:val="0"/>
          <w:marTop w:val="0"/>
          <w:marBottom w:val="0"/>
          <w:divBdr>
            <w:top w:val="none" w:sz="0" w:space="0" w:color="auto"/>
            <w:left w:val="none" w:sz="0" w:space="0" w:color="auto"/>
            <w:bottom w:val="none" w:sz="0" w:space="0" w:color="auto"/>
            <w:right w:val="none" w:sz="0" w:space="0" w:color="auto"/>
          </w:divBdr>
        </w:div>
        <w:div w:id="1245804051">
          <w:marLeft w:val="0"/>
          <w:marRight w:val="0"/>
          <w:marTop w:val="0"/>
          <w:marBottom w:val="0"/>
          <w:divBdr>
            <w:top w:val="none" w:sz="0" w:space="0" w:color="auto"/>
            <w:left w:val="none" w:sz="0" w:space="0" w:color="auto"/>
            <w:bottom w:val="none" w:sz="0" w:space="0" w:color="auto"/>
            <w:right w:val="none" w:sz="0" w:space="0" w:color="auto"/>
          </w:divBdr>
        </w:div>
        <w:div w:id="1956979890">
          <w:marLeft w:val="0"/>
          <w:marRight w:val="0"/>
          <w:marTop w:val="0"/>
          <w:marBottom w:val="0"/>
          <w:divBdr>
            <w:top w:val="none" w:sz="0" w:space="0" w:color="auto"/>
            <w:left w:val="none" w:sz="0" w:space="0" w:color="auto"/>
            <w:bottom w:val="none" w:sz="0" w:space="0" w:color="auto"/>
            <w:right w:val="none" w:sz="0" w:space="0" w:color="auto"/>
          </w:divBdr>
        </w:div>
        <w:div w:id="1189441998">
          <w:marLeft w:val="0"/>
          <w:marRight w:val="0"/>
          <w:marTop w:val="0"/>
          <w:marBottom w:val="0"/>
          <w:divBdr>
            <w:top w:val="none" w:sz="0" w:space="0" w:color="auto"/>
            <w:left w:val="none" w:sz="0" w:space="0" w:color="auto"/>
            <w:bottom w:val="none" w:sz="0" w:space="0" w:color="auto"/>
            <w:right w:val="none" w:sz="0" w:space="0" w:color="auto"/>
          </w:divBdr>
        </w:div>
        <w:div w:id="184908390">
          <w:marLeft w:val="0"/>
          <w:marRight w:val="0"/>
          <w:marTop w:val="0"/>
          <w:marBottom w:val="0"/>
          <w:divBdr>
            <w:top w:val="none" w:sz="0" w:space="0" w:color="auto"/>
            <w:left w:val="none" w:sz="0" w:space="0" w:color="auto"/>
            <w:bottom w:val="none" w:sz="0" w:space="0" w:color="auto"/>
            <w:right w:val="none" w:sz="0" w:space="0" w:color="auto"/>
          </w:divBdr>
        </w:div>
        <w:div w:id="1420254055">
          <w:marLeft w:val="0"/>
          <w:marRight w:val="0"/>
          <w:marTop w:val="0"/>
          <w:marBottom w:val="0"/>
          <w:divBdr>
            <w:top w:val="none" w:sz="0" w:space="0" w:color="auto"/>
            <w:left w:val="none" w:sz="0" w:space="0" w:color="auto"/>
            <w:bottom w:val="none" w:sz="0" w:space="0" w:color="auto"/>
            <w:right w:val="none" w:sz="0" w:space="0" w:color="auto"/>
          </w:divBdr>
        </w:div>
        <w:div w:id="291639181">
          <w:marLeft w:val="0"/>
          <w:marRight w:val="0"/>
          <w:marTop w:val="0"/>
          <w:marBottom w:val="0"/>
          <w:divBdr>
            <w:top w:val="none" w:sz="0" w:space="0" w:color="auto"/>
            <w:left w:val="none" w:sz="0" w:space="0" w:color="auto"/>
            <w:bottom w:val="none" w:sz="0" w:space="0" w:color="auto"/>
            <w:right w:val="none" w:sz="0" w:space="0" w:color="auto"/>
          </w:divBdr>
        </w:div>
        <w:div w:id="775711844">
          <w:marLeft w:val="0"/>
          <w:marRight w:val="0"/>
          <w:marTop w:val="0"/>
          <w:marBottom w:val="0"/>
          <w:divBdr>
            <w:top w:val="none" w:sz="0" w:space="0" w:color="auto"/>
            <w:left w:val="none" w:sz="0" w:space="0" w:color="auto"/>
            <w:bottom w:val="none" w:sz="0" w:space="0" w:color="auto"/>
            <w:right w:val="none" w:sz="0" w:space="0" w:color="auto"/>
          </w:divBdr>
        </w:div>
        <w:div w:id="1896576846">
          <w:marLeft w:val="0"/>
          <w:marRight w:val="0"/>
          <w:marTop w:val="0"/>
          <w:marBottom w:val="0"/>
          <w:divBdr>
            <w:top w:val="none" w:sz="0" w:space="0" w:color="auto"/>
            <w:left w:val="none" w:sz="0" w:space="0" w:color="auto"/>
            <w:bottom w:val="none" w:sz="0" w:space="0" w:color="auto"/>
            <w:right w:val="none" w:sz="0" w:space="0" w:color="auto"/>
          </w:divBdr>
        </w:div>
        <w:div w:id="540747059">
          <w:marLeft w:val="0"/>
          <w:marRight w:val="0"/>
          <w:marTop w:val="0"/>
          <w:marBottom w:val="0"/>
          <w:divBdr>
            <w:top w:val="none" w:sz="0" w:space="0" w:color="auto"/>
            <w:left w:val="none" w:sz="0" w:space="0" w:color="auto"/>
            <w:bottom w:val="none" w:sz="0" w:space="0" w:color="auto"/>
            <w:right w:val="none" w:sz="0" w:space="0" w:color="auto"/>
          </w:divBdr>
        </w:div>
        <w:div w:id="870385822">
          <w:marLeft w:val="0"/>
          <w:marRight w:val="0"/>
          <w:marTop w:val="0"/>
          <w:marBottom w:val="0"/>
          <w:divBdr>
            <w:top w:val="none" w:sz="0" w:space="0" w:color="auto"/>
            <w:left w:val="none" w:sz="0" w:space="0" w:color="auto"/>
            <w:bottom w:val="none" w:sz="0" w:space="0" w:color="auto"/>
            <w:right w:val="none" w:sz="0" w:space="0" w:color="auto"/>
          </w:divBdr>
        </w:div>
        <w:div w:id="597252822">
          <w:marLeft w:val="0"/>
          <w:marRight w:val="0"/>
          <w:marTop w:val="0"/>
          <w:marBottom w:val="0"/>
          <w:divBdr>
            <w:top w:val="none" w:sz="0" w:space="0" w:color="auto"/>
            <w:left w:val="none" w:sz="0" w:space="0" w:color="auto"/>
            <w:bottom w:val="none" w:sz="0" w:space="0" w:color="auto"/>
            <w:right w:val="none" w:sz="0" w:space="0" w:color="auto"/>
          </w:divBdr>
        </w:div>
        <w:div w:id="1775982087">
          <w:marLeft w:val="0"/>
          <w:marRight w:val="0"/>
          <w:marTop w:val="0"/>
          <w:marBottom w:val="0"/>
          <w:divBdr>
            <w:top w:val="none" w:sz="0" w:space="0" w:color="auto"/>
            <w:left w:val="none" w:sz="0" w:space="0" w:color="auto"/>
            <w:bottom w:val="none" w:sz="0" w:space="0" w:color="auto"/>
            <w:right w:val="none" w:sz="0" w:space="0" w:color="auto"/>
          </w:divBdr>
        </w:div>
        <w:div w:id="2116830156">
          <w:marLeft w:val="0"/>
          <w:marRight w:val="0"/>
          <w:marTop w:val="0"/>
          <w:marBottom w:val="0"/>
          <w:divBdr>
            <w:top w:val="none" w:sz="0" w:space="0" w:color="auto"/>
            <w:left w:val="none" w:sz="0" w:space="0" w:color="auto"/>
            <w:bottom w:val="none" w:sz="0" w:space="0" w:color="auto"/>
            <w:right w:val="none" w:sz="0" w:space="0" w:color="auto"/>
          </w:divBdr>
        </w:div>
        <w:div w:id="173883491">
          <w:marLeft w:val="0"/>
          <w:marRight w:val="0"/>
          <w:marTop w:val="0"/>
          <w:marBottom w:val="0"/>
          <w:divBdr>
            <w:top w:val="none" w:sz="0" w:space="0" w:color="auto"/>
            <w:left w:val="none" w:sz="0" w:space="0" w:color="auto"/>
            <w:bottom w:val="none" w:sz="0" w:space="0" w:color="auto"/>
            <w:right w:val="none" w:sz="0" w:space="0" w:color="auto"/>
          </w:divBdr>
        </w:div>
        <w:div w:id="1049299353">
          <w:marLeft w:val="0"/>
          <w:marRight w:val="0"/>
          <w:marTop w:val="0"/>
          <w:marBottom w:val="0"/>
          <w:divBdr>
            <w:top w:val="none" w:sz="0" w:space="0" w:color="auto"/>
            <w:left w:val="none" w:sz="0" w:space="0" w:color="auto"/>
            <w:bottom w:val="none" w:sz="0" w:space="0" w:color="auto"/>
            <w:right w:val="none" w:sz="0" w:space="0" w:color="auto"/>
          </w:divBdr>
        </w:div>
        <w:div w:id="1198815090">
          <w:marLeft w:val="0"/>
          <w:marRight w:val="0"/>
          <w:marTop w:val="0"/>
          <w:marBottom w:val="0"/>
          <w:divBdr>
            <w:top w:val="none" w:sz="0" w:space="0" w:color="auto"/>
            <w:left w:val="none" w:sz="0" w:space="0" w:color="auto"/>
            <w:bottom w:val="none" w:sz="0" w:space="0" w:color="auto"/>
            <w:right w:val="none" w:sz="0" w:space="0" w:color="auto"/>
          </w:divBdr>
        </w:div>
        <w:div w:id="1810315439">
          <w:marLeft w:val="0"/>
          <w:marRight w:val="0"/>
          <w:marTop w:val="0"/>
          <w:marBottom w:val="0"/>
          <w:divBdr>
            <w:top w:val="none" w:sz="0" w:space="0" w:color="auto"/>
            <w:left w:val="none" w:sz="0" w:space="0" w:color="auto"/>
            <w:bottom w:val="none" w:sz="0" w:space="0" w:color="auto"/>
            <w:right w:val="none" w:sz="0" w:space="0" w:color="auto"/>
          </w:divBdr>
        </w:div>
        <w:div w:id="478302402">
          <w:marLeft w:val="0"/>
          <w:marRight w:val="0"/>
          <w:marTop w:val="0"/>
          <w:marBottom w:val="0"/>
          <w:divBdr>
            <w:top w:val="none" w:sz="0" w:space="0" w:color="auto"/>
            <w:left w:val="none" w:sz="0" w:space="0" w:color="auto"/>
            <w:bottom w:val="none" w:sz="0" w:space="0" w:color="auto"/>
            <w:right w:val="none" w:sz="0" w:space="0" w:color="auto"/>
          </w:divBdr>
        </w:div>
        <w:div w:id="1140347680">
          <w:marLeft w:val="0"/>
          <w:marRight w:val="0"/>
          <w:marTop w:val="0"/>
          <w:marBottom w:val="0"/>
          <w:divBdr>
            <w:top w:val="none" w:sz="0" w:space="0" w:color="auto"/>
            <w:left w:val="none" w:sz="0" w:space="0" w:color="auto"/>
            <w:bottom w:val="none" w:sz="0" w:space="0" w:color="auto"/>
            <w:right w:val="none" w:sz="0" w:space="0" w:color="auto"/>
          </w:divBdr>
        </w:div>
        <w:div w:id="533808281">
          <w:marLeft w:val="0"/>
          <w:marRight w:val="0"/>
          <w:marTop w:val="0"/>
          <w:marBottom w:val="0"/>
          <w:divBdr>
            <w:top w:val="none" w:sz="0" w:space="0" w:color="auto"/>
            <w:left w:val="none" w:sz="0" w:space="0" w:color="auto"/>
            <w:bottom w:val="none" w:sz="0" w:space="0" w:color="auto"/>
            <w:right w:val="none" w:sz="0" w:space="0" w:color="auto"/>
          </w:divBdr>
        </w:div>
        <w:div w:id="1282882582">
          <w:marLeft w:val="0"/>
          <w:marRight w:val="0"/>
          <w:marTop w:val="0"/>
          <w:marBottom w:val="0"/>
          <w:divBdr>
            <w:top w:val="none" w:sz="0" w:space="0" w:color="auto"/>
            <w:left w:val="none" w:sz="0" w:space="0" w:color="auto"/>
            <w:bottom w:val="none" w:sz="0" w:space="0" w:color="auto"/>
            <w:right w:val="none" w:sz="0" w:space="0" w:color="auto"/>
          </w:divBdr>
        </w:div>
        <w:div w:id="858348083">
          <w:marLeft w:val="0"/>
          <w:marRight w:val="0"/>
          <w:marTop w:val="0"/>
          <w:marBottom w:val="0"/>
          <w:divBdr>
            <w:top w:val="none" w:sz="0" w:space="0" w:color="auto"/>
            <w:left w:val="none" w:sz="0" w:space="0" w:color="auto"/>
            <w:bottom w:val="none" w:sz="0" w:space="0" w:color="auto"/>
            <w:right w:val="none" w:sz="0" w:space="0" w:color="auto"/>
          </w:divBdr>
        </w:div>
        <w:div w:id="1723209545">
          <w:marLeft w:val="0"/>
          <w:marRight w:val="0"/>
          <w:marTop w:val="0"/>
          <w:marBottom w:val="0"/>
          <w:divBdr>
            <w:top w:val="none" w:sz="0" w:space="0" w:color="auto"/>
            <w:left w:val="none" w:sz="0" w:space="0" w:color="auto"/>
            <w:bottom w:val="none" w:sz="0" w:space="0" w:color="auto"/>
            <w:right w:val="none" w:sz="0" w:space="0" w:color="auto"/>
          </w:divBdr>
        </w:div>
        <w:div w:id="1738093977">
          <w:marLeft w:val="0"/>
          <w:marRight w:val="0"/>
          <w:marTop w:val="0"/>
          <w:marBottom w:val="0"/>
          <w:divBdr>
            <w:top w:val="none" w:sz="0" w:space="0" w:color="auto"/>
            <w:left w:val="none" w:sz="0" w:space="0" w:color="auto"/>
            <w:bottom w:val="none" w:sz="0" w:space="0" w:color="auto"/>
            <w:right w:val="none" w:sz="0" w:space="0" w:color="auto"/>
          </w:divBdr>
        </w:div>
        <w:div w:id="1208487917">
          <w:marLeft w:val="0"/>
          <w:marRight w:val="0"/>
          <w:marTop w:val="0"/>
          <w:marBottom w:val="0"/>
          <w:divBdr>
            <w:top w:val="none" w:sz="0" w:space="0" w:color="auto"/>
            <w:left w:val="none" w:sz="0" w:space="0" w:color="auto"/>
            <w:bottom w:val="none" w:sz="0" w:space="0" w:color="auto"/>
            <w:right w:val="none" w:sz="0" w:space="0" w:color="auto"/>
          </w:divBdr>
        </w:div>
        <w:div w:id="370497378">
          <w:marLeft w:val="0"/>
          <w:marRight w:val="0"/>
          <w:marTop w:val="0"/>
          <w:marBottom w:val="0"/>
          <w:divBdr>
            <w:top w:val="none" w:sz="0" w:space="0" w:color="auto"/>
            <w:left w:val="none" w:sz="0" w:space="0" w:color="auto"/>
            <w:bottom w:val="none" w:sz="0" w:space="0" w:color="auto"/>
            <w:right w:val="none" w:sz="0" w:space="0" w:color="auto"/>
          </w:divBdr>
        </w:div>
        <w:div w:id="1817454295">
          <w:marLeft w:val="0"/>
          <w:marRight w:val="0"/>
          <w:marTop w:val="0"/>
          <w:marBottom w:val="0"/>
          <w:divBdr>
            <w:top w:val="none" w:sz="0" w:space="0" w:color="auto"/>
            <w:left w:val="none" w:sz="0" w:space="0" w:color="auto"/>
            <w:bottom w:val="none" w:sz="0" w:space="0" w:color="auto"/>
            <w:right w:val="none" w:sz="0" w:space="0" w:color="auto"/>
          </w:divBdr>
        </w:div>
        <w:div w:id="434056991">
          <w:marLeft w:val="0"/>
          <w:marRight w:val="0"/>
          <w:marTop w:val="0"/>
          <w:marBottom w:val="0"/>
          <w:divBdr>
            <w:top w:val="none" w:sz="0" w:space="0" w:color="auto"/>
            <w:left w:val="none" w:sz="0" w:space="0" w:color="auto"/>
            <w:bottom w:val="none" w:sz="0" w:space="0" w:color="auto"/>
            <w:right w:val="none" w:sz="0" w:space="0" w:color="auto"/>
          </w:divBdr>
        </w:div>
        <w:div w:id="1199315245">
          <w:marLeft w:val="0"/>
          <w:marRight w:val="0"/>
          <w:marTop w:val="0"/>
          <w:marBottom w:val="0"/>
          <w:divBdr>
            <w:top w:val="none" w:sz="0" w:space="0" w:color="auto"/>
            <w:left w:val="none" w:sz="0" w:space="0" w:color="auto"/>
            <w:bottom w:val="none" w:sz="0" w:space="0" w:color="auto"/>
            <w:right w:val="none" w:sz="0" w:space="0" w:color="auto"/>
          </w:divBdr>
        </w:div>
        <w:div w:id="1416780416">
          <w:marLeft w:val="0"/>
          <w:marRight w:val="0"/>
          <w:marTop w:val="0"/>
          <w:marBottom w:val="0"/>
          <w:divBdr>
            <w:top w:val="none" w:sz="0" w:space="0" w:color="auto"/>
            <w:left w:val="none" w:sz="0" w:space="0" w:color="auto"/>
            <w:bottom w:val="none" w:sz="0" w:space="0" w:color="auto"/>
            <w:right w:val="none" w:sz="0" w:space="0" w:color="auto"/>
          </w:divBdr>
        </w:div>
        <w:div w:id="2017733492">
          <w:marLeft w:val="0"/>
          <w:marRight w:val="0"/>
          <w:marTop w:val="0"/>
          <w:marBottom w:val="0"/>
          <w:divBdr>
            <w:top w:val="none" w:sz="0" w:space="0" w:color="auto"/>
            <w:left w:val="none" w:sz="0" w:space="0" w:color="auto"/>
            <w:bottom w:val="none" w:sz="0" w:space="0" w:color="auto"/>
            <w:right w:val="none" w:sz="0" w:space="0" w:color="auto"/>
          </w:divBdr>
        </w:div>
        <w:div w:id="601107010">
          <w:marLeft w:val="0"/>
          <w:marRight w:val="0"/>
          <w:marTop w:val="0"/>
          <w:marBottom w:val="0"/>
          <w:divBdr>
            <w:top w:val="none" w:sz="0" w:space="0" w:color="auto"/>
            <w:left w:val="none" w:sz="0" w:space="0" w:color="auto"/>
            <w:bottom w:val="none" w:sz="0" w:space="0" w:color="auto"/>
            <w:right w:val="none" w:sz="0" w:space="0" w:color="auto"/>
          </w:divBdr>
        </w:div>
        <w:div w:id="723287017">
          <w:marLeft w:val="0"/>
          <w:marRight w:val="0"/>
          <w:marTop w:val="0"/>
          <w:marBottom w:val="0"/>
          <w:divBdr>
            <w:top w:val="none" w:sz="0" w:space="0" w:color="auto"/>
            <w:left w:val="none" w:sz="0" w:space="0" w:color="auto"/>
            <w:bottom w:val="none" w:sz="0" w:space="0" w:color="auto"/>
            <w:right w:val="none" w:sz="0" w:space="0" w:color="auto"/>
          </w:divBdr>
        </w:div>
        <w:div w:id="1023555527">
          <w:marLeft w:val="0"/>
          <w:marRight w:val="0"/>
          <w:marTop w:val="0"/>
          <w:marBottom w:val="0"/>
          <w:divBdr>
            <w:top w:val="none" w:sz="0" w:space="0" w:color="auto"/>
            <w:left w:val="none" w:sz="0" w:space="0" w:color="auto"/>
            <w:bottom w:val="none" w:sz="0" w:space="0" w:color="auto"/>
            <w:right w:val="none" w:sz="0" w:space="0" w:color="auto"/>
          </w:divBdr>
        </w:div>
        <w:div w:id="1390496871">
          <w:marLeft w:val="0"/>
          <w:marRight w:val="0"/>
          <w:marTop w:val="0"/>
          <w:marBottom w:val="0"/>
          <w:divBdr>
            <w:top w:val="none" w:sz="0" w:space="0" w:color="auto"/>
            <w:left w:val="none" w:sz="0" w:space="0" w:color="auto"/>
            <w:bottom w:val="none" w:sz="0" w:space="0" w:color="auto"/>
            <w:right w:val="none" w:sz="0" w:space="0" w:color="auto"/>
          </w:divBdr>
        </w:div>
        <w:div w:id="928536360">
          <w:marLeft w:val="0"/>
          <w:marRight w:val="0"/>
          <w:marTop w:val="0"/>
          <w:marBottom w:val="0"/>
          <w:divBdr>
            <w:top w:val="none" w:sz="0" w:space="0" w:color="auto"/>
            <w:left w:val="none" w:sz="0" w:space="0" w:color="auto"/>
            <w:bottom w:val="none" w:sz="0" w:space="0" w:color="auto"/>
            <w:right w:val="none" w:sz="0" w:space="0" w:color="auto"/>
          </w:divBdr>
        </w:div>
        <w:div w:id="828793736">
          <w:marLeft w:val="0"/>
          <w:marRight w:val="0"/>
          <w:marTop w:val="0"/>
          <w:marBottom w:val="0"/>
          <w:divBdr>
            <w:top w:val="none" w:sz="0" w:space="0" w:color="auto"/>
            <w:left w:val="none" w:sz="0" w:space="0" w:color="auto"/>
            <w:bottom w:val="none" w:sz="0" w:space="0" w:color="auto"/>
            <w:right w:val="none" w:sz="0" w:space="0" w:color="auto"/>
          </w:divBdr>
        </w:div>
        <w:div w:id="2036928058">
          <w:marLeft w:val="0"/>
          <w:marRight w:val="0"/>
          <w:marTop w:val="0"/>
          <w:marBottom w:val="0"/>
          <w:divBdr>
            <w:top w:val="none" w:sz="0" w:space="0" w:color="auto"/>
            <w:left w:val="none" w:sz="0" w:space="0" w:color="auto"/>
            <w:bottom w:val="none" w:sz="0" w:space="0" w:color="auto"/>
            <w:right w:val="none" w:sz="0" w:space="0" w:color="auto"/>
          </w:divBdr>
        </w:div>
        <w:div w:id="1710643211">
          <w:marLeft w:val="0"/>
          <w:marRight w:val="0"/>
          <w:marTop w:val="0"/>
          <w:marBottom w:val="0"/>
          <w:divBdr>
            <w:top w:val="none" w:sz="0" w:space="0" w:color="auto"/>
            <w:left w:val="none" w:sz="0" w:space="0" w:color="auto"/>
            <w:bottom w:val="none" w:sz="0" w:space="0" w:color="auto"/>
            <w:right w:val="none" w:sz="0" w:space="0" w:color="auto"/>
          </w:divBdr>
        </w:div>
        <w:div w:id="1189904150">
          <w:marLeft w:val="0"/>
          <w:marRight w:val="0"/>
          <w:marTop w:val="0"/>
          <w:marBottom w:val="0"/>
          <w:divBdr>
            <w:top w:val="none" w:sz="0" w:space="0" w:color="auto"/>
            <w:left w:val="none" w:sz="0" w:space="0" w:color="auto"/>
            <w:bottom w:val="none" w:sz="0" w:space="0" w:color="auto"/>
            <w:right w:val="none" w:sz="0" w:space="0" w:color="auto"/>
          </w:divBdr>
        </w:div>
        <w:div w:id="190463378">
          <w:marLeft w:val="0"/>
          <w:marRight w:val="0"/>
          <w:marTop w:val="0"/>
          <w:marBottom w:val="0"/>
          <w:divBdr>
            <w:top w:val="none" w:sz="0" w:space="0" w:color="auto"/>
            <w:left w:val="none" w:sz="0" w:space="0" w:color="auto"/>
            <w:bottom w:val="none" w:sz="0" w:space="0" w:color="auto"/>
            <w:right w:val="none" w:sz="0" w:space="0" w:color="auto"/>
          </w:divBdr>
        </w:div>
        <w:div w:id="402147296">
          <w:marLeft w:val="0"/>
          <w:marRight w:val="0"/>
          <w:marTop w:val="0"/>
          <w:marBottom w:val="0"/>
          <w:divBdr>
            <w:top w:val="none" w:sz="0" w:space="0" w:color="auto"/>
            <w:left w:val="none" w:sz="0" w:space="0" w:color="auto"/>
            <w:bottom w:val="none" w:sz="0" w:space="0" w:color="auto"/>
            <w:right w:val="none" w:sz="0" w:space="0" w:color="auto"/>
          </w:divBdr>
        </w:div>
        <w:div w:id="1725985872">
          <w:marLeft w:val="0"/>
          <w:marRight w:val="0"/>
          <w:marTop w:val="0"/>
          <w:marBottom w:val="0"/>
          <w:divBdr>
            <w:top w:val="none" w:sz="0" w:space="0" w:color="auto"/>
            <w:left w:val="none" w:sz="0" w:space="0" w:color="auto"/>
            <w:bottom w:val="none" w:sz="0" w:space="0" w:color="auto"/>
            <w:right w:val="none" w:sz="0" w:space="0" w:color="auto"/>
          </w:divBdr>
        </w:div>
        <w:div w:id="960651955">
          <w:marLeft w:val="0"/>
          <w:marRight w:val="0"/>
          <w:marTop w:val="0"/>
          <w:marBottom w:val="0"/>
          <w:divBdr>
            <w:top w:val="none" w:sz="0" w:space="0" w:color="auto"/>
            <w:left w:val="none" w:sz="0" w:space="0" w:color="auto"/>
            <w:bottom w:val="none" w:sz="0" w:space="0" w:color="auto"/>
            <w:right w:val="none" w:sz="0" w:space="0" w:color="auto"/>
          </w:divBdr>
        </w:div>
        <w:div w:id="33384815">
          <w:marLeft w:val="0"/>
          <w:marRight w:val="0"/>
          <w:marTop w:val="0"/>
          <w:marBottom w:val="0"/>
          <w:divBdr>
            <w:top w:val="none" w:sz="0" w:space="0" w:color="auto"/>
            <w:left w:val="none" w:sz="0" w:space="0" w:color="auto"/>
            <w:bottom w:val="none" w:sz="0" w:space="0" w:color="auto"/>
            <w:right w:val="none" w:sz="0" w:space="0" w:color="auto"/>
          </w:divBdr>
        </w:div>
        <w:div w:id="1797335794">
          <w:marLeft w:val="0"/>
          <w:marRight w:val="0"/>
          <w:marTop w:val="0"/>
          <w:marBottom w:val="0"/>
          <w:divBdr>
            <w:top w:val="none" w:sz="0" w:space="0" w:color="auto"/>
            <w:left w:val="none" w:sz="0" w:space="0" w:color="auto"/>
            <w:bottom w:val="none" w:sz="0" w:space="0" w:color="auto"/>
            <w:right w:val="none" w:sz="0" w:space="0" w:color="auto"/>
          </w:divBdr>
        </w:div>
        <w:div w:id="419185519">
          <w:marLeft w:val="0"/>
          <w:marRight w:val="0"/>
          <w:marTop w:val="0"/>
          <w:marBottom w:val="0"/>
          <w:divBdr>
            <w:top w:val="none" w:sz="0" w:space="0" w:color="auto"/>
            <w:left w:val="none" w:sz="0" w:space="0" w:color="auto"/>
            <w:bottom w:val="none" w:sz="0" w:space="0" w:color="auto"/>
            <w:right w:val="none" w:sz="0" w:space="0" w:color="auto"/>
          </w:divBdr>
        </w:div>
        <w:div w:id="537478105">
          <w:marLeft w:val="0"/>
          <w:marRight w:val="0"/>
          <w:marTop w:val="0"/>
          <w:marBottom w:val="0"/>
          <w:divBdr>
            <w:top w:val="none" w:sz="0" w:space="0" w:color="auto"/>
            <w:left w:val="none" w:sz="0" w:space="0" w:color="auto"/>
            <w:bottom w:val="none" w:sz="0" w:space="0" w:color="auto"/>
            <w:right w:val="none" w:sz="0" w:space="0" w:color="auto"/>
          </w:divBdr>
        </w:div>
        <w:div w:id="1755467292">
          <w:marLeft w:val="0"/>
          <w:marRight w:val="0"/>
          <w:marTop w:val="0"/>
          <w:marBottom w:val="0"/>
          <w:divBdr>
            <w:top w:val="none" w:sz="0" w:space="0" w:color="auto"/>
            <w:left w:val="none" w:sz="0" w:space="0" w:color="auto"/>
            <w:bottom w:val="none" w:sz="0" w:space="0" w:color="auto"/>
            <w:right w:val="none" w:sz="0" w:space="0" w:color="auto"/>
          </w:divBdr>
        </w:div>
        <w:div w:id="857818321">
          <w:marLeft w:val="0"/>
          <w:marRight w:val="0"/>
          <w:marTop w:val="0"/>
          <w:marBottom w:val="0"/>
          <w:divBdr>
            <w:top w:val="none" w:sz="0" w:space="0" w:color="auto"/>
            <w:left w:val="none" w:sz="0" w:space="0" w:color="auto"/>
            <w:bottom w:val="none" w:sz="0" w:space="0" w:color="auto"/>
            <w:right w:val="none" w:sz="0" w:space="0" w:color="auto"/>
          </w:divBdr>
        </w:div>
        <w:div w:id="498811434">
          <w:marLeft w:val="0"/>
          <w:marRight w:val="0"/>
          <w:marTop w:val="0"/>
          <w:marBottom w:val="0"/>
          <w:divBdr>
            <w:top w:val="none" w:sz="0" w:space="0" w:color="auto"/>
            <w:left w:val="none" w:sz="0" w:space="0" w:color="auto"/>
            <w:bottom w:val="none" w:sz="0" w:space="0" w:color="auto"/>
            <w:right w:val="none" w:sz="0" w:space="0" w:color="auto"/>
          </w:divBdr>
        </w:div>
        <w:div w:id="1826239149">
          <w:marLeft w:val="0"/>
          <w:marRight w:val="0"/>
          <w:marTop w:val="0"/>
          <w:marBottom w:val="0"/>
          <w:divBdr>
            <w:top w:val="none" w:sz="0" w:space="0" w:color="auto"/>
            <w:left w:val="none" w:sz="0" w:space="0" w:color="auto"/>
            <w:bottom w:val="none" w:sz="0" w:space="0" w:color="auto"/>
            <w:right w:val="none" w:sz="0" w:space="0" w:color="auto"/>
          </w:divBdr>
        </w:div>
        <w:div w:id="523785013">
          <w:marLeft w:val="0"/>
          <w:marRight w:val="0"/>
          <w:marTop w:val="0"/>
          <w:marBottom w:val="0"/>
          <w:divBdr>
            <w:top w:val="none" w:sz="0" w:space="0" w:color="auto"/>
            <w:left w:val="none" w:sz="0" w:space="0" w:color="auto"/>
            <w:bottom w:val="none" w:sz="0" w:space="0" w:color="auto"/>
            <w:right w:val="none" w:sz="0" w:space="0" w:color="auto"/>
          </w:divBdr>
        </w:div>
        <w:div w:id="1225019301">
          <w:marLeft w:val="0"/>
          <w:marRight w:val="0"/>
          <w:marTop w:val="0"/>
          <w:marBottom w:val="0"/>
          <w:divBdr>
            <w:top w:val="none" w:sz="0" w:space="0" w:color="auto"/>
            <w:left w:val="none" w:sz="0" w:space="0" w:color="auto"/>
            <w:bottom w:val="none" w:sz="0" w:space="0" w:color="auto"/>
            <w:right w:val="none" w:sz="0" w:space="0" w:color="auto"/>
          </w:divBdr>
        </w:div>
        <w:div w:id="317344601">
          <w:marLeft w:val="0"/>
          <w:marRight w:val="0"/>
          <w:marTop w:val="0"/>
          <w:marBottom w:val="0"/>
          <w:divBdr>
            <w:top w:val="none" w:sz="0" w:space="0" w:color="auto"/>
            <w:left w:val="none" w:sz="0" w:space="0" w:color="auto"/>
            <w:bottom w:val="none" w:sz="0" w:space="0" w:color="auto"/>
            <w:right w:val="none" w:sz="0" w:space="0" w:color="auto"/>
          </w:divBdr>
        </w:div>
        <w:div w:id="986856478">
          <w:marLeft w:val="0"/>
          <w:marRight w:val="0"/>
          <w:marTop w:val="0"/>
          <w:marBottom w:val="0"/>
          <w:divBdr>
            <w:top w:val="none" w:sz="0" w:space="0" w:color="auto"/>
            <w:left w:val="none" w:sz="0" w:space="0" w:color="auto"/>
            <w:bottom w:val="none" w:sz="0" w:space="0" w:color="auto"/>
            <w:right w:val="none" w:sz="0" w:space="0" w:color="auto"/>
          </w:divBdr>
        </w:div>
        <w:div w:id="1696614267">
          <w:marLeft w:val="0"/>
          <w:marRight w:val="0"/>
          <w:marTop w:val="0"/>
          <w:marBottom w:val="0"/>
          <w:divBdr>
            <w:top w:val="none" w:sz="0" w:space="0" w:color="auto"/>
            <w:left w:val="none" w:sz="0" w:space="0" w:color="auto"/>
            <w:bottom w:val="none" w:sz="0" w:space="0" w:color="auto"/>
            <w:right w:val="none" w:sz="0" w:space="0" w:color="auto"/>
          </w:divBdr>
        </w:div>
        <w:div w:id="1194462985">
          <w:marLeft w:val="0"/>
          <w:marRight w:val="0"/>
          <w:marTop w:val="0"/>
          <w:marBottom w:val="0"/>
          <w:divBdr>
            <w:top w:val="none" w:sz="0" w:space="0" w:color="auto"/>
            <w:left w:val="none" w:sz="0" w:space="0" w:color="auto"/>
            <w:bottom w:val="none" w:sz="0" w:space="0" w:color="auto"/>
            <w:right w:val="none" w:sz="0" w:space="0" w:color="auto"/>
          </w:divBdr>
        </w:div>
        <w:div w:id="1563560895">
          <w:marLeft w:val="0"/>
          <w:marRight w:val="0"/>
          <w:marTop w:val="0"/>
          <w:marBottom w:val="0"/>
          <w:divBdr>
            <w:top w:val="none" w:sz="0" w:space="0" w:color="auto"/>
            <w:left w:val="none" w:sz="0" w:space="0" w:color="auto"/>
            <w:bottom w:val="none" w:sz="0" w:space="0" w:color="auto"/>
            <w:right w:val="none" w:sz="0" w:space="0" w:color="auto"/>
          </w:divBdr>
        </w:div>
        <w:div w:id="979189733">
          <w:marLeft w:val="0"/>
          <w:marRight w:val="0"/>
          <w:marTop w:val="0"/>
          <w:marBottom w:val="0"/>
          <w:divBdr>
            <w:top w:val="none" w:sz="0" w:space="0" w:color="auto"/>
            <w:left w:val="none" w:sz="0" w:space="0" w:color="auto"/>
            <w:bottom w:val="none" w:sz="0" w:space="0" w:color="auto"/>
            <w:right w:val="none" w:sz="0" w:space="0" w:color="auto"/>
          </w:divBdr>
        </w:div>
        <w:div w:id="1473984815">
          <w:marLeft w:val="0"/>
          <w:marRight w:val="0"/>
          <w:marTop w:val="0"/>
          <w:marBottom w:val="0"/>
          <w:divBdr>
            <w:top w:val="none" w:sz="0" w:space="0" w:color="auto"/>
            <w:left w:val="none" w:sz="0" w:space="0" w:color="auto"/>
            <w:bottom w:val="none" w:sz="0" w:space="0" w:color="auto"/>
            <w:right w:val="none" w:sz="0" w:space="0" w:color="auto"/>
          </w:divBdr>
        </w:div>
        <w:div w:id="1247424233">
          <w:marLeft w:val="0"/>
          <w:marRight w:val="0"/>
          <w:marTop w:val="0"/>
          <w:marBottom w:val="0"/>
          <w:divBdr>
            <w:top w:val="none" w:sz="0" w:space="0" w:color="auto"/>
            <w:left w:val="none" w:sz="0" w:space="0" w:color="auto"/>
            <w:bottom w:val="none" w:sz="0" w:space="0" w:color="auto"/>
            <w:right w:val="none" w:sz="0" w:space="0" w:color="auto"/>
          </w:divBdr>
        </w:div>
        <w:div w:id="612060453">
          <w:marLeft w:val="0"/>
          <w:marRight w:val="0"/>
          <w:marTop w:val="0"/>
          <w:marBottom w:val="0"/>
          <w:divBdr>
            <w:top w:val="none" w:sz="0" w:space="0" w:color="auto"/>
            <w:left w:val="none" w:sz="0" w:space="0" w:color="auto"/>
            <w:bottom w:val="none" w:sz="0" w:space="0" w:color="auto"/>
            <w:right w:val="none" w:sz="0" w:space="0" w:color="auto"/>
          </w:divBdr>
        </w:div>
        <w:div w:id="895093888">
          <w:marLeft w:val="0"/>
          <w:marRight w:val="0"/>
          <w:marTop w:val="0"/>
          <w:marBottom w:val="0"/>
          <w:divBdr>
            <w:top w:val="none" w:sz="0" w:space="0" w:color="auto"/>
            <w:left w:val="none" w:sz="0" w:space="0" w:color="auto"/>
            <w:bottom w:val="none" w:sz="0" w:space="0" w:color="auto"/>
            <w:right w:val="none" w:sz="0" w:space="0" w:color="auto"/>
          </w:divBdr>
        </w:div>
        <w:div w:id="542835927">
          <w:marLeft w:val="0"/>
          <w:marRight w:val="0"/>
          <w:marTop w:val="0"/>
          <w:marBottom w:val="0"/>
          <w:divBdr>
            <w:top w:val="none" w:sz="0" w:space="0" w:color="auto"/>
            <w:left w:val="none" w:sz="0" w:space="0" w:color="auto"/>
            <w:bottom w:val="none" w:sz="0" w:space="0" w:color="auto"/>
            <w:right w:val="none" w:sz="0" w:space="0" w:color="auto"/>
          </w:divBdr>
        </w:div>
        <w:div w:id="836073474">
          <w:marLeft w:val="0"/>
          <w:marRight w:val="0"/>
          <w:marTop w:val="0"/>
          <w:marBottom w:val="0"/>
          <w:divBdr>
            <w:top w:val="none" w:sz="0" w:space="0" w:color="auto"/>
            <w:left w:val="none" w:sz="0" w:space="0" w:color="auto"/>
            <w:bottom w:val="none" w:sz="0" w:space="0" w:color="auto"/>
            <w:right w:val="none" w:sz="0" w:space="0" w:color="auto"/>
          </w:divBdr>
        </w:div>
        <w:div w:id="591864510">
          <w:marLeft w:val="0"/>
          <w:marRight w:val="0"/>
          <w:marTop w:val="0"/>
          <w:marBottom w:val="0"/>
          <w:divBdr>
            <w:top w:val="none" w:sz="0" w:space="0" w:color="auto"/>
            <w:left w:val="none" w:sz="0" w:space="0" w:color="auto"/>
            <w:bottom w:val="none" w:sz="0" w:space="0" w:color="auto"/>
            <w:right w:val="none" w:sz="0" w:space="0" w:color="auto"/>
          </w:divBdr>
        </w:div>
        <w:div w:id="2006086729">
          <w:marLeft w:val="0"/>
          <w:marRight w:val="0"/>
          <w:marTop w:val="0"/>
          <w:marBottom w:val="0"/>
          <w:divBdr>
            <w:top w:val="none" w:sz="0" w:space="0" w:color="auto"/>
            <w:left w:val="none" w:sz="0" w:space="0" w:color="auto"/>
            <w:bottom w:val="none" w:sz="0" w:space="0" w:color="auto"/>
            <w:right w:val="none" w:sz="0" w:space="0" w:color="auto"/>
          </w:divBdr>
        </w:div>
        <w:div w:id="1177767985">
          <w:marLeft w:val="0"/>
          <w:marRight w:val="0"/>
          <w:marTop w:val="0"/>
          <w:marBottom w:val="0"/>
          <w:divBdr>
            <w:top w:val="none" w:sz="0" w:space="0" w:color="auto"/>
            <w:left w:val="none" w:sz="0" w:space="0" w:color="auto"/>
            <w:bottom w:val="none" w:sz="0" w:space="0" w:color="auto"/>
            <w:right w:val="none" w:sz="0" w:space="0" w:color="auto"/>
          </w:divBdr>
        </w:div>
        <w:div w:id="443614711">
          <w:marLeft w:val="0"/>
          <w:marRight w:val="0"/>
          <w:marTop w:val="0"/>
          <w:marBottom w:val="0"/>
          <w:divBdr>
            <w:top w:val="none" w:sz="0" w:space="0" w:color="auto"/>
            <w:left w:val="none" w:sz="0" w:space="0" w:color="auto"/>
            <w:bottom w:val="none" w:sz="0" w:space="0" w:color="auto"/>
            <w:right w:val="none" w:sz="0" w:space="0" w:color="auto"/>
          </w:divBdr>
        </w:div>
        <w:div w:id="1398091534">
          <w:marLeft w:val="0"/>
          <w:marRight w:val="0"/>
          <w:marTop w:val="0"/>
          <w:marBottom w:val="0"/>
          <w:divBdr>
            <w:top w:val="none" w:sz="0" w:space="0" w:color="auto"/>
            <w:left w:val="none" w:sz="0" w:space="0" w:color="auto"/>
            <w:bottom w:val="none" w:sz="0" w:space="0" w:color="auto"/>
            <w:right w:val="none" w:sz="0" w:space="0" w:color="auto"/>
          </w:divBdr>
        </w:div>
        <w:div w:id="1191257006">
          <w:marLeft w:val="0"/>
          <w:marRight w:val="0"/>
          <w:marTop w:val="0"/>
          <w:marBottom w:val="0"/>
          <w:divBdr>
            <w:top w:val="none" w:sz="0" w:space="0" w:color="auto"/>
            <w:left w:val="none" w:sz="0" w:space="0" w:color="auto"/>
            <w:bottom w:val="none" w:sz="0" w:space="0" w:color="auto"/>
            <w:right w:val="none" w:sz="0" w:space="0" w:color="auto"/>
          </w:divBdr>
        </w:div>
        <w:div w:id="1779254348">
          <w:marLeft w:val="0"/>
          <w:marRight w:val="0"/>
          <w:marTop w:val="0"/>
          <w:marBottom w:val="0"/>
          <w:divBdr>
            <w:top w:val="none" w:sz="0" w:space="0" w:color="auto"/>
            <w:left w:val="none" w:sz="0" w:space="0" w:color="auto"/>
            <w:bottom w:val="none" w:sz="0" w:space="0" w:color="auto"/>
            <w:right w:val="none" w:sz="0" w:space="0" w:color="auto"/>
          </w:divBdr>
        </w:div>
        <w:div w:id="724108301">
          <w:marLeft w:val="0"/>
          <w:marRight w:val="0"/>
          <w:marTop w:val="0"/>
          <w:marBottom w:val="0"/>
          <w:divBdr>
            <w:top w:val="none" w:sz="0" w:space="0" w:color="auto"/>
            <w:left w:val="none" w:sz="0" w:space="0" w:color="auto"/>
            <w:bottom w:val="none" w:sz="0" w:space="0" w:color="auto"/>
            <w:right w:val="none" w:sz="0" w:space="0" w:color="auto"/>
          </w:divBdr>
        </w:div>
        <w:div w:id="1681349521">
          <w:marLeft w:val="0"/>
          <w:marRight w:val="0"/>
          <w:marTop w:val="0"/>
          <w:marBottom w:val="0"/>
          <w:divBdr>
            <w:top w:val="none" w:sz="0" w:space="0" w:color="auto"/>
            <w:left w:val="none" w:sz="0" w:space="0" w:color="auto"/>
            <w:bottom w:val="none" w:sz="0" w:space="0" w:color="auto"/>
            <w:right w:val="none" w:sz="0" w:space="0" w:color="auto"/>
          </w:divBdr>
        </w:div>
        <w:div w:id="1851218400">
          <w:marLeft w:val="0"/>
          <w:marRight w:val="0"/>
          <w:marTop w:val="0"/>
          <w:marBottom w:val="0"/>
          <w:divBdr>
            <w:top w:val="none" w:sz="0" w:space="0" w:color="auto"/>
            <w:left w:val="none" w:sz="0" w:space="0" w:color="auto"/>
            <w:bottom w:val="none" w:sz="0" w:space="0" w:color="auto"/>
            <w:right w:val="none" w:sz="0" w:space="0" w:color="auto"/>
          </w:divBdr>
        </w:div>
        <w:div w:id="4090788">
          <w:marLeft w:val="0"/>
          <w:marRight w:val="0"/>
          <w:marTop w:val="0"/>
          <w:marBottom w:val="0"/>
          <w:divBdr>
            <w:top w:val="none" w:sz="0" w:space="0" w:color="auto"/>
            <w:left w:val="none" w:sz="0" w:space="0" w:color="auto"/>
            <w:bottom w:val="none" w:sz="0" w:space="0" w:color="auto"/>
            <w:right w:val="none" w:sz="0" w:space="0" w:color="auto"/>
          </w:divBdr>
        </w:div>
        <w:div w:id="754088930">
          <w:marLeft w:val="0"/>
          <w:marRight w:val="0"/>
          <w:marTop w:val="0"/>
          <w:marBottom w:val="0"/>
          <w:divBdr>
            <w:top w:val="none" w:sz="0" w:space="0" w:color="auto"/>
            <w:left w:val="none" w:sz="0" w:space="0" w:color="auto"/>
            <w:bottom w:val="none" w:sz="0" w:space="0" w:color="auto"/>
            <w:right w:val="none" w:sz="0" w:space="0" w:color="auto"/>
          </w:divBdr>
        </w:div>
        <w:div w:id="759763309">
          <w:marLeft w:val="0"/>
          <w:marRight w:val="0"/>
          <w:marTop w:val="0"/>
          <w:marBottom w:val="0"/>
          <w:divBdr>
            <w:top w:val="none" w:sz="0" w:space="0" w:color="auto"/>
            <w:left w:val="none" w:sz="0" w:space="0" w:color="auto"/>
            <w:bottom w:val="none" w:sz="0" w:space="0" w:color="auto"/>
            <w:right w:val="none" w:sz="0" w:space="0" w:color="auto"/>
          </w:divBdr>
        </w:div>
        <w:div w:id="505094037">
          <w:marLeft w:val="0"/>
          <w:marRight w:val="0"/>
          <w:marTop w:val="0"/>
          <w:marBottom w:val="0"/>
          <w:divBdr>
            <w:top w:val="none" w:sz="0" w:space="0" w:color="auto"/>
            <w:left w:val="none" w:sz="0" w:space="0" w:color="auto"/>
            <w:bottom w:val="none" w:sz="0" w:space="0" w:color="auto"/>
            <w:right w:val="none" w:sz="0" w:space="0" w:color="auto"/>
          </w:divBdr>
        </w:div>
        <w:div w:id="812260706">
          <w:marLeft w:val="0"/>
          <w:marRight w:val="0"/>
          <w:marTop w:val="0"/>
          <w:marBottom w:val="0"/>
          <w:divBdr>
            <w:top w:val="none" w:sz="0" w:space="0" w:color="auto"/>
            <w:left w:val="none" w:sz="0" w:space="0" w:color="auto"/>
            <w:bottom w:val="none" w:sz="0" w:space="0" w:color="auto"/>
            <w:right w:val="none" w:sz="0" w:space="0" w:color="auto"/>
          </w:divBdr>
        </w:div>
        <w:div w:id="1072701680">
          <w:marLeft w:val="0"/>
          <w:marRight w:val="0"/>
          <w:marTop w:val="0"/>
          <w:marBottom w:val="0"/>
          <w:divBdr>
            <w:top w:val="none" w:sz="0" w:space="0" w:color="auto"/>
            <w:left w:val="none" w:sz="0" w:space="0" w:color="auto"/>
            <w:bottom w:val="none" w:sz="0" w:space="0" w:color="auto"/>
            <w:right w:val="none" w:sz="0" w:space="0" w:color="auto"/>
          </w:divBdr>
        </w:div>
        <w:div w:id="437528758">
          <w:marLeft w:val="0"/>
          <w:marRight w:val="0"/>
          <w:marTop w:val="0"/>
          <w:marBottom w:val="0"/>
          <w:divBdr>
            <w:top w:val="none" w:sz="0" w:space="0" w:color="auto"/>
            <w:left w:val="none" w:sz="0" w:space="0" w:color="auto"/>
            <w:bottom w:val="none" w:sz="0" w:space="0" w:color="auto"/>
            <w:right w:val="none" w:sz="0" w:space="0" w:color="auto"/>
          </w:divBdr>
        </w:div>
        <w:div w:id="1758860821">
          <w:marLeft w:val="0"/>
          <w:marRight w:val="0"/>
          <w:marTop w:val="0"/>
          <w:marBottom w:val="0"/>
          <w:divBdr>
            <w:top w:val="none" w:sz="0" w:space="0" w:color="auto"/>
            <w:left w:val="none" w:sz="0" w:space="0" w:color="auto"/>
            <w:bottom w:val="none" w:sz="0" w:space="0" w:color="auto"/>
            <w:right w:val="none" w:sz="0" w:space="0" w:color="auto"/>
          </w:divBdr>
        </w:div>
        <w:div w:id="1019237333">
          <w:marLeft w:val="0"/>
          <w:marRight w:val="0"/>
          <w:marTop w:val="0"/>
          <w:marBottom w:val="0"/>
          <w:divBdr>
            <w:top w:val="none" w:sz="0" w:space="0" w:color="auto"/>
            <w:left w:val="none" w:sz="0" w:space="0" w:color="auto"/>
            <w:bottom w:val="none" w:sz="0" w:space="0" w:color="auto"/>
            <w:right w:val="none" w:sz="0" w:space="0" w:color="auto"/>
          </w:divBdr>
        </w:div>
        <w:div w:id="1002509758">
          <w:marLeft w:val="0"/>
          <w:marRight w:val="0"/>
          <w:marTop w:val="0"/>
          <w:marBottom w:val="0"/>
          <w:divBdr>
            <w:top w:val="none" w:sz="0" w:space="0" w:color="auto"/>
            <w:left w:val="none" w:sz="0" w:space="0" w:color="auto"/>
            <w:bottom w:val="none" w:sz="0" w:space="0" w:color="auto"/>
            <w:right w:val="none" w:sz="0" w:space="0" w:color="auto"/>
          </w:divBdr>
        </w:div>
        <w:div w:id="628054362">
          <w:marLeft w:val="0"/>
          <w:marRight w:val="0"/>
          <w:marTop w:val="0"/>
          <w:marBottom w:val="0"/>
          <w:divBdr>
            <w:top w:val="none" w:sz="0" w:space="0" w:color="auto"/>
            <w:left w:val="none" w:sz="0" w:space="0" w:color="auto"/>
            <w:bottom w:val="none" w:sz="0" w:space="0" w:color="auto"/>
            <w:right w:val="none" w:sz="0" w:space="0" w:color="auto"/>
          </w:divBdr>
        </w:div>
        <w:div w:id="1785467387">
          <w:marLeft w:val="0"/>
          <w:marRight w:val="0"/>
          <w:marTop w:val="0"/>
          <w:marBottom w:val="0"/>
          <w:divBdr>
            <w:top w:val="none" w:sz="0" w:space="0" w:color="auto"/>
            <w:left w:val="none" w:sz="0" w:space="0" w:color="auto"/>
            <w:bottom w:val="none" w:sz="0" w:space="0" w:color="auto"/>
            <w:right w:val="none" w:sz="0" w:space="0" w:color="auto"/>
          </w:divBdr>
        </w:div>
        <w:div w:id="1421295908">
          <w:marLeft w:val="0"/>
          <w:marRight w:val="0"/>
          <w:marTop w:val="0"/>
          <w:marBottom w:val="0"/>
          <w:divBdr>
            <w:top w:val="none" w:sz="0" w:space="0" w:color="auto"/>
            <w:left w:val="none" w:sz="0" w:space="0" w:color="auto"/>
            <w:bottom w:val="none" w:sz="0" w:space="0" w:color="auto"/>
            <w:right w:val="none" w:sz="0" w:space="0" w:color="auto"/>
          </w:divBdr>
        </w:div>
        <w:div w:id="688290329">
          <w:marLeft w:val="0"/>
          <w:marRight w:val="0"/>
          <w:marTop w:val="0"/>
          <w:marBottom w:val="0"/>
          <w:divBdr>
            <w:top w:val="none" w:sz="0" w:space="0" w:color="auto"/>
            <w:left w:val="none" w:sz="0" w:space="0" w:color="auto"/>
            <w:bottom w:val="none" w:sz="0" w:space="0" w:color="auto"/>
            <w:right w:val="none" w:sz="0" w:space="0" w:color="auto"/>
          </w:divBdr>
        </w:div>
        <w:div w:id="1183319994">
          <w:marLeft w:val="0"/>
          <w:marRight w:val="0"/>
          <w:marTop w:val="0"/>
          <w:marBottom w:val="0"/>
          <w:divBdr>
            <w:top w:val="none" w:sz="0" w:space="0" w:color="auto"/>
            <w:left w:val="none" w:sz="0" w:space="0" w:color="auto"/>
            <w:bottom w:val="none" w:sz="0" w:space="0" w:color="auto"/>
            <w:right w:val="none" w:sz="0" w:space="0" w:color="auto"/>
          </w:divBdr>
        </w:div>
        <w:div w:id="1852181249">
          <w:marLeft w:val="0"/>
          <w:marRight w:val="0"/>
          <w:marTop w:val="0"/>
          <w:marBottom w:val="0"/>
          <w:divBdr>
            <w:top w:val="none" w:sz="0" w:space="0" w:color="auto"/>
            <w:left w:val="none" w:sz="0" w:space="0" w:color="auto"/>
            <w:bottom w:val="none" w:sz="0" w:space="0" w:color="auto"/>
            <w:right w:val="none" w:sz="0" w:space="0" w:color="auto"/>
          </w:divBdr>
        </w:div>
        <w:div w:id="810439060">
          <w:marLeft w:val="0"/>
          <w:marRight w:val="0"/>
          <w:marTop w:val="0"/>
          <w:marBottom w:val="0"/>
          <w:divBdr>
            <w:top w:val="none" w:sz="0" w:space="0" w:color="auto"/>
            <w:left w:val="none" w:sz="0" w:space="0" w:color="auto"/>
            <w:bottom w:val="none" w:sz="0" w:space="0" w:color="auto"/>
            <w:right w:val="none" w:sz="0" w:space="0" w:color="auto"/>
          </w:divBdr>
        </w:div>
        <w:div w:id="1140418502">
          <w:marLeft w:val="0"/>
          <w:marRight w:val="0"/>
          <w:marTop w:val="0"/>
          <w:marBottom w:val="0"/>
          <w:divBdr>
            <w:top w:val="none" w:sz="0" w:space="0" w:color="auto"/>
            <w:left w:val="none" w:sz="0" w:space="0" w:color="auto"/>
            <w:bottom w:val="none" w:sz="0" w:space="0" w:color="auto"/>
            <w:right w:val="none" w:sz="0" w:space="0" w:color="auto"/>
          </w:divBdr>
        </w:div>
        <w:div w:id="1114712713">
          <w:marLeft w:val="0"/>
          <w:marRight w:val="0"/>
          <w:marTop w:val="0"/>
          <w:marBottom w:val="0"/>
          <w:divBdr>
            <w:top w:val="none" w:sz="0" w:space="0" w:color="auto"/>
            <w:left w:val="none" w:sz="0" w:space="0" w:color="auto"/>
            <w:bottom w:val="none" w:sz="0" w:space="0" w:color="auto"/>
            <w:right w:val="none" w:sz="0" w:space="0" w:color="auto"/>
          </w:divBdr>
        </w:div>
        <w:div w:id="1555963424">
          <w:marLeft w:val="0"/>
          <w:marRight w:val="0"/>
          <w:marTop w:val="0"/>
          <w:marBottom w:val="0"/>
          <w:divBdr>
            <w:top w:val="none" w:sz="0" w:space="0" w:color="auto"/>
            <w:left w:val="none" w:sz="0" w:space="0" w:color="auto"/>
            <w:bottom w:val="none" w:sz="0" w:space="0" w:color="auto"/>
            <w:right w:val="none" w:sz="0" w:space="0" w:color="auto"/>
          </w:divBdr>
        </w:div>
        <w:div w:id="1041321067">
          <w:marLeft w:val="0"/>
          <w:marRight w:val="0"/>
          <w:marTop w:val="0"/>
          <w:marBottom w:val="0"/>
          <w:divBdr>
            <w:top w:val="none" w:sz="0" w:space="0" w:color="auto"/>
            <w:left w:val="none" w:sz="0" w:space="0" w:color="auto"/>
            <w:bottom w:val="none" w:sz="0" w:space="0" w:color="auto"/>
            <w:right w:val="none" w:sz="0" w:space="0" w:color="auto"/>
          </w:divBdr>
        </w:div>
        <w:div w:id="1189559816">
          <w:marLeft w:val="0"/>
          <w:marRight w:val="0"/>
          <w:marTop w:val="0"/>
          <w:marBottom w:val="0"/>
          <w:divBdr>
            <w:top w:val="none" w:sz="0" w:space="0" w:color="auto"/>
            <w:left w:val="none" w:sz="0" w:space="0" w:color="auto"/>
            <w:bottom w:val="none" w:sz="0" w:space="0" w:color="auto"/>
            <w:right w:val="none" w:sz="0" w:space="0" w:color="auto"/>
          </w:divBdr>
        </w:div>
        <w:div w:id="1229416442">
          <w:marLeft w:val="0"/>
          <w:marRight w:val="0"/>
          <w:marTop w:val="0"/>
          <w:marBottom w:val="0"/>
          <w:divBdr>
            <w:top w:val="none" w:sz="0" w:space="0" w:color="auto"/>
            <w:left w:val="none" w:sz="0" w:space="0" w:color="auto"/>
            <w:bottom w:val="none" w:sz="0" w:space="0" w:color="auto"/>
            <w:right w:val="none" w:sz="0" w:space="0" w:color="auto"/>
          </w:divBdr>
        </w:div>
        <w:div w:id="17245434">
          <w:marLeft w:val="0"/>
          <w:marRight w:val="0"/>
          <w:marTop w:val="0"/>
          <w:marBottom w:val="0"/>
          <w:divBdr>
            <w:top w:val="none" w:sz="0" w:space="0" w:color="auto"/>
            <w:left w:val="none" w:sz="0" w:space="0" w:color="auto"/>
            <w:bottom w:val="none" w:sz="0" w:space="0" w:color="auto"/>
            <w:right w:val="none" w:sz="0" w:space="0" w:color="auto"/>
          </w:divBdr>
        </w:div>
        <w:div w:id="440338407">
          <w:marLeft w:val="0"/>
          <w:marRight w:val="0"/>
          <w:marTop w:val="0"/>
          <w:marBottom w:val="0"/>
          <w:divBdr>
            <w:top w:val="none" w:sz="0" w:space="0" w:color="auto"/>
            <w:left w:val="none" w:sz="0" w:space="0" w:color="auto"/>
            <w:bottom w:val="none" w:sz="0" w:space="0" w:color="auto"/>
            <w:right w:val="none" w:sz="0" w:space="0" w:color="auto"/>
          </w:divBdr>
        </w:div>
        <w:div w:id="832379327">
          <w:marLeft w:val="0"/>
          <w:marRight w:val="0"/>
          <w:marTop w:val="0"/>
          <w:marBottom w:val="0"/>
          <w:divBdr>
            <w:top w:val="none" w:sz="0" w:space="0" w:color="auto"/>
            <w:left w:val="none" w:sz="0" w:space="0" w:color="auto"/>
            <w:bottom w:val="none" w:sz="0" w:space="0" w:color="auto"/>
            <w:right w:val="none" w:sz="0" w:space="0" w:color="auto"/>
          </w:divBdr>
        </w:div>
        <w:div w:id="1144784086">
          <w:marLeft w:val="0"/>
          <w:marRight w:val="0"/>
          <w:marTop w:val="0"/>
          <w:marBottom w:val="0"/>
          <w:divBdr>
            <w:top w:val="none" w:sz="0" w:space="0" w:color="auto"/>
            <w:left w:val="none" w:sz="0" w:space="0" w:color="auto"/>
            <w:bottom w:val="none" w:sz="0" w:space="0" w:color="auto"/>
            <w:right w:val="none" w:sz="0" w:space="0" w:color="auto"/>
          </w:divBdr>
        </w:div>
        <w:div w:id="2093313786">
          <w:marLeft w:val="0"/>
          <w:marRight w:val="0"/>
          <w:marTop w:val="0"/>
          <w:marBottom w:val="0"/>
          <w:divBdr>
            <w:top w:val="none" w:sz="0" w:space="0" w:color="auto"/>
            <w:left w:val="none" w:sz="0" w:space="0" w:color="auto"/>
            <w:bottom w:val="none" w:sz="0" w:space="0" w:color="auto"/>
            <w:right w:val="none" w:sz="0" w:space="0" w:color="auto"/>
          </w:divBdr>
        </w:div>
        <w:div w:id="377317255">
          <w:marLeft w:val="0"/>
          <w:marRight w:val="0"/>
          <w:marTop w:val="0"/>
          <w:marBottom w:val="0"/>
          <w:divBdr>
            <w:top w:val="none" w:sz="0" w:space="0" w:color="auto"/>
            <w:left w:val="none" w:sz="0" w:space="0" w:color="auto"/>
            <w:bottom w:val="none" w:sz="0" w:space="0" w:color="auto"/>
            <w:right w:val="none" w:sz="0" w:space="0" w:color="auto"/>
          </w:divBdr>
        </w:div>
        <w:div w:id="1304967956">
          <w:marLeft w:val="0"/>
          <w:marRight w:val="0"/>
          <w:marTop w:val="0"/>
          <w:marBottom w:val="0"/>
          <w:divBdr>
            <w:top w:val="none" w:sz="0" w:space="0" w:color="auto"/>
            <w:left w:val="none" w:sz="0" w:space="0" w:color="auto"/>
            <w:bottom w:val="none" w:sz="0" w:space="0" w:color="auto"/>
            <w:right w:val="none" w:sz="0" w:space="0" w:color="auto"/>
          </w:divBdr>
        </w:div>
        <w:div w:id="71893362">
          <w:marLeft w:val="0"/>
          <w:marRight w:val="0"/>
          <w:marTop w:val="0"/>
          <w:marBottom w:val="0"/>
          <w:divBdr>
            <w:top w:val="none" w:sz="0" w:space="0" w:color="auto"/>
            <w:left w:val="none" w:sz="0" w:space="0" w:color="auto"/>
            <w:bottom w:val="none" w:sz="0" w:space="0" w:color="auto"/>
            <w:right w:val="none" w:sz="0" w:space="0" w:color="auto"/>
          </w:divBdr>
        </w:div>
        <w:div w:id="55670211">
          <w:marLeft w:val="0"/>
          <w:marRight w:val="0"/>
          <w:marTop w:val="0"/>
          <w:marBottom w:val="0"/>
          <w:divBdr>
            <w:top w:val="none" w:sz="0" w:space="0" w:color="auto"/>
            <w:left w:val="none" w:sz="0" w:space="0" w:color="auto"/>
            <w:bottom w:val="none" w:sz="0" w:space="0" w:color="auto"/>
            <w:right w:val="none" w:sz="0" w:space="0" w:color="auto"/>
          </w:divBdr>
        </w:div>
        <w:div w:id="1534341883">
          <w:marLeft w:val="0"/>
          <w:marRight w:val="0"/>
          <w:marTop w:val="0"/>
          <w:marBottom w:val="0"/>
          <w:divBdr>
            <w:top w:val="none" w:sz="0" w:space="0" w:color="auto"/>
            <w:left w:val="none" w:sz="0" w:space="0" w:color="auto"/>
            <w:bottom w:val="none" w:sz="0" w:space="0" w:color="auto"/>
            <w:right w:val="none" w:sz="0" w:space="0" w:color="auto"/>
          </w:divBdr>
        </w:div>
        <w:div w:id="1676179715">
          <w:marLeft w:val="0"/>
          <w:marRight w:val="0"/>
          <w:marTop w:val="0"/>
          <w:marBottom w:val="0"/>
          <w:divBdr>
            <w:top w:val="none" w:sz="0" w:space="0" w:color="auto"/>
            <w:left w:val="none" w:sz="0" w:space="0" w:color="auto"/>
            <w:bottom w:val="none" w:sz="0" w:space="0" w:color="auto"/>
            <w:right w:val="none" w:sz="0" w:space="0" w:color="auto"/>
          </w:divBdr>
        </w:div>
        <w:div w:id="343287977">
          <w:marLeft w:val="0"/>
          <w:marRight w:val="0"/>
          <w:marTop w:val="0"/>
          <w:marBottom w:val="0"/>
          <w:divBdr>
            <w:top w:val="none" w:sz="0" w:space="0" w:color="auto"/>
            <w:left w:val="none" w:sz="0" w:space="0" w:color="auto"/>
            <w:bottom w:val="none" w:sz="0" w:space="0" w:color="auto"/>
            <w:right w:val="none" w:sz="0" w:space="0" w:color="auto"/>
          </w:divBdr>
        </w:div>
        <w:div w:id="2129658154">
          <w:marLeft w:val="0"/>
          <w:marRight w:val="0"/>
          <w:marTop w:val="0"/>
          <w:marBottom w:val="0"/>
          <w:divBdr>
            <w:top w:val="none" w:sz="0" w:space="0" w:color="auto"/>
            <w:left w:val="none" w:sz="0" w:space="0" w:color="auto"/>
            <w:bottom w:val="none" w:sz="0" w:space="0" w:color="auto"/>
            <w:right w:val="none" w:sz="0" w:space="0" w:color="auto"/>
          </w:divBdr>
        </w:div>
        <w:div w:id="538976580">
          <w:marLeft w:val="0"/>
          <w:marRight w:val="0"/>
          <w:marTop w:val="0"/>
          <w:marBottom w:val="0"/>
          <w:divBdr>
            <w:top w:val="none" w:sz="0" w:space="0" w:color="auto"/>
            <w:left w:val="none" w:sz="0" w:space="0" w:color="auto"/>
            <w:bottom w:val="none" w:sz="0" w:space="0" w:color="auto"/>
            <w:right w:val="none" w:sz="0" w:space="0" w:color="auto"/>
          </w:divBdr>
        </w:div>
        <w:div w:id="1031613719">
          <w:marLeft w:val="0"/>
          <w:marRight w:val="0"/>
          <w:marTop w:val="0"/>
          <w:marBottom w:val="0"/>
          <w:divBdr>
            <w:top w:val="none" w:sz="0" w:space="0" w:color="auto"/>
            <w:left w:val="none" w:sz="0" w:space="0" w:color="auto"/>
            <w:bottom w:val="none" w:sz="0" w:space="0" w:color="auto"/>
            <w:right w:val="none" w:sz="0" w:space="0" w:color="auto"/>
          </w:divBdr>
        </w:div>
        <w:div w:id="1488285400">
          <w:marLeft w:val="0"/>
          <w:marRight w:val="0"/>
          <w:marTop w:val="0"/>
          <w:marBottom w:val="0"/>
          <w:divBdr>
            <w:top w:val="none" w:sz="0" w:space="0" w:color="auto"/>
            <w:left w:val="none" w:sz="0" w:space="0" w:color="auto"/>
            <w:bottom w:val="none" w:sz="0" w:space="0" w:color="auto"/>
            <w:right w:val="none" w:sz="0" w:space="0" w:color="auto"/>
          </w:divBdr>
        </w:div>
      </w:divsChild>
    </w:div>
    <w:div w:id="1940062997">
      <w:bodyDiv w:val="1"/>
      <w:marLeft w:val="0"/>
      <w:marRight w:val="0"/>
      <w:marTop w:val="0"/>
      <w:marBottom w:val="0"/>
      <w:divBdr>
        <w:top w:val="none" w:sz="0" w:space="0" w:color="auto"/>
        <w:left w:val="none" w:sz="0" w:space="0" w:color="auto"/>
        <w:bottom w:val="none" w:sz="0" w:space="0" w:color="auto"/>
        <w:right w:val="none" w:sz="0" w:space="0" w:color="auto"/>
      </w:divBdr>
    </w:div>
    <w:div w:id="1942175363">
      <w:bodyDiv w:val="1"/>
      <w:marLeft w:val="0"/>
      <w:marRight w:val="0"/>
      <w:marTop w:val="0"/>
      <w:marBottom w:val="0"/>
      <w:divBdr>
        <w:top w:val="none" w:sz="0" w:space="0" w:color="auto"/>
        <w:left w:val="none" w:sz="0" w:space="0" w:color="auto"/>
        <w:bottom w:val="none" w:sz="0" w:space="0" w:color="auto"/>
        <w:right w:val="none" w:sz="0" w:space="0" w:color="auto"/>
      </w:divBdr>
    </w:div>
    <w:div w:id="1949779478">
      <w:bodyDiv w:val="1"/>
      <w:marLeft w:val="0"/>
      <w:marRight w:val="0"/>
      <w:marTop w:val="0"/>
      <w:marBottom w:val="0"/>
      <w:divBdr>
        <w:top w:val="none" w:sz="0" w:space="0" w:color="auto"/>
        <w:left w:val="none" w:sz="0" w:space="0" w:color="auto"/>
        <w:bottom w:val="none" w:sz="0" w:space="0" w:color="auto"/>
        <w:right w:val="none" w:sz="0" w:space="0" w:color="auto"/>
      </w:divBdr>
    </w:div>
    <w:div w:id="1951550048">
      <w:bodyDiv w:val="1"/>
      <w:marLeft w:val="0"/>
      <w:marRight w:val="0"/>
      <w:marTop w:val="0"/>
      <w:marBottom w:val="0"/>
      <w:divBdr>
        <w:top w:val="none" w:sz="0" w:space="0" w:color="auto"/>
        <w:left w:val="none" w:sz="0" w:space="0" w:color="auto"/>
        <w:bottom w:val="none" w:sz="0" w:space="0" w:color="auto"/>
        <w:right w:val="none" w:sz="0" w:space="0" w:color="auto"/>
      </w:divBdr>
    </w:div>
    <w:div w:id="1952323968">
      <w:bodyDiv w:val="1"/>
      <w:marLeft w:val="0"/>
      <w:marRight w:val="0"/>
      <w:marTop w:val="0"/>
      <w:marBottom w:val="0"/>
      <w:divBdr>
        <w:top w:val="none" w:sz="0" w:space="0" w:color="auto"/>
        <w:left w:val="none" w:sz="0" w:space="0" w:color="auto"/>
        <w:bottom w:val="none" w:sz="0" w:space="0" w:color="auto"/>
        <w:right w:val="none" w:sz="0" w:space="0" w:color="auto"/>
      </w:divBdr>
    </w:div>
    <w:div w:id="1955743322">
      <w:bodyDiv w:val="1"/>
      <w:marLeft w:val="0"/>
      <w:marRight w:val="0"/>
      <w:marTop w:val="0"/>
      <w:marBottom w:val="0"/>
      <w:divBdr>
        <w:top w:val="none" w:sz="0" w:space="0" w:color="auto"/>
        <w:left w:val="none" w:sz="0" w:space="0" w:color="auto"/>
        <w:bottom w:val="none" w:sz="0" w:space="0" w:color="auto"/>
        <w:right w:val="none" w:sz="0" w:space="0" w:color="auto"/>
      </w:divBdr>
    </w:div>
    <w:div w:id="1955940840">
      <w:bodyDiv w:val="1"/>
      <w:marLeft w:val="0"/>
      <w:marRight w:val="0"/>
      <w:marTop w:val="0"/>
      <w:marBottom w:val="0"/>
      <w:divBdr>
        <w:top w:val="none" w:sz="0" w:space="0" w:color="auto"/>
        <w:left w:val="none" w:sz="0" w:space="0" w:color="auto"/>
        <w:bottom w:val="none" w:sz="0" w:space="0" w:color="auto"/>
        <w:right w:val="none" w:sz="0" w:space="0" w:color="auto"/>
      </w:divBdr>
    </w:div>
    <w:div w:id="1958835196">
      <w:bodyDiv w:val="1"/>
      <w:marLeft w:val="0"/>
      <w:marRight w:val="0"/>
      <w:marTop w:val="0"/>
      <w:marBottom w:val="0"/>
      <w:divBdr>
        <w:top w:val="none" w:sz="0" w:space="0" w:color="auto"/>
        <w:left w:val="none" w:sz="0" w:space="0" w:color="auto"/>
        <w:bottom w:val="none" w:sz="0" w:space="0" w:color="auto"/>
        <w:right w:val="none" w:sz="0" w:space="0" w:color="auto"/>
      </w:divBdr>
    </w:div>
    <w:div w:id="1960405510">
      <w:bodyDiv w:val="1"/>
      <w:marLeft w:val="0"/>
      <w:marRight w:val="0"/>
      <w:marTop w:val="0"/>
      <w:marBottom w:val="0"/>
      <w:divBdr>
        <w:top w:val="none" w:sz="0" w:space="0" w:color="auto"/>
        <w:left w:val="none" w:sz="0" w:space="0" w:color="auto"/>
        <w:bottom w:val="none" w:sz="0" w:space="0" w:color="auto"/>
        <w:right w:val="none" w:sz="0" w:space="0" w:color="auto"/>
      </w:divBdr>
    </w:div>
    <w:div w:id="1960721356">
      <w:bodyDiv w:val="1"/>
      <w:marLeft w:val="0"/>
      <w:marRight w:val="0"/>
      <w:marTop w:val="0"/>
      <w:marBottom w:val="0"/>
      <w:divBdr>
        <w:top w:val="none" w:sz="0" w:space="0" w:color="auto"/>
        <w:left w:val="none" w:sz="0" w:space="0" w:color="auto"/>
        <w:bottom w:val="none" w:sz="0" w:space="0" w:color="auto"/>
        <w:right w:val="none" w:sz="0" w:space="0" w:color="auto"/>
      </w:divBdr>
    </w:div>
    <w:div w:id="1962764648">
      <w:bodyDiv w:val="1"/>
      <w:marLeft w:val="0"/>
      <w:marRight w:val="0"/>
      <w:marTop w:val="0"/>
      <w:marBottom w:val="0"/>
      <w:divBdr>
        <w:top w:val="none" w:sz="0" w:space="0" w:color="auto"/>
        <w:left w:val="none" w:sz="0" w:space="0" w:color="auto"/>
        <w:bottom w:val="none" w:sz="0" w:space="0" w:color="auto"/>
        <w:right w:val="none" w:sz="0" w:space="0" w:color="auto"/>
      </w:divBdr>
    </w:div>
    <w:div w:id="1963225551">
      <w:bodyDiv w:val="1"/>
      <w:marLeft w:val="0"/>
      <w:marRight w:val="0"/>
      <w:marTop w:val="0"/>
      <w:marBottom w:val="0"/>
      <w:divBdr>
        <w:top w:val="none" w:sz="0" w:space="0" w:color="auto"/>
        <w:left w:val="none" w:sz="0" w:space="0" w:color="auto"/>
        <w:bottom w:val="none" w:sz="0" w:space="0" w:color="auto"/>
        <w:right w:val="none" w:sz="0" w:space="0" w:color="auto"/>
      </w:divBdr>
    </w:div>
    <w:div w:id="1963730804">
      <w:bodyDiv w:val="1"/>
      <w:marLeft w:val="0"/>
      <w:marRight w:val="0"/>
      <w:marTop w:val="0"/>
      <w:marBottom w:val="0"/>
      <w:divBdr>
        <w:top w:val="none" w:sz="0" w:space="0" w:color="auto"/>
        <w:left w:val="none" w:sz="0" w:space="0" w:color="auto"/>
        <w:bottom w:val="none" w:sz="0" w:space="0" w:color="auto"/>
        <w:right w:val="none" w:sz="0" w:space="0" w:color="auto"/>
      </w:divBdr>
    </w:div>
    <w:div w:id="1964654061">
      <w:bodyDiv w:val="1"/>
      <w:marLeft w:val="0"/>
      <w:marRight w:val="0"/>
      <w:marTop w:val="0"/>
      <w:marBottom w:val="0"/>
      <w:divBdr>
        <w:top w:val="none" w:sz="0" w:space="0" w:color="auto"/>
        <w:left w:val="none" w:sz="0" w:space="0" w:color="auto"/>
        <w:bottom w:val="none" w:sz="0" w:space="0" w:color="auto"/>
        <w:right w:val="none" w:sz="0" w:space="0" w:color="auto"/>
      </w:divBdr>
    </w:div>
    <w:div w:id="1967613584">
      <w:bodyDiv w:val="1"/>
      <w:marLeft w:val="0"/>
      <w:marRight w:val="0"/>
      <w:marTop w:val="0"/>
      <w:marBottom w:val="0"/>
      <w:divBdr>
        <w:top w:val="none" w:sz="0" w:space="0" w:color="auto"/>
        <w:left w:val="none" w:sz="0" w:space="0" w:color="auto"/>
        <w:bottom w:val="none" w:sz="0" w:space="0" w:color="auto"/>
        <w:right w:val="none" w:sz="0" w:space="0" w:color="auto"/>
      </w:divBdr>
    </w:div>
    <w:div w:id="1971354086">
      <w:bodyDiv w:val="1"/>
      <w:marLeft w:val="0"/>
      <w:marRight w:val="0"/>
      <w:marTop w:val="0"/>
      <w:marBottom w:val="0"/>
      <w:divBdr>
        <w:top w:val="none" w:sz="0" w:space="0" w:color="auto"/>
        <w:left w:val="none" w:sz="0" w:space="0" w:color="auto"/>
        <w:bottom w:val="none" w:sz="0" w:space="0" w:color="auto"/>
        <w:right w:val="none" w:sz="0" w:space="0" w:color="auto"/>
      </w:divBdr>
    </w:div>
    <w:div w:id="1971781866">
      <w:bodyDiv w:val="1"/>
      <w:marLeft w:val="0"/>
      <w:marRight w:val="0"/>
      <w:marTop w:val="0"/>
      <w:marBottom w:val="0"/>
      <w:divBdr>
        <w:top w:val="none" w:sz="0" w:space="0" w:color="auto"/>
        <w:left w:val="none" w:sz="0" w:space="0" w:color="auto"/>
        <w:bottom w:val="none" w:sz="0" w:space="0" w:color="auto"/>
        <w:right w:val="none" w:sz="0" w:space="0" w:color="auto"/>
      </w:divBdr>
    </w:div>
    <w:div w:id="1972977794">
      <w:bodyDiv w:val="1"/>
      <w:marLeft w:val="0"/>
      <w:marRight w:val="0"/>
      <w:marTop w:val="0"/>
      <w:marBottom w:val="0"/>
      <w:divBdr>
        <w:top w:val="none" w:sz="0" w:space="0" w:color="auto"/>
        <w:left w:val="none" w:sz="0" w:space="0" w:color="auto"/>
        <w:bottom w:val="none" w:sz="0" w:space="0" w:color="auto"/>
        <w:right w:val="none" w:sz="0" w:space="0" w:color="auto"/>
      </w:divBdr>
    </w:div>
    <w:div w:id="1974289720">
      <w:bodyDiv w:val="1"/>
      <w:marLeft w:val="0"/>
      <w:marRight w:val="0"/>
      <w:marTop w:val="0"/>
      <w:marBottom w:val="0"/>
      <w:divBdr>
        <w:top w:val="none" w:sz="0" w:space="0" w:color="auto"/>
        <w:left w:val="none" w:sz="0" w:space="0" w:color="auto"/>
        <w:bottom w:val="none" w:sz="0" w:space="0" w:color="auto"/>
        <w:right w:val="none" w:sz="0" w:space="0" w:color="auto"/>
      </w:divBdr>
    </w:div>
    <w:div w:id="1984193611">
      <w:bodyDiv w:val="1"/>
      <w:marLeft w:val="0"/>
      <w:marRight w:val="0"/>
      <w:marTop w:val="0"/>
      <w:marBottom w:val="0"/>
      <w:divBdr>
        <w:top w:val="none" w:sz="0" w:space="0" w:color="auto"/>
        <w:left w:val="none" w:sz="0" w:space="0" w:color="auto"/>
        <w:bottom w:val="none" w:sz="0" w:space="0" w:color="auto"/>
        <w:right w:val="none" w:sz="0" w:space="0" w:color="auto"/>
      </w:divBdr>
    </w:div>
    <w:div w:id="1986012193">
      <w:bodyDiv w:val="1"/>
      <w:marLeft w:val="0"/>
      <w:marRight w:val="0"/>
      <w:marTop w:val="0"/>
      <w:marBottom w:val="0"/>
      <w:divBdr>
        <w:top w:val="none" w:sz="0" w:space="0" w:color="auto"/>
        <w:left w:val="none" w:sz="0" w:space="0" w:color="auto"/>
        <w:bottom w:val="none" w:sz="0" w:space="0" w:color="auto"/>
        <w:right w:val="none" w:sz="0" w:space="0" w:color="auto"/>
      </w:divBdr>
    </w:div>
    <w:div w:id="1991009428">
      <w:bodyDiv w:val="1"/>
      <w:marLeft w:val="0"/>
      <w:marRight w:val="0"/>
      <w:marTop w:val="0"/>
      <w:marBottom w:val="0"/>
      <w:divBdr>
        <w:top w:val="none" w:sz="0" w:space="0" w:color="auto"/>
        <w:left w:val="none" w:sz="0" w:space="0" w:color="auto"/>
        <w:bottom w:val="none" w:sz="0" w:space="0" w:color="auto"/>
        <w:right w:val="none" w:sz="0" w:space="0" w:color="auto"/>
      </w:divBdr>
    </w:div>
    <w:div w:id="1997220649">
      <w:bodyDiv w:val="1"/>
      <w:marLeft w:val="0"/>
      <w:marRight w:val="0"/>
      <w:marTop w:val="0"/>
      <w:marBottom w:val="0"/>
      <w:divBdr>
        <w:top w:val="none" w:sz="0" w:space="0" w:color="auto"/>
        <w:left w:val="none" w:sz="0" w:space="0" w:color="auto"/>
        <w:bottom w:val="none" w:sz="0" w:space="0" w:color="auto"/>
        <w:right w:val="none" w:sz="0" w:space="0" w:color="auto"/>
      </w:divBdr>
    </w:div>
    <w:div w:id="1997681864">
      <w:bodyDiv w:val="1"/>
      <w:marLeft w:val="0"/>
      <w:marRight w:val="0"/>
      <w:marTop w:val="0"/>
      <w:marBottom w:val="0"/>
      <w:divBdr>
        <w:top w:val="none" w:sz="0" w:space="0" w:color="auto"/>
        <w:left w:val="none" w:sz="0" w:space="0" w:color="auto"/>
        <w:bottom w:val="none" w:sz="0" w:space="0" w:color="auto"/>
        <w:right w:val="none" w:sz="0" w:space="0" w:color="auto"/>
      </w:divBdr>
    </w:div>
    <w:div w:id="2002387561">
      <w:bodyDiv w:val="1"/>
      <w:marLeft w:val="0"/>
      <w:marRight w:val="0"/>
      <w:marTop w:val="0"/>
      <w:marBottom w:val="0"/>
      <w:divBdr>
        <w:top w:val="none" w:sz="0" w:space="0" w:color="auto"/>
        <w:left w:val="none" w:sz="0" w:space="0" w:color="auto"/>
        <w:bottom w:val="none" w:sz="0" w:space="0" w:color="auto"/>
        <w:right w:val="none" w:sz="0" w:space="0" w:color="auto"/>
      </w:divBdr>
    </w:div>
    <w:div w:id="2004317093">
      <w:bodyDiv w:val="1"/>
      <w:marLeft w:val="0"/>
      <w:marRight w:val="0"/>
      <w:marTop w:val="0"/>
      <w:marBottom w:val="0"/>
      <w:divBdr>
        <w:top w:val="none" w:sz="0" w:space="0" w:color="auto"/>
        <w:left w:val="none" w:sz="0" w:space="0" w:color="auto"/>
        <w:bottom w:val="none" w:sz="0" w:space="0" w:color="auto"/>
        <w:right w:val="none" w:sz="0" w:space="0" w:color="auto"/>
      </w:divBdr>
    </w:div>
    <w:div w:id="2007123926">
      <w:bodyDiv w:val="1"/>
      <w:marLeft w:val="0"/>
      <w:marRight w:val="0"/>
      <w:marTop w:val="0"/>
      <w:marBottom w:val="0"/>
      <w:divBdr>
        <w:top w:val="none" w:sz="0" w:space="0" w:color="auto"/>
        <w:left w:val="none" w:sz="0" w:space="0" w:color="auto"/>
        <w:bottom w:val="none" w:sz="0" w:space="0" w:color="auto"/>
        <w:right w:val="none" w:sz="0" w:space="0" w:color="auto"/>
      </w:divBdr>
    </w:div>
    <w:div w:id="2008054601">
      <w:bodyDiv w:val="1"/>
      <w:marLeft w:val="0"/>
      <w:marRight w:val="0"/>
      <w:marTop w:val="0"/>
      <w:marBottom w:val="0"/>
      <w:divBdr>
        <w:top w:val="none" w:sz="0" w:space="0" w:color="auto"/>
        <w:left w:val="none" w:sz="0" w:space="0" w:color="auto"/>
        <w:bottom w:val="none" w:sz="0" w:space="0" w:color="auto"/>
        <w:right w:val="none" w:sz="0" w:space="0" w:color="auto"/>
      </w:divBdr>
    </w:div>
    <w:div w:id="2012946098">
      <w:bodyDiv w:val="1"/>
      <w:marLeft w:val="0"/>
      <w:marRight w:val="0"/>
      <w:marTop w:val="0"/>
      <w:marBottom w:val="0"/>
      <w:divBdr>
        <w:top w:val="none" w:sz="0" w:space="0" w:color="auto"/>
        <w:left w:val="none" w:sz="0" w:space="0" w:color="auto"/>
        <w:bottom w:val="none" w:sz="0" w:space="0" w:color="auto"/>
        <w:right w:val="none" w:sz="0" w:space="0" w:color="auto"/>
      </w:divBdr>
    </w:div>
    <w:div w:id="2014918621">
      <w:bodyDiv w:val="1"/>
      <w:marLeft w:val="0"/>
      <w:marRight w:val="0"/>
      <w:marTop w:val="0"/>
      <w:marBottom w:val="0"/>
      <w:divBdr>
        <w:top w:val="none" w:sz="0" w:space="0" w:color="auto"/>
        <w:left w:val="none" w:sz="0" w:space="0" w:color="auto"/>
        <w:bottom w:val="none" w:sz="0" w:space="0" w:color="auto"/>
        <w:right w:val="none" w:sz="0" w:space="0" w:color="auto"/>
      </w:divBdr>
    </w:div>
    <w:div w:id="2020279561">
      <w:bodyDiv w:val="1"/>
      <w:marLeft w:val="0"/>
      <w:marRight w:val="0"/>
      <w:marTop w:val="0"/>
      <w:marBottom w:val="0"/>
      <w:divBdr>
        <w:top w:val="none" w:sz="0" w:space="0" w:color="auto"/>
        <w:left w:val="none" w:sz="0" w:space="0" w:color="auto"/>
        <w:bottom w:val="none" w:sz="0" w:space="0" w:color="auto"/>
        <w:right w:val="none" w:sz="0" w:space="0" w:color="auto"/>
      </w:divBdr>
      <w:divsChild>
        <w:div w:id="1878276527">
          <w:marLeft w:val="0"/>
          <w:marRight w:val="0"/>
          <w:marTop w:val="0"/>
          <w:marBottom w:val="0"/>
          <w:divBdr>
            <w:top w:val="none" w:sz="0" w:space="0" w:color="auto"/>
            <w:left w:val="none" w:sz="0" w:space="0" w:color="auto"/>
            <w:bottom w:val="none" w:sz="0" w:space="0" w:color="auto"/>
            <w:right w:val="none" w:sz="0" w:space="0" w:color="auto"/>
          </w:divBdr>
        </w:div>
      </w:divsChild>
    </w:div>
    <w:div w:id="2024553784">
      <w:bodyDiv w:val="1"/>
      <w:marLeft w:val="0"/>
      <w:marRight w:val="0"/>
      <w:marTop w:val="0"/>
      <w:marBottom w:val="0"/>
      <w:divBdr>
        <w:top w:val="none" w:sz="0" w:space="0" w:color="auto"/>
        <w:left w:val="none" w:sz="0" w:space="0" w:color="auto"/>
        <w:bottom w:val="none" w:sz="0" w:space="0" w:color="auto"/>
        <w:right w:val="none" w:sz="0" w:space="0" w:color="auto"/>
      </w:divBdr>
    </w:div>
    <w:div w:id="2035576163">
      <w:bodyDiv w:val="1"/>
      <w:marLeft w:val="0"/>
      <w:marRight w:val="0"/>
      <w:marTop w:val="0"/>
      <w:marBottom w:val="0"/>
      <w:divBdr>
        <w:top w:val="none" w:sz="0" w:space="0" w:color="auto"/>
        <w:left w:val="none" w:sz="0" w:space="0" w:color="auto"/>
        <w:bottom w:val="none" w:sz="0" w:space="0" w:color="auto"/>
        <w:right w:val="none" w:sz="0" w:space="0" w:color="auto"/>
      </w:divBdr>
    </w:div>
    <w:div w:id="2036732389">
      <w:bodyDiv w:val="1"/>
      <w:marLeft w:val="0"/>
      <w:marRight w:val="0"/>
      <w:marTop w:val="0"/>
      <w:marBottom w:val="0"/>
      <w:divBdr>
        <w:top w:val="none" w:sz="0" w:space="0" w:color="auto"/>
        <w:left w:val="none" w:sz="0" w:space="0" w:color="auto"/>
        <w:bottom w:val="none" w:sz="0" w:space="0" w:color="auto"/>
        <w:right w:val="none" w:sz="0" w:space="0" w:color="auto"/>
      </w:divBdr>
    </w:div>
    <w:div w:id="2037150926">
      <w:bodyDiv w:val="1"/>
      <w:marLeft w:val="0"/>
      <w:marRight w:val="0"/>
      <w:marTop w:val="0"/>
      <w:marBottom w:val="0"/>
      <w:divBdr>
        <w:top w:val="none" w:sz="0" w:space="0" w:color="auto"/>
        <w:left w:val="none" w:sz="0" w:space="0" w:color="auto"/>
        <w:bottom w:val="none" w:sz="0" w:space="0" w:color="auto"/>
        <w:right w:val="none" w:sz="0" w:space="0" w:color="auto"/>
      </w:divBdr>
    </w:div>
    <w:div w:id="2039621000">
      <w:bodyDiv w:val="1"/>
      <w:marLeft w:val="0"/>
      <w:marRight w:val="0"/>
      <w:marTop w:val="0"/>
      <w:marBottom w:val="0"/>
      <w:divBdr>
        <w:top w:val="none" w:sz="0" w:space="0" w:color="auto"/>
        <w:left w:val="none" w:sz="0" w:space="0" w:color="auto"/>
        <w:bottom w:val="none" w:sz="0" w:space="0" w:color="auto"/>
        <w:right w:val="none" w:sz="0" w:space="0" w:color="auto"/>
      </w:divBdr>
    </w:div>
    <w:div w:id="2047638379">
      <w:bodyDiv w:val="1"/>
      <w:marLeft w:val="0"/>
      <w:marRight w:val="0"/>
      <w:marTop w:val="0"/>
      <w:marBottom w:val="0"/>
      <w:divBdr>
        <w:top w:val="none" w:sz="0" w:space="0" w:color="auto"/>
        <w:left w:val="none" w:sz="0" w:space="0" w:color="auto"/>
        <w:bottom w:val="none" w:sz="0" w:space="0" w:color="auto"/>
        <w:right w:val="none" w:sz="0" w:space="0" w:color="auto"/>
      </w:divBdr>
    </w:div>
    <w:div w:id="2047833600">
      <w:bodyDiv w:val="1"/>
      <w:marLeft w:val="0"/>
      <w:marRight w:val="0"/>
      <w:marTop w:val="0"/>
      <w:marBottom w:val="0"/>
      <w:divBdr>
        <w:top w:val="none" w:sz="0" w:space="0" w:color="auto"/>
        <w:left w:val="none" w:sz="0" w:space="0" w:color="auto"/>
        <w:bottom w:val="none" w:sz="0" w:space="0" w:color="auto"/>
        <w:right w:val="none" w:sz="0" w:space="0" w:color="auto"/>
      </w:divBdr>
    </w:div>
    <w:div w:id="2052873079">
      <w:bodyDiv w:val="1"/>
      <w:marLeft w:val="0"/>
      <w:marRight w:val="0"/>
      <w:marTop w:val="0"/>
      <w:marBottom w:val="0"/>
      <w:divBdr>
        <w:top w:val="none" w:sz="0" w:space="0" w:color="auto"/>
        <w:left w:val="none" w:sz="0" w:space="0" w:color="auto"/>
        <w:bottom w:val="none" w:sz="0" w:space="0" w:color="auto"/>
        <w:right w:val="none" w:sz="0" w:space="0" w:color="auto"/>
      </w:divBdr>
    </w:div>
    <w:div w:id="2058780194">
      <w:bodyDiv w:val="1"/>
      <w:marLeft w:val="0"/>
      <w:marRight w:val="0"/>
      <w:marTop w:val="0"/>
      <w:marBottom w:val="0"/>
      <w:divBdr>
        <w:top w:val="none" w:sz="0" w:space="0" w:color="auto"/>
        <w:left w:val="none" w:sz="0" w:space="0" w:color="auto"/>
        <w:bottom w:val="none" w:sz="0" w:space="0" w:color="auto"/>
        <w:right w:val="none" w:sz="0" w:space="0" w:color="auto"/>
      </w:divBdr>
    </w:div>
    <w:div w:id="2066443352">
      <w:bodyDiv w:val="1"/>
      <w:marLeft w:val="0"/>
      <w:marRight w:val="0"/>
      <w:marTop w:val="0"/>
      <w:marBottom w:val="0"/>
      <w:divBdr>
        <w:top w:val="none" w:sz="0" w:space="0" w:color="auto"/>
        <w:left w:val="none" w:sz="0" w:space="0" w:color="auto"/>
        <w:bottom w:val="none" w:sz="0" w:space="0" w:color="auto"/>
        <w:right w:val="none" w:sz="0" w:space="0" w:color="auto"/>
      </w:divBdr>
    </w:div>
    <w:div w:id="2068064551">
      <w:bodyDiv w:val="1"/>
      <w:marLeft w:val="0"/>
      <w:marRight w:val="0"/>
      <w:marTop w:val="0"/>
      <w:marBottom w:val="0"/>
      <w:divBdr>
        <w:top w:val="none" w:sz="0" w:space="0" w:color="auto"/>
        <w:left w:val="none" w:sz="0" w:space="0" w:color="auto"/>
        <w:bottom w:val="none" w:sz="0" w:space="0" w:color="auto"/>
        <w:right w:val="none" w:sz="0" w:space="0" w:color="auto"/>
      </w:divBdr>
    </w:div>
    <w:div w:id="2076394623">
      <w:bodyDiv w:val="1"/>
      <w:marLeft w:val="0"/>
      <w:marRight w:val="0"/>
      <w:marTop w:val="0"/>
      <w:marBottom w:val="0"/>
      <w:divBdr>
        <w:top w:val="none" w:sz="0" w:space="0" w:color="auto"/>
        <w:left w:val="none" w:sz="0" w:space="0" w:color="auto"/>
        <w:bottom w:val="none" w:sz="0" w:space="0" w:color="auto"/>
        <w:right w:val="none" w:sz="0" w:space="0" w:color="auto"/>
      </w:divBdr>
    </w:div>
    <w:div w:id="2078746464">
      <w:bodyDiv w:val="1"/>
      <w:marLeft w:val="0"/>
      <w:marRight w:val="0"/>
      <w:marTop w:val="0"/>
      <w:marBottom w:val="0"/>
      <w:divBdr>
        <w:top w:val="none" w:sz="0" w:space="0" w:color="auto"/>
        <w:left w:val="none" w:sz="0" w:space="0" w:color="auto"/>
        <w:bottom w:val="none" w:sz="0" w:space="0" w:color="auto"/>
        <w:right w:val="none" w:sz="0" w:space="0" w:color="auto"/>
      </w:divBdr>
    </w:div>
    <w:div w:id="2080518875">
      <w:bodyDiv w:val="1"/>
      <w:marLeft w:val="0"/>
      <w:marRight w:val="0"/>
      <w:marTop w:val="0"/>
      <w:marBottom w:val="0"/>
      <w:divBdr>
        <w:top w:val="none" w:sz="0" w:space="0" w:color="auto"/>
        <w:left w:val="none" w:sz="0" w:space="0" w:color="auto"/>
        <w:bottom w:val="none" w:sz="0" w:space="0" w:color="auto"/>
        <w:right w:val="none" w:sz="0" w:space="0" w:color="auto"/>
      </w:divBdr>
    </w:div>
    <w:div w:id="2086418472">
      <w:bodyDiv w:val="1"/>
      <w:marLeft w:val="0"/>
      <w:marRight w:val="0"/>
      <w:marTop w:val="0"/>
      <w:marBottom w:val="0"/>
      <w:divBdr>
        <w:top w:val="none" w:sz="0" w:space="0" w:color="auto"/>
        <w:left w:val="none" w:sz="0" w:space="0" w:color="auto"/>
        <w:bottom w:val="none" w:sz="0" w:space="0" w:color="auto"/>
        <w:right w:val="none" w:sz="0" w:space="0" w:color="auto"/>
      </w:divBdr>
    </w:div>
    <w:div w:id="2087722677">
      <w:bodyDiv w:val="1"/>
      <w:marLeft w:val="0"/>
      <w:marRight w:val="0"/>
      <w:marTop w:val="0"/>
      <w:marBottom w:val="0"/>
      <w:divBdr>
        <w:top w:val="none" w:sz="0" w:space="0" w:color="auto"/>
        <w:left w:val="none" w:sz="0" w:space="0" w:color="auto"/>
        <w:bottom w:val="none" w:sz="0" w:space="0" w:color="auto"/>
        <w:right w:val="none" w:sz="0" w:space="0" w:color="auto"/>
      </w:divBdr>
    </w:div>
    <w:div w:id="2087797276">
      <w:bodyDiv w:val="1"/>
      <w:marLeft w:val="0"/>
      <w:marRight w:val="0"/>
      <w:marTop w:val="0"/>
      <w:marBottom w:val="0"/>
      <w:divBdr>
        <w:top w:val="none" w:sz="0" w:space="0" w:color="auto"/>
        <w:left w:val="none" w:sz="0" w:space="0" w:color="auto"/>
        <w:bottom w:val="none" w:sz="0" w:space="0" w:color="auto"/>
        <w:right w:val="none" w:sz="0" w:space="0" w:color="auto"/>
      </w:divBdr>
    </w:div>
    <w:div w:id="2088576114">
      <w:bodyDiv w:val="1"/>
      <w:marLeft w:val="0"/>
      <w:marRight w:val="0"/>
      <w:marTop w:val="0"/>
      <w:marBottom w:val="0"/>
      <w:divBdr>
        <w:top w:val="none" w:sz="0" w:space="0" w:color="auto"/>
        <w:left w:val="none" w:sz="0" w:space="0" w:color="auto"/>
        <w:bottom w:val="none" w:sz="0" w:space="0" w:color="auto"/>
        <w:right w:val="none" w:sz="0" w:space="0" w:color="auto"/>
      </w:divBdr>
    </w:div>
    <w:div w:id="2089885212">
      <w:bodyDiv w:val="1"/>
      <w:marLeft w:val="0"/>
      <w:marRight w:val="0"/>
      <w:marTop w:val="0"/>
      <w:marBottom w:val="0"/>
      <w:divBdr>
        <w:top w:val="none" w:sz="0" w:space="0" w:color="auto"/>
        <w:left w:val="none" w:sz="0" w:space="0" w:color="auto"/>
        <w:bottom w:val="none" w:sz="0" w:space="0" w:color="auto"/>
        <w:right w:val="none" w:sz="0" w:space="0" w:color="auto"/>
      </w:divBdr>
    </w:div>
    <w:div w:id="2092576419">
      <w:bodyDiv w:val="1"/>
      <w:marLeft w:val="0"/>
      <w:marRight w:val="0"/>
      <w:marTop w:val="0"/>
      <w:marBottom w:val="0"/>
      <w:divBdr>
        <w:top w:val="none" w:sz="0" w:space="0" w:color="auto"/>
        <w:left w:val="none" w:sz="0" w:space="0" w:color="auto"/>
        <w:bottom w:val="none" w:sz="0" w:space="0" w:color="auto"/>
        <w:right w:val="none" w:sz="0" w:space="0" w:color="auto"/>
      </w:divBdr>
    </w:div>
    <w:div w:id="2097051941">
      <w:bodyDiv w:val="1"/>
      <w:marLeft w:val="0"/>
      <w:marRight w:val="0"/>
      <w:marTop w:val="0"/>
      <w:marBottom w:val="0"/>
      <w:divBdr>
        <w:top w:val="none" w:sz="0" w:space="0" w:color="auto"/>
        <w:left w:val="none" w:sz="0" w:space="0" w:color="auto"/>
        <w:bottom w:val="none" w:sz="0" w:space="0" w:color="auto"/>
        <w:right w:val="none" w:sz="0" w:space="0" w:color="auto"/>
      </w:divBdr>
    </w:div>
    <w:div w:id="2111583878">
      <w:bodyDiv w:val="1"/>
      <w:marLeft w:val="0"/>
      <w:marRight w:val="0"/>
      <w:marTop w:val="0"/>
      <w:marBottom w:val="0"/>
      <w:divBdr>
        <w:top w:val="none" w:sz="0" w:space="0" w:color="auto"/>
        <w:left w:val="none" w:sz="0" w:space="0" w:color="auto"/>
        <w:bottom w:val="none" w:sz="0" w:space="0" w:color="auto"/>
        <w:right w:val="none" w:sz="0" w:space="0" w:color="auto"/>
      </w:divBdr>
    </w:div>
    <w:div w:id="2114082707">
      <w:bodyDiv w:val="1"/>
      <w:marLeft w:val="0"/>
      <w:marRight w:val="0"/>
      <w:marTop w:val="0"/>
      <w:marBottom w:val="0"/>
      <w:divBdr>
        <w:top w:val="none" w:sz="0" w:space="0" w:color="auto"/>
        <w:left w:val="none" w:sz="0" w:space="0" w:color="auto"/>
        <w:bottom w:val="none" w:sz="0" w:space="0" w:color="auto"/>
        <w:right w:val="none" w:sz="0" w:space="0" w:color="auto"/>
      </w:divBdr>
    </w:div>
    <w:div w:id="2116175007">
      <w:bodyDiv w:val="1"/>
      <w:marLeft w:val="0"/>
      <w:marRight w:val="0"/>
      <w:marTop w:val="0"/>
      <w:marBottom w:val="0"/>
      <w:divBdr>
        <w:top w:val="none" w:sz="0" w:space="0" w:color="auto"/>
        <w:left w:val="none" w:sz="0" w:space="0" w:color="auto"/>
        <w:bottom w:val="none" w:sz="0" w:space="0" w:color="auto"/>
        <w:right w:val="none" w:sz="0" w:space="0" w:color="auto"/>
      </w:divBdr>
    </w:div>
    <w:div w:id="2116900903">
      <w:bodyDiv w:val="1"/>
      <w:marLeft w:val="0"/>
      <w:marRight w:val="0"/>
      <w:marTop w:val="0"/>
      <w:marBottom w:val="0"/>
      <w:divBdr>
        <w:top w:val="none" w:sz="0" w:space="0" w:color="auto"/>
        <w:left w:val="none" w:sz="0" w:space="0" w:color="auto"/>
        <w:bottom w:val="none" w:sz="0" w:space="0" w:color="auto"/>
        <w:right w:val="none" w:sz="0" w:space="0" w:color="auto"/>
      </w:divBdr>
    </w:div>
    <w:div w:id="2119831037">
      <w:bodyDiv w:val="1"/>
      <w:marLeft w:val="0"/>
      <w:marRight w:val="0"/>
      <w:marTop w:val="0"/>
      <w:marBottom w:val="0"/>
      <w:divBdr>
        <w:top w:val="none" w:sz="0" w:space="0" w:color="auto"/>
        <w:left w:val="none" w:sz="0" w:space="0" w:color="auto"/>
        <w:bottom w:val="none" w:sz="0" w:space="0" w:color="auto"/>
        <w:right w:val="none" w:sz="0" w:space="0" w:color="auto"/>
      </w:divBdr>
    </w:div>
    <w:div w:id="2120877809">
      <w:bodyDiv w:val="1"/>
      <w:marLeft w:val="0"/>
      <w:marRight w:val="0"/>
      <w:marTop w:val="0"/>
      <w:marBottom w:val="0"/>
      <w:divBdr>
        <w:top w:val="none" w:sz="0" w:space="0" w:color="auto"/>
        <w:left w:val="none" w:sz="0" w:space="0" w:color="auto"/>
        <w:bottom w:val="none" w:sz="0" w:space="0" w:color="auto"/>
        <w:right w:val="none" w:sz="0" w:space="0" w:color="auto"/>
      </w:divBdr>
    </w:div>
    <w:div w:id="2135246247">
      <w:bodyDiv w:val="1"/>
      <w:marLeft w:val="0"/>
      <w:marRight w:val="0"/>
      <w:marTop w:val="0"/>
      <w:marBottom w:val="0"/>
      <w:divBdr>
        <w:top w:val="none" w:sz="0" w:space="0" w:color="auto"/>
        <w:left w:val="none" w:sz="0" w:space="0" w:color="auto"/>
        <w:bottom w:val="none" w:sz="0" w:space="0" w:color="auto"/>
        <w:right w:val="none" w:sz="0" w:space="0" w:color="auto"/>
      </w:divBdr>
    </w:div>
    <w:div w:id="2135561872">
      <w:bodyDiv w:val="1"/>
      <w:marLeft w:val="0"/>
      <w:marRight w:val="0"/>
      <w:marTop w:val="0"/>
      <w:marBottom w:val="0"/>
      <w:divBdr>
        <w:top w:val="none" w:sz="0" w:space="0" w:color="auto"/>
        <w:left w:val="none" w:sz="0" w:space="0" w:color="auto"/>
        <w:bottom w:val="none" w:sz="0" w:space="0" w:color="auto"/>
        <w:right w:val="none" w:sz="0" w:space="0" w:color="auto"/>
      </w:divBdr>
    </w:div>
    <w:div w:id="2139568823">
      <w:bodyDiv w:val="1"/>
      <w:marLeft w:val="0"/>
      <w:marRight w:val="0"/>
      <w:marTop w:val="0"/>
      <w:marBottom w:val="0"/>
      <w:divBdr>
        <w:top w:val="none" w:sz="0" w:space="0" w:color="auto"/>
        <w:left w:val="none" w:sz="0" w:space="0" w:color="auto"/>
        <w:bottom w:val="none" w:sz="0" w:space="0" w:color="auto"/>
        <w:right w:val="none" w:sz="0" w:space="0" w:color="auto"/>
      </w:divBdr>
    </w:div>
    <w:div w:id="2146774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settings" Target="settings.xml"/><Relationship Id="rId18" Type="http://schemas.openxmlformats.org/officeDocument/2006/relationships/hyperlink" Target="mailto:bulletin@sebi.gov.in" TargetMode="External"/><Relationship Id="rId26" Type="http://schemas.openxmlformats.org/officeDocument/2006/relationships/chart" Target="charts/chart8.xml"/><Relationship Id="rId39" Type="http://schemas.openxmlformats.org/officeDocument/2006/relationships/image" Target="media/image4.png"/><Relationship Id="rId21" Type="http://schemas.openxmlformats.org/officeDocument/2006/relationships/chart" Target="charts/chart3.xml"/><Relationship Id="rId34" Type="http://schemas.openxmlformats.org/officeDocument/2006/relationships/chart" Target="charts/chart16.xml"/><Relationship Id="rId42" Type="http://schemas.openxmlformats.org/officeDocument/2006/relationships/header" Target="header1.xml"/><Relationship Id="rId47" Type="http://schemas.openxmlformats.org/officeDocument/2006/relationships/header" Target="header3.xml"/><Relationship Id="rId50" Type="http://schemas.openxmlformats.org/officeDocument/2006/relationships/footer" Target="footer4.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endnotes" Target="endnotes.xml"/><Relationship Id="rId29" Type="http://schemas.openxmlformats.org/officeDocument/2006/relationships/chart" Target="charts/chart11.xml"/><Relationship Id="rId11" Type="http://schemas.openxmlformats.org/officeDocument/2006/relationships/numbering" Target="numbering.xml"/><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image" Target="media/image2.png"/><Relationship Id="rId40" Type="http://schemas.openxmlformats.org/officeDocument/2006/relationships/image" Target="media/image5.png"/><Relationship Id="rId45"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footnotes" Target="footnotes.xm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image" Target="media/image1.png"/><Relationship Id="rId49" Type="http://schemas.openxmlformats.org/officeDocument/2006/relationships/footer" Target="footer3.xml"/><Relationship Id="rId10" Type="http://schemas.openxmlformats.org/officeDocument/2006/relationships/customXml" Target="../customXml/item10.xml"/><Relationship Id="rId19" Type="http://schemas.openxmlformats.org/officeDocument/2006/relationships/chart" Target="charts/chart1.xml"/><Relationship Id="rId31" Type="http://schemas.openxmlformats.org/officeDocument/2006/relationships/chart" Target="charts/chart13.xml"/><Relationship Id="rId44" Type="http://schemas.openxmlformats.org/officeDocument/2006/relationships/footer" Target="footer1.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webSettings" Target="webSettings.xm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7.xml"/><Relationship Id="rId43" Type="http://schemas.openxmlformats.org/officeDocument/2006/relationships/header" Target="header2.xml"/><Relationship Id="rId48" Type="http://schemas.openxmlformats.org/officeDocument/2006/relationships/header" Target="header4.xml"/><Relationship Id="rId8" Type="http://schemas.openxmlformats.org/officeDocument/2006/relationships/customXml" Target="../customXml/item8.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styles" Target="styles.xml"/><Relationship Id="rId17" Type="http://schemas.openxmlformats.org/officeDocument/2006/relationships/hyperlink" Target="http://www.sebi.gov.in" TargetMode="External"/><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image" Target="media/image3.png"/><Relationship Id="rId46" Type="http://schemas.openxmlformats.org/officeDocument/2006/relationships/hyperlink" Target="https://www.iosco.org/news/pdf/IOSCONEWS608.pdf" TargetMode="External"/><Relationship Id="rId20" Type="http://schemas.openxmlformats.org/officeDocument/2006/relationships/chart" Target="charts/chart2.xml"/><Relationship Id="rId4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customXml" Target="../customXml/item6.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2015\Desktop\Bulletin\July%2021\CMR%20June%202021.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2015\Desktop\Bulletin\July%2021\CMR%20June%202021.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2015\Desktop\Bulletin\July%2021\CMR%20June%202021.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Users\2015\Desktop\Bulletin\July%2021\CMR%20June%202021.xlsx" TargetMode="External"/></Relationships>
</file>

<file path=word/charts/_rels/chart13.xml.rels><?xml version="1.0" encoding="UTF-8" standalone="yes"?>
<Relationships xmlns="http://schemas.openxmlformats.org/package/2006/relationships"><Relationship Id="rId3" Type="http://schemas.openxmlformats.org/officeDocument/2006/relationships/oleObject" Target="file:///C:\Users\1649\AppData\Local\Microsoft\Windows\INetCache\Content.Outlook\K1KI9XUV\CMR%20June%202021.xlsx"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C:\Users\2002\Desktop\CRD%20Bulletin\202107\Graphs%20%20data%20for%20bulletin%20June,%20%202021%20_%20Rekha%20Maam.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C:\Users\2002\Desktop\CRD%20Bulletin\202107\Graphs%20%20data%20for%20bulletin%20June,%20%202021%20_%20Rekha%20Maam.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C:\Users\2002\Desktop\CRD%20Bulletin\202107\Graphs%20%20data%20for%20bulletin%20June,%20%202021%20_%20Rekha%20Maam.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C:\Users\2002\Desktop\CRD%20Bulletin\202107\Graphs%20%20data%20for%20bulletin%20June,%20%202021%20_%20Rekha%20Maam.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2015\Desktop\Bulletin\July%2021\CMR%20June%202021.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2015\Desktop\Bulletin\July%2021\CMR%20June%202021.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2015\Desktop\Bulletin\July%2021\CMR%20June%202021.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2015\Desktop\Bulletin\July%2021\CMR%20June%202021.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2015\Desktop\Bulletin\July%2021\CMR%20June%202021.xlsx"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file:///C:\Users\2015\Desktop\Bulletin\July%2021\CMR%20June%202021.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2015\Desktop\Bulletin\July%2021\CMR%20June%202021.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2015\Desktop\Bulletin\July%2021\CMR%20June%2020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2"/>
          <c:order val="0"/>
          <c:tx>
            <c:strRef>
              <c:f>'F1'!$D$1</c:f>
              <c:strCache>
                <c:ptCount val="1"/>
                <c:pt idx="0">
                  <c:v>Nifty </c:v>
                </c:pt>
              </c:strCache>
            </c:strRef>
          </c:tx>
          <c:spPr>
            <a:ln w="28575" cap="rnd">
              <a:solidFill>
                <a:srgbClr val="00B050"/>
              </a:solidFill>
              <a:round/>
            </a:ln>
            <a:effectLst/>
          </c:spPr>
          <c:marker>
            <c:symbol val="none"/>
          </c:marker>
          <c:cat>
            <c:numRef>
              <c:f>'F1'!$A$2:$A$23</c:f>
              <c:numCache>
                <c:formatCode>[$-409]d\-mmm\-yy;@</c:formatCode>
                <c:ptCount val="22"/>
                <c:pt idx="0">
                  <c:v>44348</c:v>
                </c:pt>
                <c:pt idx="1">
                  <c:v>44349</c:v>
                </c:pt>
                <c:pt idx="2">
                  <c:v>44350</c:v>
                </c:pt>
                <c:pt idx="3">
                  <c:v>44351</c:v>
                </c:pt>
                <c:pt idx="4">
                  <c:v>44354</c:v>
                </c:pt>
                <c:pt idx="5">
                  <c:v>44355</c:v>
                </c:pt>
                <c:pt idx="6">
                  <c:v>44356</c:v>
                </c:pt>
                <c:pt idx="7">
                  <c:v>44357</c:v>
                </c:pt>
                <c:pt idx="8">
                  <c:v>44358</c:v>
                </c:pt>
                <c:pt idx="9">
                  <c:v>44361</c:v>
                </c:pt>
                <c:pt idx="10">
                  <c:v>44362</c:v>
                </c:pt>
                <c:pt idx="11">
                  <c:v>44363</c:v>
                </c:pt>
                <c:pt idx="12">
                  <c:v>44364</c:v>
                </c:pt>
                <c:pt idx="13">
                  <c:v>44365</c:v>
                </c:pt>
                <c:pt idx="14">
                  <c:v>44368</c:v>
                </c:pt>
                <c:pt idx="15">
                  <c:v>44369</c:v>
                </c:pt>
                <c:pt idx="16">
                  <c:v>44370</c:v>
                </c:pt>
                <c:pt idx="17">
                  <c:v>44371</c:v>
                </c:pt>
                <c:pt idx="18">
                  <c:v>44372</c:v>
                </c:pt>
                <c:pt idx="19">
                  <c:v>44375</c:v>
                </c:pt>
                <c:pt idx="20">
                  <c:v>44376</c:v>
                </c:pt>
                <c:pt idx="21" formatCode="[$-409]d\-mmm\-yy">
                  <c:v>44377</c:v>
                </c:pt>
              </c:numCache>
            </c:numRef>
          </c:cat>
          <c:val>
            <c:numRef>
              <c:f>'F1'!$D$2:$D$23</c:f>
              <c:numCache>
                <c:formatCode>0.0</c:formatCode>
                <c:ptCount val="22"/>
                <c:pt idx="0">
                  <c:v>100</c:v>
                </c:pt>
                <c:pt idx="1">
                  <c:v>100.00866782023583</c:v>
                </c:pt>
                <c:pt idx="2">
                  <c:v>100.74158017573203</c:v>
                </c:pt>
                <c:pt idx="3">
                  <c:v>100.6125259633319</c:v>
                </c:pt>
                <c:pt idx="4">
                  <c:v>101.13516342051446</c:v>
                </c:pt>
                <c:pt idx="5">
                  <c:v>101.06100540294126</c:v>
                </c:pt>
                <c:pt idx="6">
                  <c:v>100.38844675871675</c:v>
                </c:pt>
                <c:pt idx="7">
                  <c:v>101.04591697512333</c:v>
                </c:pt>
                <c:pt idx="8">
                  <c:v>101.44142640218041</c:v>
                </c:pt>
                <c:pt idx="9">
                  <c:v>101.5216839969566</c:v>
                </c:pt>
                <c:pt idx="10">
                  <c:v>101.89022687216887</c:v>
                </c:pt>
                <c:pt idx="11">
                  <c:v>101.23725108106976</c:v>
                </c:pt>
                <c:pt idx="12">
                  <c:v>100.74832181369318</c:v>
                </c:pt>
                <c:pt idx="13">
                  <c:v>100.69663592265732</c:v>
                </c:pt>
                <c:pt idx="14">
                  <c:v>101.10209729146665</c:v>
                </c:pt>
                <c:pt idx="15">
                  <c:v>101.27063824049665</c:v>
                </c:pt>
                <c:pt idx="16">
                  <c:v>100.71975010995287</c:v>
                </c:pt>
                <c:pt idx="17">
                  <c:v>101.38428299469975</c:v>
                </c:pt>
                <c:pt idx="18">
                  <c:v>101.83308346468822</c:v>
                </c:pt>
                <c:pt idx="19">
                  <c:v>101.53998272856556</c:v>
                </c:pt>
                <c:pt idx="20">
                  <c:v>101.11461747625174</c:v>
                </c:pt>
                <c:pt idx="21">
                  <c:v>100.94158210191426</c:v>
                </c:pt>
              </c:numCache>
            </c:numRef>
          </c:val>
          <c:smooth val="0"/>
          <c:extLst>
            <c:ext xmlns:c16="http://schemas.microsoft.com/office/drawing/2014/chart" uri="{C3380CC4-5D6E-409C-BE32-E72D297353CC}">
              <c16:uniqueId val="{00000000-5E6E-4F2E-A2AF-5D79C38991E5}"/>
            </c:ext>
          </c:extLst>
        </c:ser>
        <c:ser>
          <c:idx val="3"/>
          <c:order val="1"/>
          <c:tx>
            <c:strRef>
              <c:f>'F1'!$E$1</c:f>
              <c:strCache>
                <c:ptCount val="1"/>
                <c:pt idx="0">
                  <c:v>Sensex </c:v>
                </c:pt>
              </c:strCache>
            </c:strRef>
          </c:tx>
          <c:spPr>
            <a:ln w="28575" cap="rnd">
              <a:solidFill>
                <a:srgbClr val="FF0000"/>
              </a:solidFill>
              <a:round/>
            </a:ln>
            <a:effectLst/>
          </c:spPr>
          <c:marker>
            <c:symbol val="none"/>
          </c:marker>
          <c:cat>
            <c:numRef>
              <c:f>'F1'!$A$2:$A$23</c:f>
              <c:numCache>
                <c:formatCode>[$-409]d\-mmm\-yy;@</c:formatCode>
                <c:ptCount val="22"/>
                <c:pt idx="0">
                  <c:v>44348</c:v>
                </c:pt>
                <c:pt idx="1">
                  <c:v>44349</c:v>
                </c:pt>
                <c:pt idx="2">
                  <c:v>44350</c:v>
                </c:pt>
                <c:pt idx="3">
                  <c:v>44351</c:v>
                </c:pt>
                <c:pt idx="4">
                  <c:v>44354</c:v>
                </c:pt>
                <c:pt idx="5">
                  <c:v>44355</c:v>
                </c:pt>
                <c:pt idx="6">
                  <c:v>44356</c:v>
                </c:pt>
                <c:pt idx="7">
                  <c:v>44357</c:v>
                </c:pt>
                <c:pt idx="8">
                  <c:v>44358</c:v>
                </c:pt>
                <c:pt idx="9">
                  <c:v>44361</c:v>
                </c:pt>
                <c:pt idx="10">
                  <c:v>44362</c:v>
                </c:pt>
                <c:pt idx="11">
                  <c:v>44363</c:v>
                </c:pt>
                <c:pt idx="12">
                  <c:v>44364</c:v>
                </c:pt>
                <c:pt idx="13">
                  <c:v>44365</c:v>
                </c:pt>
                <c:pt idx="14">
                  <c:v>44368</c:v>
                </c:pt>
                <c:pt idx="15">
                  <c:v>44369</c:v>
                </c:pt>
                <c:pt idx="16">
                  <c:v>44370</c:v>
                </c:pt>
                <c:pt idx="17">
                  <c:v>44371</c:v>
                </c:pt>
                <c:pt idx="18">
                  <c:v>44372</c:v>
                </c:pt>
                <c:pt idx="19">
                  <c:v>44375</c:v>
                </c:pt>
                <c:pt idx="20">
                  <c:v>44376</c:v>
                </c:pt>
                <c:pt idx="21" formatCode="[$-409]d\-mmm\-yy">
                  <c:v>44377</c:v>
                </c:pt>
              </c:numCache>
            </c:numRef>
          </c:cat>
          <c:val>
            <c:numRef>
              <c:f>'F1'!$E$2:$E$23</c:f>
              <c:numCache>
                <c:formatCode>0.0</c:formatCode>
                <c:ptCount val="22"/>
                <c:pt idx="0" formatCode="0">
                  <c:v>100</c:v>
                </c:pt>
                <c:pt idx="1">
                  <c:v>99.835563305431734</c:v>
                </c:pt>
                <c:pt idx="2">
                  <c:v>100.5729290218828</c:v>
                </c:pt>
                <c:pt idx="3">
                  <c:v>100.31803289041972</c:v>
                </c:pt>
                <c:pt idx="4">
                  <c:v>100.75792993071325</c:v>
                </c:pt>
                <c:pt idx="5">
                  <c:v>100.65599458398673</c:v>
                </c:pt>
                <c:pt idx="6">
                  <c:v>100.01301630041314</c:v>
                </c:pt>
                <c:pt idx="7">
                  <c:v>100.70393924083392</c:v>
                </c:pt>
                <c:pt idx="8">
                  <c:v>101.03953258388198</c:v>
                </c:pt>
                <c:pt idx="9">
                  <c:v>101.187352315053</c:v>
                </c:pt>
                <c:pt idx="10">
                  <c:v>101.61388646705261</c:v>
                </c:pt>
                <c:pt idx="11">
                  <c:v>101.09194437341534</c:v>
                </c:pt>
                <c:pt idx="12">
                  <c:v>100.74795590169845</c:v>
                </c:pt>
                <c:pt idx="13">
                  <c:v>100.78862221304836</c:v>
                </c:pt>
                <c:pt idx="14">
                  <c:v>101.23150376009343</c:v>
                </c:pt>
                <c:pt idx="15">
                  <c:v>101.25894196732527</c:v>
                </c:pt>
                <c:pt idx="16">
                  <c:v>100.71474122978627</c:v>
                </c:pt>
                <c:pt idx="17">
                  <c:v>101.47130406385848</c:v>
                </c:pt>
                <c:pt idx="18">
                  <c:v>101.90654142264319</c:v>
                </c:pt>
                <c:pt idx="19">
                  <c:v>101.54175767807691</c:v>
                </c:pt>
                <c:pt idx="20">
                  <c:v>101.18375165206896</c:v>
                </c:pt>
                <c:pt idx="21">
                  <c:v>101.05484021528504</c:v>
                </c:pt>
              </c:numCache>
            </c:numRef>
          </c:val>
          <c:smooth val="0"/>
          <c:extLst>
            <c:ext xmlns:c16="http://schemas.microsoft.com/office/drawing/2014/chart" uri="{C3380CC4-5D6E-409C-BE32-E72D297353CC}">
              <c16:uniqueId val="{00000001-5E6E-4F2E-A2AF-5D79C38991E5}"/>
            </c:ext>
          </c:extLst>
        </c:ser>
        <c:dLbls>
          <c:showLegendKey val="0"/>
          <c:showVal val="0"/>
          <c:showCatName val="0"/>
          <c:showSerName val="0"/>
          <c:showPercent val="0"/>
          <c:showBubbleSize val="0"/>
        </c:dLbls>
        <c:smooth val="0"/>
        <c:axId val="756621664"/>
        <c:axId val="756622056"/>
      </c:lineChart>
      <c:dateAx>
        <c:axId val="756621664"/>
        <c:scaling>
          <c:orientation val="minMax"/>
        </c:scaling>
        <c:delete val="0"/>
        <c:axPos val="b"/>
        <c:numFmt formatCode="[$-409]d\-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756622056"/>
        <c:crosses val="autoZero"/>
        <c:auto val="1"/>
        <c:lblOffset val="100"/>
        <c:baseTimeUnit val="days"/>
        <c:majorUnit val="1"/>
        <c:majorTimeUnit val="days"/>
        <c:minorUnit val="1"/>
        <c:minorTimeUnit val="days"/>
      </c:dateAx>
      <c:valAx>
        <c:axId val="756622056"/>
        <c:scaling>
          <c:orientation val="minMax"/>
          <c:max val="107"/>
          <c:min val="96"/>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756621664"/>
        <c:crosses val="autoZero"/>
        <c:crossBetween val="between"/>
        <c:majorUnit val="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Palatino Linotype" panose="02040502050505030304" pitchFamily="18" charset="0"/>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'F11'!$B$3</c:f>
              <c:strCache>
                <c:ptCount val="1"/>
                <c:pt idx="0">
                  <c:v>BSE</c:v>
                </c:pt>
              </c:strCache>
            </c:strRef>
          </c:tx>
          <c:spPr>
            <a:solidFill>
              <a:srgbClr val="FF0000"/>
            </a:solidFill>
            <a:ln>
              <a:noFill/>
            </a:ln>
            <a:effectLst/>
          </c:spPr>
          <c:invertIfNegative val="0"/>
          <c:dLbls>
            <c:spPr>
              <a:noFill/>
              <a:ln>
                <a:noFill/>
              </a:ln>
              <a:effectLst/>
            </c:spPr>
            <c:txPr>
              <a:bodyPr rot="-5400000" spcFirstLastPara="1" vertOverflow="ellipsis" wrap="square" anchor="ctr" anchorCtr="1"/>
              <a:lstStyle/>
              <a:p>
                <a:pPr>
                  <a:defRPr sz="1000" b="1" i="0" u="none" strike="noStrike" kern="1200" baseline="0">
                    <a:solidFill>
                      <a:schemeClr val="tx1">
                        <a:lumMod val="75000"/>
                        <a:lumOff val="25000"/>
                      </a:schemeClr>
                    </a:solidFill>
                    <a:latin typeface="Palatino Linotype" panose="020405020505050303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'F11'!$A$5:$A$16</c:f>
              <c:numCache>
                <c:formatCode>[$-409]mmm\-yy</c:formatCode>
                <c:ptCount val="12"/>
                <c:pt idx="0">
                  <c:v>44022</c:v>
                </c:pt>
                <c:pt idx="1">
                  <c:v>44053</c:v>
                </c:pt>
                <c:pt idx="2">
                  <c:v>44084</c:v>
                </c:pt>
                <c:pt idx="3">
                  <c:v>44114</c:v>
                </c:pt>
                <c:pt idx="4">
                  <c:v>44145</c:v>
                </c:pt>
                <c:pt idx="5">
                  <c:v>44175</c:v>
                </c:pt>
                <c:pt idx="6">
                  <c:v>44206</c:v>
                </c:pt>
                <c:pt idx="7">
                  <c:v>44237</c:v>
                </c:pt>
                <c:pt idx="8">
                  <c:v>44265</c:v>
                </c:pt>
                <c:pt idx="9">
                  <c:v>44296</c:v>
                </c:pt>
                <c:pt idx="10">
                  <c:v>44326</c:v>
                </c:pt>
                <c:pt idx="11">
                  <c:v>44357</c:v>
                </c:pt>
              </c:numCache>
            </c:numRef>
          </c:cat>
          <c:val>
            <c:numRef>
              <c:f>'F11'!$C$5:$C$16</c:f>
              <c:numCache>
                <c:formatCode>#,##0;\-#,##0;0</c:formatCode>
                <c:ptCount val="12"/>
                <c:pt idx="0">
                  <c:v>80074.63</c:v>
                </c:pt>
                <c:pt idx="1">
                  <c:v>53915.519999999997</c:v>
                </c:pt>
                <c:pt idx="2">
                  <c:v>50693.919999999998</c:v>
                </c:pt>
                <c:pt idx="3">
                  <c:v>42448.36</c:v>
                </c:pt>
                <c:pt idx="4">
                  <c:v>35255.333224302012</c:v>
                </c:pt>
                <c:pt idx="5">
                  <c:v>34626.160000000003</c:v>
                </c:pt>
                <c:pt idx="6">
                  <c:v>48384.845524290002</c:v>
                </c:pt>
                <c:pt idx="7">
                  <c:v>43534.32</c:v>
                </c:pt>
                <c:pt idx="8">
                  <c:v>64043.87</c:v>
                </c:pt>
                <c:pt idx="9">
                  <c:v>60888.553099999997</c:v>
                </c:pt>
                <c:pt idx="10">
                  <c:v>54135.76</c:v>
                </c:pt>
                <c:pt idx="11">
                  <c:v>61390.57</c:v>
                </c:pt>
              </c:numCache>
            </c:numRef>
          </c:val>
          <c:extLst>
            <c:ext xmlns:c16="http://schemas.microsoft.com/office/drawing/2014/chart" uri="{C3380CC4-5D6E-409C-BE32-E72D297353CC}">
              <c16:uniqueId val="{00000000-DFE8-41D0-B354-4C2DF71AA9B2}"/>
            </c:ext>
          </c:extLst>
        </c:ser>
        <c:ser>
          <c:idx val="1"/>
          <c:order val="1"/>
          <c:tx>
            <c:strRef>
              <c:f>'F11'!$D$3</c:f>
              <c:strCache>
                <c:ptCount val="1"/>
                <c:pt idx="0">
                  <c:v>NSE</c:v>
                </c:pt>
              </c:strCache>
            </c:strRef>
          </c:tx>
          <c:spPr>
            <a:solidFill>
              <a:srgbClr val="00B050"/>
            </a:solidFill>
            <a:ln>
              <a:noFill/>
            </a:ln>
            <a:effectLst/>
          </c:spPr>
          <c:invertIfNegative val="0"/>
          <c:dLbls>
            <c:spPr>
              <a:noFill/>
              <a:ln>
                <a:noFill/>
              </a:ln>
              <a:effectLst/>
            </c:spPr>
            <c:txPr>
              <a:bodyPr rot="-5400000" spcFirstLastPara="1" vertOverflow="ellipsis" wrap="square" anchor="ctr" anchorCtr="1"/>
              <a:lstStyle/>
              <a:p>
                <a:pPr>
                  <a:defRPr sz="1000" b="1" i="0" u="none" strike="noStrike" kern="1200" baseline="0">
                    <a:solidFill>
                      <a:schemeClr val="tx1">
                        <a:lumMod val="75000"/>
                        <a:lumOff val="25000"/>
                      </a:schemeClr>
                    </a:solidFill>
                    <a:latin typeface="Palatino Linotype" panose="020405020505050303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'F11'!$A$5:$A$16</c:f>
              <c:numCache>
                <c:formatCode>[$-409]mmm\-yy</c:formatCode>
                <c:ptCount val="12"/>
                <c:pt idx="0">
                  <c:v>44022</c:v>
                </c:pt>
                <c:pt idx="1">
                  <c:v>44053</c:v>
                </c:pt>
                <c:pt idx="2">
                  <c:v>44084</c:v>
                </c:pt>
                <c:pt idx="3">
                  <c:v>44114</c:v>
                </c:pt>
                <c:pt idx="4">
                  <c:v>44145</c:v>
                </c:pt>
                <c:pt idx="5">
                  <c:v>44175</c:v>
                </c:pt>
                <c:pt idx="6">
                  <c:v>44206</c:v>
                </c:pt>
                <c:pt idx="7">
                  <c:v>44237</c:v>
                </c:pt>
                <c:pt idx="8">
                  <c:v>44265</c:v>
                </c:pt>
                <c:pt idx="9">
                  <c:v>44296</c:v>
                </c:pt>
                <c:pt idx="10">
                  <c:v>44326</c:v>
                </c:pt>
                <c:pt idx="11">
                  <c:v>44357</c:v>
                </c:pt>
              </c:numCache>
            </c:numRef>
          </c:cat>
          <c:val>
            <c:numRef>
              <c:f>'F11'!$E$5:$E$16</c:f>
              <c:numCache>
                <c:formatCode>0\,00\,000;\-0\,00\,000;0</c:formatCode>
                <c:ptCount val="12"/>
                <c:pt idx="0">
                  <c:v>121730.01</c:v>
                </c:pt>
                <c:pt idx="1">
                  <c:v>89136.44</c:v>
                </c:pt>
                <c:pt idx="2" formatCode="#,##0">
                  <c:v>90782.64</c:v>
                </c:pt>
                <c:pt idx="3" formatCode="#,##0">
                  <c:v>88404.000000000015</c:v>
                </c:pt>
                <c:pt idx="4" formatCode="#,##0">
                  <c:v>79665.3</c:v>
                </c:pt>
                <c:pt idx="5" formatCode="#,##0">
                  <c:v>76874.000000000015</c:v>
                </c:pt>
                <c:pt idx="6" formatCode="#,##0">
                  <c:v>83618.37999999999</c:v>
                </c:pt>
                <c:pt idx="7" formatCode="#,##0">
                  <c:v>75565.039999999994</c:v>
                </c:pt>
                <c:pt idx="8" formatCode="#,##0">
                  <c:v>95400.379999999976</c:v>
                </c:pt>
                <c:pt idx="9" formatCode="#,##0">
                  <c:v>90992.76</c:v>
                </c:pt>
                <c:pt idx="10" formatCode="#,##0">
                  <c:v>79923.94</c:v>
                </c:pt>
                <c:pt idx="11" formatCode="#,##0">
                  <c:v>91924.45</c:v>
                </c:pt>
              </c:numCache>
            </c:numRef>
          </c:val>
          <c:extLst>
            <c:ext xmlns:c16="http://schemas.microsoft.com/office/drawing/2014/chart" uri="{C3380CC4-5D6E-409C-BE32-E72D297353CC}">
              <c16:uniqueId val="{00000001-DFE8-41D0-B354-4C2DF71AA9B2}"/>
            </c:ext>
          </c:extLst>
        </c:ser>
        <c:dLbls>
          <c:showLegendKey val="0"/>
          <c:showVal val="0"/>
          <c:showCatName val="0"/>
          <c:showSerName val="0"/>
          <c:showPercent val="0"/>
          <c:showBubbleSize val="0"/>
        </c:dLbls>
        <c:gapWidth val="219"/>
        <c:overlap val="-27"/>
        <c:axId val="880118536"/>
        <c:axId val="880120496"/>
      </c:barChart>
      <c:dateAx>
        <c:axId val="880118536"/>
        <c:scaling>
          <c:orientation val="minMax"/>
        </c:scaling>
        <c:delete val="0"/>
        <c:axPos val="b"/>
        <c:numFmt formatCode="[$-409]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880120496"/>
        <c:crosses val="autoZero"/>
        <c:auto val="1"/>
        <c:lblOffset val="100"/>
        <c:baseTimeUnit val="months"/>
      </c:dateAx>
      <c:valAx>
        <c:axId val="880120496"/>
        <c:scaling>
          <c:orientation val="minMax"/>
          <c:min val="30000"/>
        </c:scaling>
        <c:delete val="1"/>
        <c:axPos val="l"/>
        <c:numFmt formatCode="#,##0;\-#,##0;0" sourceLinked="1"/>
        <c:majorTickMark val="none"/>
        <c:minorTickMark val="none"/>
        <c:tickLblPos val="nextTo"/>
        <c:crossAx val="8801185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latin typeface="Palatino Linotype" panose="02040502050505030304" pitchFamily="18" charset="0"/>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'F12'!$B$2</c:f>
              <c:strCache>
                <c:ptCount val="1"/>
                <c:pt idx="0">
                  <c:v>Equity</c:v>
                </c:pt>
              </c:strCache>
            </c:strRef>
          </c:tx>
          <c:spPr>
            <a:solidFill>
              <a:schemeClr val="accent1"/>
            </a:solidFill>
            <a:ln>
              <a:noFill/>
            </a:ln>
            <a:effectLst/>
          </c:spPr>
          <c:invertIfNegative val="0"/>
          <c:cat>
            <c:numRef>
              <c:f>'F12'!$A$3:$A$14</c:f>
              <c:numCache>
                <c:formatCode>[$-409]mmm\-yy</c:formatCode>
                <c:ptCount val="12"/>
                <c:pt idx="0">
                  <c:v>44022</c:v>
                </c:pt>
                <c:pt idx="1">
                  <c:v>44053</c:v>
                </c:pt>
                <c:pt idx="2">
                  <c:v>44084</c:v>
                </c:pt>
                <c:pt idx="3">
                  <c:v>44114</c:v>
                </c:pt>
                <c:pt idx="4">
                  <c:v>44145</c:v>
                </c:pt>
                <c:pt idx="5">
                  <c:v>44175</c:v>
                </c:pt>
                <c:pt idx="6">
                  <c:v>44206</c:v>
                </c:pt>
                <c:pt idx="7">
                  <c:v>44237</c:v>
                </c:pt>
                <c:pt idx="8">
                  <c:v>44265</c:v>
                </c:pt>
                <c:pt idx="9">
                  <c:v>44296</c:v>
                </c:pt>
                <c:pt idx="10">
                  <c:v>44326</c:v>
                </c:pt>
                <c:pt idx="11">
                  <c:v>44357</c:v>
                </c:pt>
              </c:numCache>
            </c:numRef>
          </c:cat>
          <c:val>
            <c:numRef>
              <c:f>'F12'!$B$3:$B$14</c:f>
              <c:numCache>
                <c:formatCode>#,##0;\-#,##0;0</c:formatCode>
                <c:ptCount val="12"/>
                <c:pt idx="0">
                  <c:v>-9195.0400000000009</c:v>
                </c:pt>
                <c:pt idx="1">
                  <c:v>-9213.44</c:v>
                </c:pt>
                <c:pt idx="2">
                  <c:v>-4134.37</c:v>
                </c:pt>
                <c:pt idx="3">
                  <c:v>-14491.79</c:v>
                </c:pt>
                <c:pt idx="4">
                  <c:v>-30760.07</c:v>
                </c:pt>
                <c:pt idx="5">
                  <c:v>-26427.83</c:v>
                </c:pt>
                <c:pt idx="6">
                  <c:v>-13031.78</c:v>
                </c:pt>
                <c:pt idx="7">
                  <c:v>-16306</c:v>
                </c:pt>
                <c:pt idx="8">
                  <c:v>4772.83</c:v>
                </c:pt>
                <c:pt idx="9">
                  <c:v>5526.36</c:v>
                </c:pt>
                <c:pt idx="10" formatCode="[&gt;9999999]##\,##\,##\,##0;[&gt;99999]##\,##\,##0;##,##0">
                  <c:v>475.75</c:v>
                </c:pt>
                <c:pt idx="11" formatCode="[&gt;9999999]##\,##\,##\,##0;[&gt;99999]##\,##\,##0;##,##0">
                  <c:v>6437.08</c:v>
                </c:pt>
              </c:numCache>
            </c:numRef>
          </c:val>
          <c:extLst>
            <c:ext xmlns:c16="http://schemas.microsoft.com/office/drawing/2014/chart" uri="{C3380CC4-5D6E-409C-BE32-E72D297353CC}">
              <c16:uniqueId val="{00000000-9F67-4169-86B8-8E6756EBC163}"/>
            </c:ext>
          </c:extLst>
        </c:ser>
        <c:ser>
          <c:idx val="1"/>
          <c:order val="1"/>
          <c:tx>
            <c:strRef>
              <c:f>'F12'!$C$2</c:f>
              <c:strCache>
                <c:ptCount val="1"/>
                <c:pt idx="0">
                  <c:v>Debt</c:v>
                </c:pt>
              </c:strCache>
            </c:strRef>
          </c:tx>
          <c:spPr>
            <a:solidFill>
              <a:schemeClr val="accent2"/>
            </a:solidFill>
            <a:ln>
              <a:noFill/>
            </a:ln>
            <a:effectLst/>
          </c:spPr>
          <c:invertIfNegative val="0"/>
          <c:cat>
            <c:numRef>
              <c:f>'F12'!$A$3:$A$14</c:f>
              <c:numCache>
                <c:formatCode>[$-409]mmm\-yy</c:formatCode>
                <c:ptCount val="12"/>
                <c:pt idx="0">
                  <c:v>44022</c:v>
                </c:pt>
                <c:pt idx="1">
                  <c:v>44053</c:v>
                </c:pt>
                <c:pt idx="2">
                  <c:v>44084</c:v>
                </c:pt>
                <c:pt idx="3">
                  <c:v>44114</c:v>
                </c:pt>
                <c:pt idx="4">
                  <c:v>44145</c:v>
                </c:pt>
                <c:pt idx="5">
                  <c:v>44175</c:v>
                </c:pt>
                <c:pt idx="6">
                  <c:v>44206</c:v>
                </c:pt>
                <c:pt idx="7">
                  <c:v>44237</c:v>
                </c:pt>
                <c:pt idx="8">
                  <c:v>44265</c:v>
                </c:pt>
                <c:pt idx="9">
                  <c:v>44296</c:v>
                </c:pt>
                <c:pt idx="10">
                  <c:v>44326</c:v>
                </c:pt>
                <c:pt idx="11">
                  <c:v>44357</c:v>
                </c:pt>
              </c:numCache>
            </c:numRef>
          </c:cat>
          <c:val>
            <c:numRef>
              <c:f>'F12'!$C$3:$C$14</c:f>
              <c:numCache>
                <c:formatCode>#,##0;\-#,##0;0</c:formatCode>
                <c:ptCount val="12"/>
                <c:pt idx="0">
                  <c:v>31897.85</c:v>
                </c:pt>
                <c:pt idx="1">
                  <c:v>25780.28</c:v>
                </c:pt>
                <c:pt idx="2">
                  <c:v>17004.97</c:v>
                </c:pt>
                <c:pt idx="3">
                  <c:v>31975.11</c:v>
                </c:pt>
                <c:pt idx="4">
                  <c:v>20349.349999999999</c:v>
                </c:pt>
                <c:pt idx="5">
                  <c:v>23368.42</c:v>
                </c:pt>
                <c:pt idx="6">
                  <c:v>11831.74</c:v>
                </c:pt>
                <c:pt idx="7">
                  <c:v>8161.78</c:v>
                </c:pt>
                <c:pt idx="8">
                  <c:v>15661.48</c:v>
                </c:pt>
                <c:pt idx="9">
                  <c:v>21588.400000000001</c:v>
                </c:pt>
                <c:pt idx="10" formatCode="[&gt;9999999]##\,##\,##\,##0;[&gt;99999]##\,##\,##0;##,##0">
                  <c:v>4238.12</c:v>
                </c:pt>
                <c:pt idx="11" formatCode="[&gt;9999999]##\,##\,##\,##0;[&gt;99999]##\,##\,##0;##,##0">
                  <c:v>6449.01</c:v>
                </c:pt>
              </c:numCache>
            </c:numRef>
          </c:val>
          <c:extLst>
            <c:ext xmlns:c16="http://schemas.microsoft.com/office/drawing/2014/chart" uri="{C3380CC4-5D6E-409C-BE32-E72D297353CC}">
              <c16:uniqueId val="{00000001-9F67-4169-86B8-8E6756EBC163}"/>
            </c:ext>
          </c:extLst>
        </c:ser>
        <c:dLbls>
          <c:showLegendKey val="0"/>
          <c:showVal val="0"/>
          <c:showCatName val="0"/>
          <c:showSerName val="0"/>
          <c:showPercent val="0"/>
          <c:showBubbleSize val="0"/>
        </c:dLbls>
        <c:gapWidth val="219"/>
        <c:overlap val="-27"/>
        <c:axId val="880119320"/>
        <c:axId val="880120104"/>
      </c:barChart>
      <c:lineChart>
        <c:grouping val="standard"/>
        <c:varyColors val="0"/>
        <c:ser>
          <c:idx val="2"/>
          <c:order val="2"/>
          <c:tx>
            <c:strRef>
              <c:f>'F12'!$D$2</c:f>
              <c:strCache>
                <c:ptCount val="1"/>
                <c:pt idx="0">
                  <c:v>Total</c:v>
                </c:pt>
              </c:strCache>
            </c:strRef>
          </c:tx>
          <c:spPr>
            <a:ln w="28575" cap="rnd">
              <a:solidFill>
                <a:schemeClr val="accent3"/>
              </a:solidFill>
              <a:round/>
            </a:ln>
            <a:effectLst/>
          </c:spPr>
          <c:marker>
            <c:symbol val="none"/>
          </c:marker>
          <c:cat>
            <c:numRef>
              <c:f>'F12'!$A$3:$A$14</c:f>
              <c:numCache>
                <c:formatCode>[$-409]mmm\-yy</c:formatCode>
                <c:ptCount val="12"/>
                <c:pt idx="0">
                  <c:v>44022</c:v>
                </c:pt>
                <c:pt idx="1">
                  <c:v>44053</c:v>
                </c:pt>
                <c:pt idx="2">
                  <c:v>44084</c:v>
                </c:pt>
                <c:pt idx="3">
                  <c:v>44114</c:v>
                </c:pt>
                <c:pt idx="4">
                  <c:v>44145</c:v>
                </c:pt>
                <c:pt idx="5">
                  <c:v>44175</c:v>
                </c:pt>
                <c:pt idx="6">
                  <c:v>44206</c:v>
                </c:pt>
                <c:pt idx="7">
                  <c:v>44237</c:v>
                </c:pt>
                <c:pt idx="8">
                  <c:v>44265</c:v>
                </c:pt>
                <c:pt idx="9">
                  <c:v>44296</c:v>
                </c:pt>
                <c:pt idx="10">
                  <c:v>44326</c:v>
                </c:pt>
                <c:pt idx="11">
                  <c:v>44357</c:v>
                </c:pt>
              </c:numCache>
            </c:numRef>
          </c:cat>
          <c:val>
            <c:numRef>
              <c:f>'F12'!$D$3:$D$14</c:f>
              <c:numCache>
                <c:formatCode>[&gt;9999999]##\,##\,##\,##0;[&gt;99999]##\,##\,##0;##,##0</c:formatCode>
                <c:ptCount val="12"/>
                <c:pt idx="0">
                  <c:v>22702.809999999998</c:v>
                </c:pt>
                <c:pt idx="1">
                  <c:v>16566.839999999997</c:v>
                </c:pt>
                <c:pt idx="2">
                  <c:v>12870.600000000002</c:v>
                </c:pt>
                <c:pt idx="3">
                  <c:v>17483.32</c:v>
                </c:pt>
                <c:pt idx="4">
                  <c:v>-10410.720000000001</c:v>
                </c:pt>
                <c:pt idx="5">
                  <c:v>-3059.4100000000035</c:v>
                </c:pt>
                <c:pt idx="6">
                  <c:v>-1200.0400000000009</c:v>
                </c:pt>
                <c:pt idx="7">
                  <c:v>-8144.22</c:v>
                </c:pt>
                <c:pt idx="8">
                  <c:v>20434.309999999998</c:v>
                </c:pt>
                <c:pt idx="9">
                  <c:v>27114.760000000002</c:v>
                </c:pt>
                <c:pt idx="10">
                  <c:v>4713.87</c:v>
                </c:pt>
                <c:pt idx="11">
                  <c:v>12886.09</c:v>
                </c:pt>
              </c:numCache>
            </c:numRef>
          </c:val>
          <c:smooth val="0"/>
          <c:extLst>
            <c:ext xmlns:c16="http://schemas.microsoft.com/office/drawing/2014/chart" uri="{C3380CC4-5D6E-409C-BE32-E72D297353CC}">
              <c16:uniqueId val="{00000002-9F67-4169-86B8-8E6756EBC163}"/>
            </c:ext>
          </c:extLst>
        </c:ser>
        <c:dLbls>
          <c:showLegendKey val="0"/>
          <c:showVal val="0"/>
          <c:showCatName val="0"/>
          <c:showSerName val="0"/>
          <c:showPercent val="0"/>
          <c:showBubbleSize val="0"/>
        </c:dLbls>
        <c:marker val="1"/>
        <c:smooth val="0"/>
        <c:axId val="880119320"/>
        <c:axId val="880120104"/>
      </c:lineChart>
      <c:dateAx>
        <c:axId val="880119320"/>
        <c:scaling>
          <c:orientation val="minMax"/>
        </c:scaling>
        <c:delete val="0"/>
        <c:axPos val="b"/>
        <c:numFmt formatCode="[$-409]mmm\-yy"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880120104"/>
        <c:crosses val="autoZero"/>
        <c:auto val="1"/>
        <c:lblOffset val="100"/>
        <c:baseTimeUnit val="months"/>
      </c:dateAx>
      <c:valAx>
        <c:axId val="880120104"/>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88011932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latin typeface="Palatino Linotype" panose="02040502050505030304" pitchFamily="18" charset="0"/>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 13'!$B$3</c:f>
              <c:strCache>
                <c:ptCount val="1"/>
                <c:pt idx="0">
                  <c:v>Equity (LHS)</c:v>
                </c:pt>
              </c:strCache>
            </c:strRef>
          </c:tx>
          <c:spPr>
            <a:solidFill>
              <a:schemeClr val="accent1"/>
            </a:solidFill>
            <a:ln>
              <a:noFill/>
            </a:ln>
            <a:effectLst/>
          </c:spPr>
          <c:invertIfNegative val="0"/>
          <c:cat>
            <c:numRef>
              <c:f>'F 13'!$A$5:$A$16</c:f>
              <c:numCache>
                <c:formatCode>[$-409]mmm\-yy</c:formatCode>
                <c:ptCount val="12"/>
                <c:pt idx="0">
                  <c:v>44022</c:v>
                </c:pt>
                <c:pt idx="1">
                  <c:v>44053</c:v>
                </c:pt>
                <c:pt idx="2">
                  <c:v>44084</c:v>
                </c:pt>
                <c:pt idx="3">
                  <c:v>44114</c:v>
                </c:pt>
                <c:pt idx="4">
                  <c:v>44145</c:v>
                </c:pt>
                <c:pt idx="5">
                  <c:v>44175</c:v>
                </c:pt>
                <c:pt idx="6">
                  <c:v>44206</c:v>
                </c:pt>
                <c:pt idx="7">
                  <c:v>44237</c:v>
                </c:pt>
                <c:pt idx="8">
                  <c:v>44265</c:v>
                </c:pt>
                <c:pt idx="9">
                  <c:v>44296</c:v>
                </c:pt>
                <c:pt idx="10">
                  <c:v>44317</c:v>
                </c:pt>
                <c:pt idx="11">
                  <c:v>44348</c:v>
                </c:pt>
              </c:numCache>
            </c:numRef>
          </c:cat>
          <c:val>
            <c:numRef>
              <c:f>'F 13'!$B$5:$B$16</c:f>
              <c:numCache>
                <c:formatCode>#,##0</c:formatCode>
                <c:ptCount val="12"/>
                <c:pt idx="0">
                  <c:v>7563</c:v>
                </c:pt>
                <c:pt idx="1">
                  <c:v>47080</c:v>
                </c:pt>
                <c:pt idx="2">
                  <c:v>-7783</c:v>
                </c:pt>
                <c:pt idx="3">
                  <c:v>19541</c:v>
                </c:pt>
                <c:pt idx="4">
                  <c:v>60358</c:v>
                </c:pt>
                <c:pt idx="5">
                  <c:v>62016</c:v>
                </c:pt>
                <c:pt idx="6">
                  <c:v>19473</c:v>
                </c:pt>
                <c:pt idx="7">
                  <c:v>25787</c:v>
                </c:pt>
                <c:pt idx="8">
                  <c:v>10482</c:v>
                </c:pt>
                <c:pt idx="9">
                  <c:v>-9659</c:v>
                </c:pt>
                <c:pt idx="10">
                  <c:v>-2954</c:v>
                </c:pt>
                <c:pt idx="11">
                  <c:v>17215</c:v>
                </c:pt>
              </c:numCache>
            </c:numRef>
          </c:val>
          <c:extLst>
            <c:ext xmlns:c16="http://schemas.microsoft.com/office/drawing/2014/chart" uri="{C3380CC4-5D6E-409C-BE32-E72D297353CC}">
              <c16:uniqueId val="{00000000-D6B0-43B4-8354-C523DE2AE61A}"/>
            </c:ext>
          </c:extLst>
        </c:ser>
        <c:ser>
          <c:idx val="1"/>
          <c:order val="1"/>
          <c:tx>
            <c:strRef>
              <c:f>'F 13'!$C$3</c:f>
              <c:strCache>
                <c:ptCount val="1"/>
                <c:pt idx="0">
                  <c:v>Debt (LHS)</c:v>
                </c:pt>
              </c:strCache>
            </c:strRef>
          </c:tx>
          <c:spPr>
            <a:solidFill>
              <a:schemeClr val="accent2"/>
            </a:solidFill>
            <a:ln>
              <a:noFill/>
            </a:ln>
            <a:effectLst/>
          </c:spPr>
          <c:invertIfNegative val="0"/>
          <c:cat>
            <c:numRef>
              <c:f>'F 13'!$A$5:$A$16</c:f>
              <c:numCache>
                <c:formatCode>[$-409]mmm\-yy</c:formatCode>
                <c:ptCount val="12"/>
                <c:pt idx="0">
                  <c:v>44022</c:v>
                </c:pt>
                <c:pt idx="1">
                  <c:v>44053</c:v>
                </c:pt>
                <c:pt idx="2">
                  <c:v>44084</c:v>
                </c:pt>
                <c:pt idx="3">
                  <c:v>44114</c:v>
                </c:pt>
                <c:pt idx="4">
                  <c:v>44145</c:v>
                </c:pt>
                <c:pt idx="5">
                  <c:v>44175</c:v>
                </c:pt>
                <c:pt idx="6">
                  <c:v>44206</c:v>
                </c:pt>
                <c:pt idx="7">
                  <c:v>44237</c:v>
                </c:pt>
                <c:pt idx="8">
                  <c:v>44265</c:v>
                </c:pt>
                <c:pt idx="9">
                  <c:v>44296</c:v>
                </c:pt>
                <c:pt idx="10">
                  <c:v>44317</c:v>
                </c:pt>
                <c:pt idx="11">
                  <c:v>44348</c:v>
                </c:pt>
              </c:numCache>
            </c:numRef>
          </c:cat>
          <c:val>
            <c:numRef>
              <c:f>'F 13'!$C$5:$C$16</c:f>
              <c:numCache>
                <c:formatCode>#,##0</c:formatCode>
                <c:ptCount val="12"/>
                <c:pt idx="0">
                  <c:v>-2476</c:v>
                </c:pt>
                <c:pt idx="1">
                  <c:v>-3310</c:v>
                </c:pt>
                <c:pt idx="2">
                  <c:v>3958</c:v>
                </c:pt>
                <c:pt idx="3">
                  <c:v>1641</c:v>
                </c:pt>
                <c:pt idx="4">
                  <c:v>-1806</c:v>
                </c:pt>
                <c:pt idx="5">
                  <c:v>4079</c:v>
                </c:pt>
                <c:pt idx="6">
                  <c:v>-2518</c:v>
                </c:pt>
                <c:pt idx="7">
                  <c:v>-6488</c:v>
                </c:pt>
                <c:pt idx="8">
                  <c:v>-6492</c:v>
                </c:pt>
                <c:pt idx="9">
                  <c:v>-118</c:v>
                </c:pt>
                <c:pt idx="10">
                  <c:v>-1706</c:v>
                </c:pt>
                <c:pt idx="11">
                  <c:v>-4829</c:v>
                </c:pt>
              </c:numCache>
            </c:numRef>
          </c:val>
          <c:extLst>
            <c:ext xmlns:c16="http://schemas.microsoft.com/office/drawing/2014/chart" uri="{C3380CC4-5D6E-409C-BE32-E72D297353CC}">
              <c16:uniqueId val="{00000001-D6B0-43B4-8354-C523DE2AE61A}"/>
            </c:ext>
          </c:extLst>
        </c:ser>
        <c:dLbls>
          <c:showLegendKey val="0"/>
          <c:showVal val="0"/>
          <c:showCatName val="0"/>
          <c:showSerName val="0"/>
          <c:showPercent val="0"/>
          <c:showBubbleSize val="0"/>
        </c:dLbls>
        <c:gapWidth val="219"/>
        <c:overlap val="-27"/>
        <c:axId val="880119712"/>
        <c:axId val="880117752"/>
      </c:barChart>
      <c:barChart>
        <c:barDir val="col"/>
        <c:grouping val="clustered"/>
        <c:varyColors val="0"/>
        <c:ser>
          <c:idx val="2"/>
          <c:order val="2"/>
          <c:tx>
            <c:strRef>
              <c:f>'F 13'!$D$3</c:f>
              <c:strCache>
                <c:ptCount val="1"/>
                <c:pt idx="0">
                  <c:v>Debt-VRR (RHS)</c:v>
                </c:pt>
              </c:strCache>
            </c:strRef>
          </c:tx>
          <c:spPr>
            <a:solidFill>
              <a:schemeClr val="accent3"/>
            </a:solidFill>
            <a:ln>
              <a:noFill/>
            </a:ln>
            <a:effectLst/>
          </c:spPr>
          <c:invertIfNegative val="0"/>
          <c:cat>
            <c:numRef>
              <c:f>'F 13'!$A$5:$A$16</c:f>
              <c:numCache>
                <c:formatCode>[$-409]mmm\-yy</c:formatCode>
                <c:ptCount val="12"/>
                <c:pt idx="0">
                  <c:v>44022</c:v>
                </c:pt>
                <c:pt idx="1">
                  <c:v>44053</c:v>
                </c:pt>
                <c:pt idx="2">
                  <c:v>44084</c:v>
                </c:pt>
                <c:pt idx="3">
                  <c:v>44114</c:v>
                </c:pt>
                <c:pt idx="4">
                  <c:v>44145</c:v>
                </c:pt>
                <c:pt idx="5">
                  <c:v>44175</c:v>
                </c:pt>
                <c:pt idx="6">
                  <c:v>44206</c:v>
                </c:pt>
                <c:pt idx="7">
                  <c:v>44237</c:v>
                </c:pt>
                <c:pt idx="8">
                  <c:v>44265</c:v>
                </c:pt>
                <c:pt idx="9">
                  <c:v>44296</c:v>
                </c:pt>
                <c:pt idx="10">
                  <c:v>44317</c:v>
                </c:pt>
                <c:pt idx="11">
                  <c:v>44348</c:v>
                </c:pt>
              </c:numCache>
            </c:numRef>
          </c:cat>
          <c:val>
            <c:numRef>
              <c:f>'F 13'!$D$5:$D$16</c:f>
              <c:numCache>
                <c:formatCode>#,##0</c:formatCode>
                <c:ptCount val="12"/>
                <c:pt idx="0">
                  <c:v>-1786</c:v>
                </c:pt>
                <c:pt idx="1">
                  <c:v>2762</c:v>
                </c:pt>
                <c:pt idx="2">
                  <c:v>406</c:v>
                </c:pt>
                <c:pt idx="3">
                  <c:v>851</c:v>
                </c:pt>
                <c:pt idx="4">
                  <c:v>4399</c:v>
                </c:pt>
                <c:pt idx="5">
                  <c:v>2463</c:v>
                </c:pt>
                <c:pt idx="6">
                  <c:v>-2306</c:v>
                </c:pt>
                <c:pt idx="7">
                  <c:v>4364</c:v>
                </c:pt>
                <c:pt idx="8">
                  <c:v>13314</c:v>
                </c:pt>
                <c:pt idx="9">
                  <c:v>342</c:v>
                </c:pt>
                <c:pt idx="10">
                  <c:v>1994</c:v>
                </c:pt>
                <c:pt idx="11">
                  <c:v>883</c:v>
                </c:pt>
              </c:numCache>
            </c:numRef>
          </c:val>
          <c:extLst>
            <c:ext xmlns:c16="http://schemas.microsoft.com/office/drawing/2014/chart" uri="{C3380CC4-5D6E-409C-BE32-E72D297353CC}">
              <c16:uniqueId val="{00000002-D6B0-43B4-8354-C523DE2AE61A}"/>
            </c:ext>
          </c:extLst>
        </c:ser>
        <c:ser>
          <c:idx val="3"/>
          <c:order val="3"/>
          <c:tx>
            <c:strRef>
              <c:f>'F 13'!$E$3</c:f>
              <c:strCache>
                <c:ptCount val="1"/>
                <c:pt idx="0">
                  <c:v>Hybrid  (RHS)</c:v>
                </c:pt>
              </c:strCache>
            </c:strRef>
          </c:tx>
          <c:spPr>
            <a:solidFill>
              <a:schemeClr val="accent4"/>
            </a:solidFill>
            <a:ln>
              <a:noFill/>
            </a:ln>
            <a:effectLst/>
          </c:spPr>
          <c:invertIfNegative val="0"/>
          <c:cat>
            <c:numRef>
              <c:f>'F 13'!$A$5:$A$16</c:f>
              <c:numCache>
                <c:formatCode>[$-409]mmm\-yy</c:formatCode>
                <c:ptCount val="12"/>
                <c:pt idx="0">
                  <c:v>44022</c:v>
                </c:pt>
                <c:pt idx="1">
                  <c:v>44053</c:v>
                </c:pt>
                <c:pt idx="2">
                  <c:v>44084</c:v>
                </c:pt>
                <c:pt idx="3">
                  <c:v>44114</c:v>
                </c:pt>
                <c:pt idx="4">
                  <c:v>44145</c:v>
                </c:pt>
                <c:pt idx="5">
                  <c:v>44175</c:v>
                </c:pt>
                <c:pt idx="6">
                  <c:v>44206</c:v>
                </c:pt>
                <c:pt idx="7">
                  <c:v>44237</c:v>
                </c:pt>
                <c:pt idx="8">
                  <c:v>44265</c:v>
                </c:pt>
                <c:pt idx="9">
                  <c:v>44296</c:v>
                </c:pt>
                <c:pt idx="10">
                  <c:v>44317</c:v>
                </c:pt>
                <c:pt idx="11">
                  <c:v>44348</c:v>
                </c:pt>
              </c:numCache>
            </c:numRef>
          </c:cat>
          <c:val>
            <c:numRef>
              <c:f>'F 13'!$E$5:$E$16</c:f>
              <c:numCache>
                <c:formatCode>#,##0</c:formatCode>
                <c:ptCount val="12"/>
                <c:pt idx="0">
                  <c:v>1</c:v>
                </c:pt>
                <c:pt idx="1">
                  <c:v>3347</c:v>
                </c:pt>
                <c:pt idx="2">
                  <c:v>2222</c:v>
                </c:pt>
                <c:pt idx="3">
                  <c:v>-207</c:v>
                </c:pt>
                <c:pt idx="4">
                  <c:v>-169</c:v>
                </c:pt>
                <c:pt idx="5">
                  <c:v>2489</c:v>
                </c:pt>
                <c:pt idx="6">
                  <c:v>-17</c:v>
                </c:pt>
                <c:pt idx="7">
                  <c:v>350</c:v>
                </c:pt>
                <c:pt idx="8">
                  <c:v>-281</c:v>
                </c:pt>
                <c:pt idx="9">
                  <c:v>599</c:v>
                </c:pt>
                <c:pt idx="10">
                  <c:v>709</c:v>
                </c:pt>
                <c:pt idx="11">
                  <c:v>-295</c:v>
                </c:pt>
              </c:numCache>
            </c:numRef>
          </c:val>
          <c:extLst>
            <c:ext xmlns:c16="http://schemas.microsoft.com/office/drawing/2014/chart" uri="{C3380CC4-5D6E-409C-BE32-E72D297353CC}">
              <c16:uniqueId val="{00000003-D6B0-43B4-8354-C523DE2AE61A}"/>
            </c:ext>
          </c:extLst>
        </c:ser>
        <c:dLbls>
          <c:showLegendKey val="0"/>
          <c:showVal val="0"/>
          <c:showCatName val="0"/>
          <c:showSerName val="0"/>
          <c:showPercent val="0"/>
          <c:showBubbleSize val="0"/>
        </c:dLbls>
        <c:gapWidth val="219"/>
        <c:overlap val="-27"/>
        <c:axId val="840695968"/>
        <c:axId val="840692440"/>
      </c:barChart>
      <c:lineChart>
        <c:grouping val="standard"/>
        <c:varyColors val="0"/>
        <c:ser>
          <c:idx val="4"/>
          <c:order val="4"/>
          <c:tx>
            <c:strRef>
              <c:f>'F 13'!$F$3</c:f>
              <c:strCache>
                <c:ptCount val="1"/>
                <c:pt idx="0">
                  <c:v>Total (LHS)</c:v>
                </c:pt>
              </c:strCache>
            </c:strRef>
          </c:tx>
          <c:spPr>
            <a:ln w="28575" cap="rnd">
              <a:solidFill>
                <a:schemeClr val="accent5"/>
              </a:solidFill>
              <a:round/>
            </a:ln>
            <a:effectLst/>
          </c:spPr>
          <c:marker>
            <c:symbol val="none"/>
          </c:marker>
          <c:cat>
            <c:numRef>
              <c:f>'F 13'!$A$5:$A$16</c:f>
              <c:numCache>
                <c:formatCode>[$-409]mmm\-yy</c:formatCode>
                <c:ptCount val="12"/>
                <c:pt idx="0">
                  <c:v>44022</c:v>
                </c:pt>
                <c:pt idx="1">
                  <c:v>44053</c:v>
                </c:pt>
                <c:pt idx="2">
                  <c:v>44084</c:v>
                </c:pt>
                <c:pt idx="3">
                  <c:v>44114</c:v>
                </c:pt>
                <c:pt idx="4">
                  <c:v>44145</c:v>
                </c:pt>
                <c:pt idx="5">
                  <c:v>44175</c:v>
                </c:pt>
                <c:pt idx="6">
                  <c:v>44206</c:v>
                </c:pt>
                <c:pt idx="7">
                  <c:v>44237</c:v>
                </c:pt>
                <c:pt idx="8">
                  <c:v>44265</c:v>
                </c:pt>
                <c:pt idx="9">
                  <c:v>44296</c:v>
                </c:pt>
                <c:pt idx="10">
                  <c:v>44317</c:v>
                </c:pt>
                <c:pt idx="11">
                  <c:v>44348</c:v>
                </c:pt>
              </c:numCache>
            </c:numRef>
          </c:cat>
          <c:val>
            <c:numRef>
              <c:f>'F 13'!$F$5:$F$16</c:f>
              <c:numCache>
                <c:formatCode>#,##0</c:formatCode>
                <c:ptCount val="12"/>
                <c:pt idx="0">
                  <c:v>3301</c:v>
                </c:pt>
                <c:pt idx="1">
                  <c:v>49879</c:v>
                </c:pt>
                <c:pt idx="2">
                  <c:v>-1196</c:v>
                </c:pt>
                <c:pt idx="3">
                  <c:v>21826</c:v>
                </c:pt>
                <c:pt idx="4">
                  <c:v>62782</c:v>
                </c:pt>
                <c:pt idx="5">
                  <c:v>71046</c:v>
                </c:pt>
                <c:pt idx="6">
                  <c:v>14631</c:v>
                </c:pt>
                <c:pt idx="7">
                  <c:v>24013</c:v>
                </c:pt>
                <c:pt idx="8">
                  <c:v>17023</c:v>
                </c:pt>
                <c:pt idx="9">
                  <c:v>-8836</c:v>
                </c:pt>
                <c:pt idx="10">
                  <c:v>-1958</c:v>
                </c:pt>
                <c:pt idx="11">
                  <c:v>12974</c:v>
                </c:pt>
              </c:numCache>
            </c:numRef>
          </c:val>
          <c:smooth val="0"/>
          <c:extLst>
            <c:ext xmlns:c16="http://schemas.microsoft.com/office/drawing/2014/chart" uri="{C3380CC4-5D6E-409C-BE32-E72D297353CC}">
              <c16:uniqueId val="{00000004-D6B0-43B4-8354-C523DE2AE61A}"/>
            </c:ext>
          </c:extLst>
        </c:ser>
        <c:dLbls>
          <c:showLegendKey val="0"/>
          <c:showVal val="0"/>
          <c:showCatName val="0"/>
          <c:showSerName val="0"/>
          <c:showPercent val="0"/>
          <c:showBubbleSize val="0"/>
        </c:dLbls>
        <c:marker val="1"/>
        <c:smooth val="0"/>
        <c:axId val="880119712"/>
        <c:axId val="880117752"/>
      </c:lineChart>
      <c:dateAx>
        <c:axId val="880119712"/>
        <c:scaling>
          <c:orientation val="minMax"/>
        </c:scaling>
        <c:delete val="0"/>
        <c:axPos val="b"/>
        <c:numFmt formatCode="[$-409]mmm\-yy"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880117752"/>
        <c:crosses val="autoZero"/>
        <c:auto val="1"/>
        <c:lblOffset val="100"/>
        <c:baseTimeUnit val="months"/>
      </c:dateAx>
      <c:valAx>
        <c:axId val="880117752"/>
        <c:scaling>
          <c:orientation val="minMax"/>
          <c:max val="80000"/>
          <c:min val="-4000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880119712"/>
        <c:crosses val="autoZero"/>
        <c:crossBetween val="between"/>
      </c:valAx>
      <c:valAx>
        <c:axId val="840692440"/>
        <c:scaling>
          <c:orientation val="minMax"/>
          <c:max val="8000"/>
          <c:min val="-4000"/>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840695968"/>
        <c:crosses val="max"/>
        <c:crossBetween val="between"/>
      </c:valAx>
      <c:dateAx>
        <c:axId val="840695968"/>
        <c:scaling>
          <c:orientation val="minMax"/>
        </c:scaling>
        <c:delete val="1"/>
        <c:axPos val="b"/>
        <c:numFmt formatCode="[$-409]mmm\-yy" sourceLinked="1"/>
        <c:majorTickMark val="out"/>
        <c:minorTickMark val="none"/>
        <c:tickLblPos val="nextTo"/>
        <c:crossAx val="840692440"/>
        <c:crosses val="autoZero"/>
        <c:auto val="1"/>
        <c:lblOffset val="100"/>
        <c:baseTimeUnit val="days"/>
      </c:date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latin typeface="Palatino Linotype" panose="02040502050505030304" pitchFamily="18" charset="0"/>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'F14'!$I$4:$I$5</c:f>
              <c:strCache>
                <c:ptCount val="2"/>
                <c:pt idx="0">
                  <c:v>Closed Value (RHS)</c:v>
                </c:pt>
              </c:strCache>
            </c:strRef>
          </c:tx>
          <c:spPr>
            <a:solidFill>
              <a:srgbClr val="FF0000"/>
            </a:solidFill>
            <a:ln>
              <a:noFill/>
            </a:ln>
            <a:effectLst/>
          </c:spPr>
          <c:invertIfNegative val="0"/>
          <c:cat>
            <c:numRef>
              <c:f>'F14'!$A$6:$A$17</c:f>
              <c:numCache>
                <c:formatCode>[$-409]mmm\-yy</c:formatCode>
                <c:ptCount val="12"/>
                <c:pt idx="0">
                  <c:v>44022</c:v>
                </c:pt>
                <c:pt idx="1">
                  <c:v>44053</c:v>
                </c:pt>
                <c:pt idx="2">
                  <c:v>44084</c:v>
                </c:pt>
                <c:pt idx="3">
                  <c:v>44114</c:v>
                </c:pt>
                <c:pt idx="4">
                  <c:v>44145</c:v>
                </c:pt>
                <c:pt idx="5">
                  <c:v>44175</c:v>
                </c:pt>
                <c:pt idx="6">
                  <c:v>44206</c:v>
                </c:pt>
                <c:pt idx="7">
                  <c:v>44237</c:v>
                </c:pt>
                <c:pt idx="8">
                  <c:v>44265</c:v>
                </c:pt>
                <c:pt idx="9">
                  <c:v>44296</c:v>
                </c:pt>
                <c:pt idx="10">
                  <c:v>44326</c:v>
                </c:pt>
                <c:pt idx="11">
                  <c:v>44357</c:v>
                </c:pt>
              </c:numCache>
            </c:numRef>
          </c:cat>
          <c:val>
            <c:numRef>
              <c:f>'F14'!$I$6:$I$17</c:f>
              <c:numCache>
                <c:formatCode>#,##0;\-#,##0;0.0</c:formatCode>
                <c:ptCount val="12"/>
                <c:pt idx="0">
                  <c:v>528.16</c:v>
                </c:pt>
                <c:pt idx="1">
                  <c:v>3861.67</c:v>
                </c:pt>
                <c:pt idx="2">
                  <c:v>3010.3900000000003</c:v>
                </c:pt>
                <c:pt idx="3">
                  <c:v>480.5</c:v>
                </c:pt>
                <c:pt idx="4">
                  <c:v>0</c:v>
                </c:pt>
                <c:pt idx="5">
                  <c:v>47.49</c:v>
                </c:pt>
                <c:pt idx="6">
                  <c:v>140.80000000000001</c:v>
                </c:pt>
                <c:pt idx="7">
                  <c:v>211.18</c:v>
                </c:pt>
                <c:pt idx="8">
                  <c:v>440.03000000000003</c:v>
                </c:pt>
                <c:pt idx="9">
                  <c:v>5974.8600000000006</c:v>
                </c:pt>
                <c:pt idx="10">
                  <c:v>1400.44</c:v>
                </c:pt>
                <c:pt idx="11">
                  <c:v>81.680000000000007</c:v>
                </c:pt>
              </c:numCache>
            </c:numRef>
          </c:val>
          <c:extLst>
            <c:ext xmlns:c16="http://schemas.microsoft.com/office/drawing/2014/chart" uri="{C3380CC4-5D6E-409C-BE32-E72D297353CC}">
              <c16:uniqueId val="{00000000-0C8B-41AE-A27F-04976005D917}"/>
            </c:ext>
          </c:extLst>
        </c:ser>
        <c:dLbls>
          <c:showLegendKey val="0"/>
          <c:showVal val="0"/>
          <c:showCatName val="0"/>
          <c:showSerName val="0"/>
          <c:showPercent val="0"/>
          <c:showBubbleSize val="0"/>
        </c:dLbls>
        <c:gapWidth val="219"/>
        <c:axId val="592540232"/>
        <c:axId val="593176056"/>
      </c:barChart>
      <c:lineChart>
        <c:grouping val="standard"/>
        <c:varyColors val="0"/>
        <c:ser>
          <c:idx val="0"/>
          <c:order val="0"/>
          <c:tx>
            <c:strRef>
              <c:f>'F14'!$H$4:$H$5</c:f>
              <c:strCache>
                <c:ptCount val="2"/>
                <c:pt idx="0">
                  <c:v> Open Offers (LHS)</c:v>
                </c:pt>
              </c:strCache>
            </c:strRef>
          </c:tx>
          <c:spPr>
            <a:ln w="28575" cap="rnd">
              <a:solidFill>
                <a:srgbClr val="00B050"/>
              </a:solidFill>
              <a:round/>
            </a:ln>
            <a:effectLst/>
          </c:spPr>
          <c:marker>
            <c:symbol val="none"/>
          </c:marker>
          <c:cat>
            <c:numRef>
              <c:f>'F14'!$A$6:$A$17</c:f>
              <c:numCache>
                <c:formatCode>[$-409]mmm\-yy</c:formatCode>
                <c:ptCount val="12"/>
                <c:pt idx="0">
                  <c:v>44022</c:v>
                </c:pt>
                <c:pt idx="1">
                  <c:v>44053</c:v>
                </c:pt>
                <c:pt idx="2">
                  <c:v>44084</c:v>
                </c:pt>
                <c:pt idx="3">
                  <c:v>44114</c:v>
                </c:pt>
                <c:pt idx="4">
                  <c:v>44145</c:v>
                </c:pt>
                <c:pt idx="5">
                  <c:v>44175</c:v>
                </c:pt>
                <c:pt idx="6">
                  <c:v>44206</c:v>
                </c:pt>
                <c:pt idx="7">
                  <c:v>44237</c:v>
                </c:pt>
                <c:pt idx="8">
                  <c:v>44265</c:v>
                </c:pt>
                <c:pt idx="9">
                  <c:v>44296</c:v>
                </c:pt>
                <c:pt idx="10">
                  <c:v>44326</c:v>
                </c:pt>
                <c:pt idx="11">
                  <c:v>44357</c:v>
                </c:pt>
              </c:numCache>
            </c:numRef>
          </c:cat>
          <c:val>
            <c:numRef>
              <c:f>'F14'!$H$6:$H$17</c:f>
              <c:numCache>
                <c:formatCode>General</c:formatCode>
                <c:ptCount val="12"/>
                <c:pt idx="0">
                  <c:v>2</c:v>
                </c:pt>
                <c:pt idx="1">
                  <c:v>9</c:v>
                </c:pt>
                <c:pt idx="2">
                  <c:v>6</c:v>
                </c:pt>
                <c:pt idx="3">
                  <c:v>6</c:v>
                </c:pt>
                <c:pt idx="4">
                  <c:v>0</c:v>
                </c:pt>
                <c:pt idx="5">
                  <c:v>4</c:v>
                </c:pt>
                <c:pt idx="6">
                  <c:v>3</c:v>
                </c:pt>
                <c:pt idx="7">
                  <c:v>5</c:v>
                </c:pt>
                <c:pt idx="8">
                  <c:v>3</c:v>
                </c:pt>
                <c:pt idx="9">
                  <c:v>6</c:v>
                </c:pt>
                <c:pt idx="10">
                  <c:v>4</c:v>
                </c:pt>
                <c:pt idx="11">
                  <c:v>6</c:v>
                </c:pt>
              </c:numCache>
            </c:numRef>
          </c:val>
          <c:smooth val="0"/>
          <c:extLst>
            <c:ext xmlns:c16="http://schemas.microsoft.com/office/drawing/2014/chart" uri="{C3380CC4-5D6E-409C-BE32-E72D297353CC}">
              <c16:uniqueId val="{00000001-0C8B-41AE-A27F-04976005D917}"/>
            </c:ext>
          </c:extLst>
        </c:ser>
        <c:dLbls>
          <c:showLegendKey val="0"/>
          <c:showVal val="0"/>
          <c:showCatName val="0"/>
          <c:showSerName val="0"/>
          <c:showPercent val="0"/>
          <c:showBubbleSize val="0"/>
        </c:dLbls>
        <c:marker val="1"/>
        <c:smooth val="0"/>
        <c:axId val="593169784"/>
        <c:axId val="593174488"/>
      </c:lineChart>
      <c:dateAx>
        <c:axId val="593169784"/>
        <c:scaling>
          <c:orientation val="minMax"/>
        </c:scaling>
        <c:delete val="0"/>
        <c:axPos val="b"/>
        <c:numFmt formatCode="[$-409]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593174488"/>
        <c:crosses val="autoZero"/>
        <c:auto val="1"/>
        <c:lblOffset val="100"/>
        <c:baseTimeUnit val="months"/>
      </c:dateAx>
      <c:valAx>
        <c:axId val="593174488"/>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r>
                  <a:rPr lang="en-US"/>
                  <a:t>Number</a:t>
                </a:r>
              </a:p>
            </c:rich>
          </c:tx>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593169784"/>
        <c:crosses val="autoZero"/>
        <c:crossBetween val="between"/>
        <c:majorUnit val="2"/>
      </c:valAx>
      <c:valAx>
        <c:axId val="593176056"/>
        <c:scaling>
          <c:orientation val="minMax"/>
          <c:max val="4000"/>
        </c:scaling>
        <c:delete val="0"/>
        <c:axPos val="r"/>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r>
                  <a:rPr lang="en-IN">
                    <a:latin typeface="Rupee Foradian" panose="020B0603030804020204" pitchFamily="34" charset="0"/>
                  </a:rPr>
                  <a:t>`</a:t>
                </a:r>
                <a:r>
                  <a:rPr lang="en-IN"/>
                  <a:t> Crore</a:t>
                </a:r>
              </a:p>
            </c:rich>
          </c:tx>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title>
        <c:numFmt formatCode="#,##0;\-#,##0;0.0"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592540232"/>
        <c:crosses val="max"/>
        <c:crossBetween val="between"/>
      </c:valAx>
      <c:dateAx>
        <c:axId val="592540232"/>
        <c:scaling>
          <c:orientation val="minMax"/>
        </c:scaling>
        <c:delete val="1"/>
        <c:axPos val="b"/>
        <c:numFmt formatCode="[$-409]mmm\-yy" sourceLinked="1"/>
        <c:majorTickMark val="out"/>
        <c:minorTickMark val="none"/>
        <c:tickLblPos val="nextTo"/>
        <c:crossAx val="593176056"/>
        <c:crosses val="autoZero"/>
        <c:auto val="1"/>
        <c:lblOffset val="100"/>
        <c:baseTimeUnit val="months"/>
        <c:majorUnit val="1"/>
        <c:minorUnit val="1"/>
      </c:date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Palatino Linotype" panose="02040502050505030304" pitchFamily="18"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000" b="1" i="0" u="none" strike="noStrike" kern="1200" spc="0" baseline="0">
                <a:solidFill>
                  <a:srgbClr val="0070C0"/>
                </a:solidFill>
                <a:latin typeface="+mn-lt"/>
                <a:ea typeface="+mn-ea"/>
                <a:cs typeface="+mn-cs"/>
              </a:defRPr>
            </a:pPr>
            <a:r>
              <a:rPr lang="en-IN" sz="1000" b="1">
                <a:solidFill>
                  <a:srgbClr val="0070C0"/>
                </a:solidFill>
              </a:rPr>
              <a:t>Movement of Commodity Derivative Domestic Indices</a:t>
            </a:r>
          </a:p>
        </c:rich>
      </c:tx>
      <c:layout>
        <c:manualLayout>
          <c:xMode val="edge"/>
          <c:yMode val="edge"/>
          <c:x val="0.14982220846508645"/>
          <c:y val="1.7017303974727709E-2"/>
        </c:manualLayout>
      </c:layout>
      <c:overlay val="0"/>
      <c:spPr>
        <a:noFill/>
        <a:ln>
          <a:noFill/>
        </a:ln>
        <a:effectLst/>
      </c:spPr>
      <c:txPr>
        <a:bodyPr rot="0" spcFirstLastPara="1" vertOverflow="ellipsis" vert="horz" wrap="square" anchor="ctr" anchorCtr="1"/>
        <a:lstStyle/>
        <a:p>
          <a:pPr algn="ctr">
            <a:defRPr sz="1000" b="1" i="0" u="none" strike="noStrike" kern="1200" spc="0" baseline="0">
              <a:solidFill>
                <a:srgbClr val="0070C0"/>
              </a:solidFill>
              <a:latin typeface="+mn-lt"/>
              <a:ea typeface="+mn-ea"/>
              <a:cs typeface="+mn-cs"/>
            </a:defRPr>
          </a:pPr>
          <a:endParaRPr lang="en-US"/>
        </a:p>
      </c:txPr>
    </c:title>
    <c:autoTitleDeleted val="0"/>
    <c:plotArea>
      <c:layout>
        <c:manualLayout>
          <c:layoutTarget val="inner"/>
          <c:xMode val="edge"/>
          <c:yMode val="edge"/>
          <c:x val="3.0445248133130945E-2"/>
          <c:y val="9.5263813252921672E-2"/>
          <c:w val="0.93910950373373814"/>
          <c:h val="0.61406543896862764"/>
        </c:manualLayout>
      </c:layout>
      <c:lineChart>
        <c:grouping val="standard"/>
        <c:varyColors val="0"/>
        <c:ser>
          <c:idx val="0"/>
          <c:order val="0"/>
          <c:tx>
            <c:v>MCX iCOMDEX composite index</c:v>
          </c:tx>
          <c:spPr>
            <a:ln w="28575" cap="rnd">
              <a:solidFill>
                <a:schemeClr val="accent1"/>
              </a:solidFill>
              <a:round/>
            </a:ln>
            <a:effectLst/>
          </c:spPr>
          <c:marker>
            <c:symbol val="none"/>
          </c:marker>
          <c:cat>
            <c:numRef>
              <c:f>Graph!$D$300:$D$322</c:f>
              <c:numCache>
                <c:formatCode>d\-mmm\-yy</c:formatCode>
                <c:ptCount val="23"/>
                <c:pt idx="0">
                  <c:v>44347</c:v>
                </c:pt>
                <c:pt idx="1">
                  <c:v>44348</c:v>
                </c:pt>
                <c:pt idx="2">
                  <c:v>44349</c:v>
                </c:pt>
                <c:pt idx="3">
                  <c:v>44350</c:v>
                </c:pt>
                <c:pt idx="4">
                  <c:v>44351</c:v>
                </c:pt>
                <c:pt idx="5">
                  <c:v>44354</c:v>
                </c:pt>
                <c:pt idx="6">
                  <c:v>44355</c:v>
                </c:pt>
                <c:pt idx="7">
                  <c:v>44356</c:v>
                </c:pt>
                <c:pt idx="8">
                  <c:v>44357</c:v>
                </c:pt>
                <c:pt idx="9">
                  <c:v>44358</c:v>
                </c:pt>
                <c:pt idx="10">
                  <c:v>44361</c:v>
                </c:pt>
                <c:pt idx="11">
                  <c:v>44362</c:v>
                </c:pt>
                <c:pt idx="12">
                  <c:v>44363</c:v>
                </c:pt>
                <c:pt idx="13">
                  <c:v>44364</c:v>
                </c:pt>
                <c:pt idx="14">
                  <c:v>44365</c:v>
                </c:pt>
                <c:pt idx="15">
                  <c:v>44368</c:v>
                </c:pt>
                <c:pt idx="16">
                  <c:v>44369</c:v>
                </c:pt>
                <c:pt idx="17">
                  <c:v>44370</c:v>
                </c:pt>
                <c:pt idx="18">
                  <c:v>44371</c:v>
                </c:pt>
                <c:pt idx="19">
                  <c:v>44372</c:v>
                </c:pt>
                <c:pt idx="20">
                  <c:v>44375</c:v>
                </c:pt>
                <c:pt idx="21">
                  <c:v>44376</c:v>
                </c:pt>
                <c:pt idx="22">
                  <c:v>44377</c:v>
                </c:pt>
              </c:numCache>
            </c:numRef>
          </c:cat>
          <c:val>
            <c:numRef>
              <c:f>Graph!$E$300:$E$322</c:f>
              <c:numCache>
                <c:formatCode>_(* #,##0.00_);_(* \(#,##0.00\);_(* "-"??_);_(@_)</c:formatCode>
                <c:ptCount val="23"/>
                <c:pt idx="0">
                  <c:v>100</c:v>
                </c:pt>
                <c:pt idx="1">
                  <c:v>100.49751591178082</c:v>
                </c:pt>
                <c:pt idx="2">
                  <c:v>100.92860908516423</c:v>
                </c:pt>
                <c:pt idx="3">
                  <c:v>99.109970218872078</c:v>
                </c:pt>
                <c:pt idx="4">
                  <c:v>99.924936195766378</c:v>
                </c:pt>
                <c:pt idx="5">
                  <c:v>100.04678395240605</c:v>
                </c:pt>
                <c:pt idx="6">
                  <c:v>100.12385527698542</c:v>
                </c:pt>
                <c:pt idx="7">
                  <c:v>100.11896740136089</c:v>
                </c:pt>
                <c:pt idx="8">
                  <c:v>100.19856994724583</c:v>
                </c:pt>
                <c:pt idx="9">
                  <c:v>100.30435754111923</c:v>
                </c:pt>
                <c:pt idx="10">
                  <c:v>99.932093442216541</c:v>
                </c:pt>
                <c:pt idx="11">
                  <c:v>99.044856732874067</c:v>
                </c:pt>
                <c:pt idx="12">
                  <c:v>99.242728412173562</c:v>
                </c:pt>
                <c:pt idx="13">
                  <c:v>96.594285375126958</c:v>
                </c:pt>
                <c:pt idx="14">
                  <c:v>96.48832321426697</c:v>
                </c:pt>
                <c:pt idx="15">
                  <c:v>97.409687769487732</c:v>
                </c:pt>
                <c:pt idx="16">
                  <c:v>97.722075391990131</c:v>
                </c:pt>
                <c:pt idx="17">
                  <c:v>98.286974160594596</c:v>
                </c:pt>
                <c:pt idx="18">
                  <c:v>98.331837876148157</c:v>
                </c:pt>
                <c:pt idx="19">
                  <c:v>98.606519029547158</c:v>
                </c:pt>
                <c:pt idx="20">
                  <c:v>98.544111331841322</c:v>
                </c:pt>
                <c:pt idx="21">
                  <c:v>98.239055522775701</c:v>
                </c:pt>
                <c:pt idx="22">
                  <c:v>98.741022892714568</c:v>
                </c:pt>
              </c:numCache>
            </c:numRef>
          </c:val>
          <c:smooth val="0"/>
          <c:extLst>
            <c:ext xmlns:c16="http://schemas.microsoft.com/office/drawing/2014/chart" uri="{C3380CC4-5D6E-409C-BE32-E72D297353CC}">
              <c16:uniqueId val="{00000000-E80C-4DF2-9745-7B7EEEF88C1B}"/>
            </c:ext>
          </c:extLst>
        </c:ser>
        <c:ser>
          <c:idx val="1"/>
          <c:order val="1"/>
          <c:tx>
            <c:v>NCDEX Nkrishi index</c:v>
          </c:tx>
          <c:spPr>
            <a:ln w="28575" cap="rnd">
              <a:solidFill>
                <a:schemeClr val="accent2"/>
              </a:solidFill>
              <a:round/>
            </a:ln>
            <a:effectLst/>
          </c:spPr>
          <c:marker>
            <c:symbol val="none"/>
          </c:marker>
          <c:cat>
            <c:numRef>
              <c:f>Graph!$D$300:$D$322</c:f>
              <c:numCache>
                <c:formatCode>d\-mmm\-yy</c:formatCode>
                <c:ptCount val="23"/>
                <c:pt idx="0">
                  <c:v>44347</c:v>
                </c:pt>
                <c:pt idx="1">
                  <c:v>44348</c:v>
                </c:pt>
                <c:pt idx="2">
                  <c:v>44349</c:v>
                </c:pt>
                <c:pt idx="3">
                  <c:v>44350</c:v>
                </c:pt>
                <c:pt idx="4">
                  <c:v>44351</c:v>
                </c:pt>
                <c:pt idx="5">
                  <c:v>44354</c:v>
                </c:pt>
                <c:pt idx="6">
                  <c:v>44355</c:v>
                </c:pt>
                <c:pt idx="7">
                  <c:v>44356</c:v>
                </c:pt>
                <c:pt idx="8">
                  <c:v>44357</c:v>
                </c:pt>
                <c:pt idx="9">
                  <c:v>44358</c:v>
                </c:pt>
                <c:pt idx="10">
                  <c:v>44361</c:v>
                </c:pt>
                <c:pt idx="11">
                  <c:v>44362</c:v>
                </c:pt>
                <c:pt idx="12">
                  <c:v>44363</c:v>
                </c:pt>
                <c:pt idx="13">
                  <c:v>44364</c:v>
                </c:pt>
                <c:pt idx="14">
                  <c:v>44365</c:v>
                </c:pt>
                <c:pt idx="15">
                  <c:v>44368</c:v>
                </c:pt>
                <c:pt idx="16">
                  <c:v>44369</c:v>
                </c:pt>
                <c:pt idx="17">
                  <c:v>44370</c:v>
                </c:pt>
                <c:pt idx="18">
                  <c:v>44371</c:v>
                </c:pt>
                <c:pt idx="19">
                  <c:v>44372</c:v>
                </c:pt>
                <c:pt idx="20">
                  <c:v>44375</c:v>
                </c:pt>
                <c:pt idx="21">
                  <c:v>44376</c:v>
                </c:pt>
                <c:pt idx="22">
                  <c:v>44377</c:v>
                </c:pt>
              </c:numCache>
            </c:numRef>
          </c:cat>
          <c:val>
            <c:numRef>
              <c:f>Graph!$F$300:$F$322</c:f>
              <c:numCache>
                <c:formatCode>_(* #,##0.00_);_(* \(#,##0.00\);_(* "-"??_);_(@_)</c:formatCode>
                <c:ptCount val="23"/>
                <c:pt idx="0">
                  <c:v>100</c:v>
                </c:pt>
                <c:pt idx="1">
                  <c:v>100.15292293738595</c:v>
                </c:pt>
                <c:pt idx="2">
                  <c:v>101.25080416372245</c:v>
                </c:pt>
                <c:pt idx="3">
                  <c:v>101.09577194444149</c:v>
                </c:pt>
                <c:pt idx="4">
                  <c:v>99.999999999999986</c:v>
                </c:pt>
                <c:pt idx="5">
                  <c:v>102.09029835792403</c:v>
                </c:pt>
                <c:pt idx="6">
                  <c:v>101.56825108891677</c:v>
                </c:pt>
                <c:pt idx="7">
                  <c:v>100.65282274649593</c:v>
                </c:pt>
                <c:pt idx="8">
                  <c:v>99.216401776015346</c:v>
                </c:pt>
                <c:pt idx="9">
                  <c:v>97.719866271527849</c:v>
                </c:pt>
                <c:pt idx="10">
                  <c:v>96.570307638764376</c:v>
                </c:pt>
                <c:pt idx="11">
                  <c:v>97.711429143947925</c:v>
                </c:pt>
                <c:pt idx="12">
                  <c:v>97.699828093525539</c:v>
                </c:pt>
                <c:pt idx="13">
                  <c:v>96.978453685442773</c:v>
                </c:pt>
                <c:pt idx="14">
                  <c:v>96.327740220841804</c:v>
                </c:pt>
                <c:pt idx="15">
                  <c:v>99.187926470433126</c:v>
                </c:pt>
                <c:pt idx="16">
                  <c:v>100.41658317425831</c:v>
                </c:pt>
                <c:pt idx="17">
                  <c:v>99.843913139771558</c:v>
                </c:pt>
                <c:pt idx="18">
                  <c:v>99.337685484976632</c:v>
                </c:pt>
                <c:pt idx="19">
                  <c:v>99.500100190890009</c:v>
                </c:pt>
                <c:pt idx="20">
                  <c:v>99.030784969257212</c:v>
                </c:pt>
                <c:pt idx="21">
                  <c:v>100.08015271200918</c:v>
                </c:pt>
                <c:pt idx="22">
                  <c:v>99.829148166506698</c:v>
                </c:pt>
              </c:numCache>
            </c:numRef>
          </c:val>
          <c:smooth val="0"/>
          <c:extLst>
            <c:ext xmlns:c16="http://schemas.microsoft.com/office/drawing/2014/chart" uri="{C3380CC4-5D6E-409C-BE32-E72D297353CC}">
              <c16:uniqueId val="{00000001-E80C-4DF2-9745-7B7EEEF88C1B}"/>
            </c:ext>
          </c:extLst>
        </c:ser>
        <c:dLbls>
          <c:showLegendKey val="0"/>
          <c:showVal val="0"/>
          <c:showCatName val="0"/>
          <c:showSerName val="0"/>
          <c:showPercent val="0"/>
          <c:showBubbleSize val="0"/>
        </c:dLbls>
        <c:smooth val="0"/>
        <c:axId val="840695184"/>
        <c:axId val="840695576"/>
      </c:lineChart>
      <c:dateAx>
        <c:axId val="840695184"/>
        <c:scaling>
          <c:orientation val="minMax"/>
        </c:scaling>
        <c:delete val="0"/>
        <c:axPos val="b"/>
        <c:numFmt formatCode="d\-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840695576"/>
        <c:crosses val="autoZero"/>
        <c:auto val="1"/>
        <c:lblOffset val="100"/>
        <c:baseTimeUnit val="days"/>
        <c:majorUnit val="2"/>
        <c:majorTimeUnit val="days"/>
      </c:dateAx>
      <c:valAx>
        <c:axId val="840695576"/>
        <c:scaling>
          <c:orientation val="minMax"/>
          <c:max val="104"/>
          <c:min val="94"/>
        </c:scaling>
        <c:delete val="0"/>
        <c:axPos val="l"/>
        <c:majorGridlines>
          <c:spPr>
            <a:ln w="9525" cap="flat" cmpd="sng" algn="ctr">
              <a:solidFill>
                <a:schemeClr val="tx2">
                  <a:lumMod val="20000"/>
                  <a:lumOff val="80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840695184"/>
        <c:crosses val="autoZero"/>
        <c:crossBetween val="between"/>
        <c:majorUnit val="2"/>
      </c:valAx>
      <c:spPr>
        <a:noFill/>
        <a:ln>
          <a:noFill/>
        </a:ln>
        <a:effectLst/>
      </c:spPr>
    </c:plotArea>
    <c:legend>
      <c:legendPos val="b"/>
      <c:layout>
        <c:manualLayout>
          <c:xMode val="edge"/>
          <c:yMode val="edge"/>
          <c:x val="4.9999945516735624E-2"/>
          <c:y val="0.91340808018773056"/>
          <c:w val="0.89999989103347122"/>
          <c:h val="6.3122520428695372E-2"/>
        </c:manualLayout>
      </c:layout>
      <c:overlay val="0"/>
      <c:spPr>
        <a:noFill/>
        <a:ln>
          <a:noFill/>
        </a:ln>
        <a:effectLst/>
      </c:spPr>
      <c:txPr>
        <a:bodyPr rot="0" spcFirstLastPara="1" vertOverflow="ellipsis" vert="horz" wrap="square" anchor="ctr" anchorCtr="1"/>
        <a:lstStyle/>
        <a:p>
          <a:pPr>
            <a:defRPr sz="1000" b="1" i="0" u="none" strike="noStrike" kern="1200" baseline="0">
              <a:solidFill>
                <a:srgbClr val="0070C0"/>
              </a:solidFill>
              <a:latin typeface="Garamond" panose="02020404030301010803" pitchFamily="18" charset="0"/>
              <a:ea typeface="+mn-ea"/>
              <a:cs typeface="+mn-cs"/>
            </a:defRPr>
          </a:pPr>
          <a:endParaRPr lang="en-US"/>
        </a:p>
      </c:txPr>
    </c:legend>
    <c:plotVisOnly val="1"/>
    <c:dispBlanksAs val="gap"/>
    <c:showDLblsOverMax val="0"/>
  </c:chart>
  <c:spPr>
    <a:solidFill>
      <a:schemeClr val="bg1"/>
    </a:solidFill>
    <a:ln w="9525" cap="flat" cmpd="sng" algn="ctr">
      <a:solidFill>
        <a:srgbClr val="0070C0"/>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027752615371433"/>
          <c:y val="2.3414388003439247E-2"/>
          <c:w val="0.78749864010268145"/>
          <c:h val="0.64042712487673603"/>
        </c:manualLayout>
      </c:layout>
      <c:barChart>
        <c:barDir val="col"/>
        <c:grouping val="clustered"/>
        <c:varyColors val="0"/>
        <c:ser>
          <c:idx val="0"/>
          <c:order val="0"/>
          <c:tx>
            <c:strRef>
              <c:f>'Turnover charts'!$B$3</c:f>
              <c:strCache>
                <c:ptCount val="1"/>
                <c:pt idx="0">
                  <c:v>MCX Agri Futures (LHS)</c:v>
                </c:pt>
              </c:strCache>
            </c:strRef>
          </c:tx>
          <c:spPr>
            <a:solidFill>
              <a:srgbClr val="0070C0"/>
            </a:solidFill>
            <a:ln>
              <a:solidFill>
                <a:sysClr val="windowText" lastClr="000000"/>
              </a:solidFill>
            </a:ln>
            <a:effectLst/>
          </c:spPr>
          <c:invertIfNegative val="0"/>
          <c:cat>
            <c:numRef>
              <c:f>'Turnover charts'!$A$46:$A$58</c:f>
              <c:numCache>
                <c:formatCode>mmm\-yy</c:formatCode>
                <c:ptCount val="12"/>
                <c:pt idx="0">
                  <c:v>44013</c:v>
                </c:pt>
                <c:pt idx="1">
                  <c:v>44044</c:v>
                </c:pt>
                <c:pt idx="2">
                  <c:v>44075</c:v>
                </c:pt>
                <c:pt idx="3">
                  <c:v>44105</c:v>
                </c:pt>
                <c:pt idx="4">
                  <c:v>44136</c:v>
                </c:pt>
                <c:pt idx="5">
                  <c:v>44166</c:v>
                </c:pt>
                <c:pt idx="6">
                  <c:v>44197</c:v>
                </c:pt>
                <c:pt idx="7">
                  <c:v>44228</c:v>
                </c:pt>
                <c:pt idx="8">
                  <c:v>44256</c:v>
                </c:pt>
                <c:pt idx="9">
                  <c:v>44287</c:v>
                </c:pt>
                <c:pt idx="10">
                  <c:v>44317</c:v>
                </c:pt>
                <c:pt idx="11">
                  <c:v>44348</c:v>
                </c:pt>
              </c:numCache>
              <c:extLst/>
            </c:numRef>
          </c:cat>
          <c:val>
            <c:numRef>
              <c:f>'Turnover charts'!$B$46:$B$58</c:f>
              <c:numCache>
                <c:formatCode>#,##0</c:formatCode>
                <c:ptCount val="12"/>
                <c:pt idx="0">
                  <c:v>7277.3962512000026</c:v>
                </c:pt>
                <c:pt idx="1">
                  <c:v>5824.4504842000024</c:v>
                </c:pt>
                <c:pt idx="2">
                  <c:v>6838.5318600000001</c:v>
                </c:pt>
                <c:pt idx="3">
                  <c:v>7096.0901250000006</c:v>
                </c:pt>
                <c:pt idx="4">
                  <c:v>10138.218927400003</c:v>
                </c:pt>
                <c:pt idx="5">
                  <c:v>10747.937155000003</c:v>
                </c:pt>
                <c:pt idx="6">
                  <c:v>12653.105590599998</c:v>
                </c:pt>
                <c:pt idx="7">
                  <c:v>12289.256776399998</c:v>
                </c:pt>
                <c:pt idx="8">
                  <c:v>13909.001715000002</c:v>
                </c:pt>
                <c:pt idx="9">
                  <c:v>12916.562410199997</c:v>
                </c:pt>
                <c:pt idx="10">
                  <c:v>11052.727486600001</c:v>
                </c:pt>
                <c:pt idx="11">
                  <c:v>14355.171816799999</c:v>
                </c:pt>
              </c:numCache>
              <c:extLst/>
            </c:numRef>
          </c:val>
          <c:extLst>
            <c:ext xmlns:c16="http://schemas.microsoft.com/office/drawing/2014/chart" uri="{C3380CC4-5D6E-409C-BE32-E72D297353CC}">
              <c16:uniqueId val="{00000000-4B31-48DA-8334-9ED469CEA129}"/>
            </c:ext>
          </c:extLst>
        </c:ser>
        <c:ser>
          <c:idx val="1"/>
          <c:order val="1"/>
          <c:tx>
            <c:strRef>
              <c:f>'Turnover charts'!$C$3</c:f>
              <c:strCache>
                <c:ptCount val="1"/>
                <c:pt idx="0">
                  <c:v>NCDEX Agri Futures &amp; Options (LHS)</c:v>
                </c:pt>
              </c:strCache>
            </c:strRef>
          </c:tx>
          <c:spPr>
            <a:solidFill>
              <a:srgbClr val="00B050"/>
            </a:solidFill>
            <a:ln>
              <a:solidFill>
                <a:schemeClr val="accent3">
                  <a:lumMod val="75000"/>
                </a:schemeClr>
              </a:solidFill>
            </a:ln>
            <a:effectLst/>
          </c:spPr>
          <c:invertIfNegative val="0"/>
          <c:cat>
            <c:numRef>
              <c:f>'Turnover charts'!$A$46:$A$58</c:f>
              <c:numCache>
                <c:formatCode>mmm\-yy</c:formatCode>
                <c:ptCount val="12"/>
                <c:pt idx="0">
                  <c:v>44013</c:v>
                </c:pt>
                <c:pt idx="1">
                  <c:v>44044</c:v>
                </c:pt>
                <c:pt idx="2">
                  <c:v>44075</c:v>
                </c:pt>
                <c:pt idx="3">
                  <c:v>44105</c:v>
                </c:pt>
                <c:pt idx="4">
                  <c:v>44136</c:v>
                </c:pt>
                <c:pt idx="5">
                  <c:v>44166</c:v>
                </c:pt>
                <c:pt idx="6">
                  <c:v>44197</c:v>
                </c:pt>
                <c:pt idx="7">
                  <c:v>44228</c:v>
                </c:pt>
                <c:pt idx="8">
                  <c:v>44256</c:v>
                </c:pt>
                <c:pt idx="9">
                  <c:v>44287</c:v>
                </c:pt>
                <c:pt idx="10">
                  <c:v>44317</c:v>
                </c:pt>
                <c:pt idx="11">
                  <c:v>44348</c:v>
                </c:pt>
              </c:numCache>
              <c:extLst/>
            </c:numRef>
          </c:cat>
          <c:val>
            <c:numRef>
              <c:f>'Turnover charts'!$C$46:$C$58</c:f>
              <c:numCache>
                <c:formatCode>#,##0</c:formatCode>
                <c:ptCount val="12"/>
                <c:pt idx="0">
                  <c:v>18054.253055000005</c:v>
                </c:pt>
                <c:pt idx="1">
                  <c:v>23929.732684999995</c:v>
                </c:pt>
                <c:pt idx="2">
                  <c:v>28599.374342499999</c:v>
                </c:pt>
                <c:pt idx="3">
                  <c:v>32560.999704999991</c:v>
                </c:pt>
                <c:pt idx="4">
                  <c:v>31297.897227500001</c:v>
                </c:pt>
                <c:pt idx="5">
                  <c:v>34267.000512499995</c:v>
                </c:pt>
                <c:pt idx="6">
                  <c:v>32707.133774999988</c:v>
                </c:pt>
                <c:pt idx="7">
                  <c:v>30761.034117499996</c:v>
                </c:pt>
                <c:pt idx="8">
                  <c:v>43894.883412500007</c:v>
                </c:pt>
                <c:pt idx="9">
                  <c:v>55219.791669999999</c:v>
                </c:pt>
                <c:pt idx="10">
                  <c:v>42904.619504999995</c:v>
                </c:pt>
                <c:pt idx="11">
                  <c:v>42758.980299999996</c:v>
                </c:pt>
              </c:numCache>
              <c:extLst/>
            </c:numRef>
          </c:val>
          <c:extLst>
            <c:ext xmlns:c16="http://schemas.microsoft.com/office/drawing/2014/chart" uri="{C3380CC4-5D6E-409C-BE32-E72D297353CC}">
              <c16:uniqueId val="{00000001-4B31-48DA-8334-9ED469CEA129}"/>
            </c:ext>
          </c:extLst>
        </c:ser>
        <c:dLbls>
          <c:showLegendKey val="0"/>
          <c:showVal val="0"/>
          <c:showCatName val="0"/>
          <c:showSerName val="0"/>
          <c:showPercent val="0"/>
          <c:showBubbleSize val="0"/>
        </c:dLbls>
        <c:gapWidth val="219"/>
        <c:axId val="877618064"/>
        <c:axId val="877617280"/>
      </c:barChart>
      <c:lineChart>
        <c:grouping val="standard"/>
        <c:varyColors val="0"/>
        <c:ser>
          <c:idx val="2"/>
          <c:order val="2"/>
          <c:tx>
            <c:strRef>
              <c:f>'Turnover charts'!$D$3</c:f>
              <c:strCache>
                <c:ptCount val="1"/>
                <c:pt idx="0">
                  <c:v>ICEX Agri Futures (RHS)</c:v>
                </c:pt>
              </c:strCache>
            </c:strRef>
          </c:tx>
          <c:spPr>
            <a:ln w="28575" cap="rnd">
              <a:solidFill>
                <a:schemeClr val="accent6"/>
              </a:solidFill>
              <a:round/>
            </a:ln>
            <a:effectLst/>
          </c:spPr>
          <c:marker>
            <c:symbol val="x"/>
            <c:size val="10"/>
            <c:spPr>
              <a:noFill/>
              <a:ln w="9525">
                <a:solidFill>
                  <a:srgbClr val="C00000"/>
                </a:solidFill>
              </a:ln>
              <a:effectLst/>
            </c:spPr>
          </c:marker>
          <c:cat>
            <c:numRef>
              <c:f>'Turnover charts'!$A$46:$A$58</c:f>
              <c:numCache>
                <c:formatCode>mmm\-yy</c:formatCode>
                <c:ptCount val="12"/>
                <c:pt idx="0">
                  <c:v>44013</c:v>
                </c:pt>
                <c:pt idx="1">
                  <c:v>44044</c:v>
                </c:pt>
                <c:pt idx="2">
                  <c:v>44075</c:v>
                </c:pt>
                <c:pt idx="3">
                  <c:v>44105</c:v>
                </c:pt>
                <c:pt idx="4">
                  <c:v>44136</c:v>
                </c:pt>
                <c:pt idx="5">
                  <c:v>44166</c:v>
                </c:pt>
                <c:pt idx="6">
                  <c:v>44197</c:v>
                </c:pt>
                <c:pt idx="7">
                  <c:v>44228</c:v>
                </c:pt>
                <c:pt idx="8">
                  <c:v>44256</c:v>
                </c:pt>
                <c:pt idx="9">
                  <c:v>44287</c:v>
                </c:pt>
                <c:pt idx="10">
                  <c:v>44317</c:v>
                </c:pt>
                <c:pt idx="11">
                  <c:v>44348</c:v>
                </c:pt>
              </c:numCache>
              <c:extLst/>
            </c:numRef>
          </c:cat>
          <c:val>
            <c:numRef>
              <c:f>'Turnover charts'!$D$46:$D$58</c:f>
              <c:numCache>
                <c:formatCode>#,##0</c:formatCode>
                <c:ptCount val="12"/>
                <c:pt idx="0">
                  <c:v>22.481598000000002</c:v>
                </c:pt>
                <c:pt idx="1">
                  <c:v>2.2767149999999998</c:v>
                </c:pt>
                <c:pt idx="2" formatCode="#,##0.0">
                  <c:v>4.0599999999999997E-2</c:v>
                </c:pt>
                <c:pt idx="3" formatCode="#,##0.0">
                  <c:v>0</c:v>
                </c:pt>
                <c:pt idx="4" formatCode="#,##0.0">
                  <c:v>0</c:v>
                </c:pt>
                <c:pt idx="5" formatCode="#,##0.0">
                  <c:v>0.89</c:v>
                </c:pt>
                <c:pt idx="6" formatCode="#,##0.0">
                  <c:v>2.819</c:v>
                </c:pt>
                <c:pt idx="7" formatCode="#,##0.0">
                  <c:v>2.5779999999999998</c:v>
                </c:pt>
                <c:pt idx="8" formatCode="#,##0.0">
                  <c:v>3.4738000000000002</c:v>
                </c:pt>
                <c:pt idx="9" formatCode="#,##0.0">
                  <c:v>2.9133100000000001</c:v>
                </c:pt>
                <c:pt idx="10" formatCode="#,##0.0">
                  <c:v>3.66</c:v>
                </c:pt>
                <c:pt idx="11" formatCode="#,##0.0">
                  <c:v>3.86</c:v>
                </c:pt>
              </c:numCache>
              <c:extLst/>
            </c:numRef>
          </c:val>
          <c:smooth val="0"/>
          <c:extLst>
            <c:ext xmlns:c16="http://schemas.microsoft.com/office/drawing/2014/chart" uri="{C3380CC4-5D6E-409C-BE32-E72D297353CC}">
              <c16:uniqueId val="{00000002-4B31-48DA-8334-9ED469CEA129}"/>
            </c:ext>
          </c:extLst>
        </c:ser>
        <c:ser>
          <c:idx val="3"/>
          <c:order val="3"/>
          <c:tx>
            <c:strRef>
              <c:f>'Turnover charts'!$E$3</c:f>
              <c:strCache>
                <c:ptCount val="1"/>
                <c:pt idx="0">
                  <c:v>BSE Agri Futures (RHS)</c:v>
                </c:pt>
              </c:strCache>
            </c:strRef>
          </c:tx>
          <c:spPr>
            <a:ln w="28575" cap="rnd">
              <a:solidFill>
                <a:schemeClr val="tx1"/>
              </a:solidFill>
              <a:round/>
            </a:ln>
            <a:effectLst/>
          </c:spPr>
          <c:marker>
            <c:symbol val="triangle"/>
            <c:size val="9"/>
            <c:spPr>
              <a:solidFill>
                <a:schemeClr val="accent4"/>
              </a:solidFill>
              <a:ln w="9525">
                <a:solidFill>
                  <a:schemeClr val="tx1"/>
                </a:solidFill>
              </a:ln>
              <a:effectLst/>
            </c:spPr>
          </c:marker>
          <c:cat>
            <c:numRef>
              <c:f>'Turnover charts'!$A$46:$A$58</c:f>
              <c:numCache>
                <c:formatCode>mmm\-yy</c:formatCode>
                <c:ptCount val="12"/>
                <c:pt idx="0">
                  <c:v>44013</c:v>
                </c:pt>
                <c:pt idx="1">
                  <c:v>44044</c:v>
                </c:pt>
                <c:pt idx="2">
                  <c:v>44075</c:v>
                </c:pt>
                <c:pt idx="3">
                  <c:v>44105</c:v>
                </c:pt>
                <c:pt idx="4">
                  <c:v>44136</c:v>
                </c:pt>
                <c:pt idx="5">
                  <c:v>44166</c:v>
                </c:pt>
                <c:pt idx="6">
                  <c:v>44197</c:v>
                </c:pt>
                <c:pt idx="7">
                  <c:v>44228</c:v>
                </c:pt>
                <c:pt idx="8">
                  <c:v>44256</c:v>
                </c:pt>
                <c:pt idx="9">
                  <c:v>44287</c:v>
                </c:pt>
                <c:pt idx="10">
                  <c:v>44317</c:v>
                </c:pt>
                <c:pt idx="11">
                  <c:v>44348</c:v>
                </c:pt>
              </c:numCache>
              <c:extLst/>
            </c:numRef>
          </c:cat>
          <c:val>
            <c:numRef>
              <c:f>'Turnover charts'!$E$46:$E$58</c:f>
              <c:numCache>
                <c:formatCode>#,##0</c:formatCode>
                <c:ptCount val="12"/>
                <c:pt idx="0">
                  <c:v>323.74</c:v>
                </c:pt>
                <c:pt idx="1">
                  <c:v>153.78</c:v>
                </c:pt>
                <c:pt idx="2">
                  <c:v>181.2</c:v>
                </c:pt>
                <c:pt idx="3">
                  <c:v>236.58</c:v>
                </c:pt>
                <c:pt idx="4">
                  <c:v>165.86</c:v>
                </c:pt>
                <c:pt idx="5">
                  <c:v>110.01</c:v>
                </c:pt>
                <c:pt idx="6">
                  <c:v>86.66</c:v>
                </c:pt>
                <c:pt idx="7">
                  <c:v>83.13</c:v>
                </c:pt>
                <c:pt idx="8">
                  <c:v>115.46</c:v>
                </c:pt>
                <c:pt idx="9">
                  <c:v>174.66</c:v>
                </c:pt>
                <c:pt idx="10">
                  <c:v>184.73</c:v>
                </c:pt>
                <c:pt idx="11">
                  <c:v>227.91</c:v>
                </c:pt>
              </c:numCache>
              <c:extLst/>
            </c:numRef>
          </c:val>
          <c:smooth val="0"/>
          <c:extLst>
            <c:ext xmlns:c16="http://schemas.microsoft.com/office/drawing/2014/chart" uri="{C3380CC4-5D6E-409C-BE32-E72D297353CC}">
              <c16:uniqueId val="{00000003-4B31-48DA-8334-9ED469CEA129}"/>
            </c:ext>
          </c:extLst>
        </c:ser>
        <c:ser>
          <c:idx val="4"/>
          <c:order val="4"/>
          <c:tx>
            <c:strRef>
              <c:f>'Turnover charts'!$F$3</c:f>
              <c:strCache>
                <c:ptCount val="1"/>
                <c:pt idx="0">
                  <c:v>NSE Agri. Futures(RHS)</c:v>
                </c:pt>
              </c:strCache>
            </c:strRef>
          </c:tx>
          <c:spPr>
            <a:ln w="28575" cap="rnd">
              <a:solidFill>
                <a:srgbClr val="C00000"/>
              </a:solidFill>
              <a:round/>
            </a:ln>
            <a:effectLst/>
          </c:spPr>
          <c:marker>
            <c:symbol val="diamond"/>
            <c:size val="9"/>
            <c:spPr>
              <a:solidFill>
                <a:srgbClr val="C00000"/>
              </a:solidFill>
              <a:ln w="9525">
                <a:solidFill>
                  <a:srgbClr val="C00000"/>
                </a:solidFill>
              </a:ln>
              <a:effectLst/>
            </c:spPr>
          </c:marker>
          <c:cat>
            <c:numRef>
              <c:f>'Turnover charts'!$A$46:$A$58</c:f>
              <c:numCache>
                <c:formatCode>mmm\-yy</c:formatCode>
                <c:ptCount val="12"/>
                <c:pt idx="0">
                  <c:v>44013</c:v>
                </c:pt>
                <c:pt idx="1">
                  <c:v>44044</c:v>
                </c:pt>
                <c:pt idx="2">
                  <c:v>44075</c:v>
                </c:pt>
                <c:pt idx="3">
                  <c:v>44105</c:v>
                </c:pt>
                <c:pt idx="4">
                  <c:v>44136</c:v>
                </c:pt>
                <c:pt idx="5">
                  <c:v>44166</c:v>
                </c:pt>
                <c:pt idx="6">
                  <c:v>44197</c:v>
                </c:pt>
                <c:pt idx="7">
                  <c:v>44228</c:v>
                </c:pt>
                <c:pt idx="8">
                  <c:v>44256</c:v>
                </c:pt>
                <c:pt idx="9">
                  <c:v>44287</c:v>
                </c:pt>
                <c:pt idx="10">
                  <c:v>44317</c:v>
                </c:pt>
                <c:pt idx="11">
                  <c:v>44348</c:v>
                </c:pt>
              </c:numCache>
              <c:extLst/>
            </c:numRef>
          </c:cat>
          <c:val>
            <c:numRef>
              <c:f>'Turnover charts'!$F$46:$F$58</c:f>
              <c:numCache>
                <c:formatCode>General</c:formatCode>
                <c:ptCount val="12"/>
                <c:pt idx="5" formatCode="#,##0">
                  <c:v>1433.9238400000006</c:v>
                </c:pt>
                <c:pt idx="6" formatCode="#,##0">
                  <c:v>826.19159999999999</c:v>
                </c:pt>
                <c:pt idx="7" formatCode="#,##0">
                  <c:v>920.27394000000004</c:v>
                </c:pt>
                <c:pt idx="8" formatCode="#,##0">
                  <c:v>1672.8383199999998</c:v>
                </c:pt>
                <c:pt idx="9" formatCode="#,##0">
                  <c:v>592.6947399999998</c:v>
                </c:pt>
                <c:pt idx="10" formatCode="#,##0">
                  <c:v>307.17788999999988</c:v>
                </c:pt>
                <c:pt idx="11" formatCode="#,##0">
                  <c:v>415.41961000000009</c:v>
                </c:pt>
              </c:numCache>
              <c:extLst/>
            </c:numRef>
          </c:val>
          <c:smooth val="0"/>
          <c:extLst>
            <c:ext xmlns:c16="http://schemas.microsoft.com/office/drawing/2014/chart" uri="{C3380CC4-5D6E-409C-BE32-E72D297353CC}">
              <c16:uniqueId val="{00000004-4B31-48DA-8334-9ED469CEA129}"/>
            </c:ext>
          </c:extLst>
        </c:ser>
        <c:dLbls>
          <c:showLegendKey val="0"/>
          <c:showVal val="0"/>
          <c:showCatName val="0"/>
          <c:showSerName val="0"/>
          <c:showPercent val="0"/>
          <c:showBubbleSize val="0"/>
        </c:dLbls>
        <c:marker val="1"/>
        <c:smooth val="0"/>
        <c:axId val="877618456"/>
        <c:axId val="877617672"/>
      </c:lineChart>
      <c:dateAx>
        <c:axId val="877618064"/>
        <c:scaling>
          <c:orientation val="minMax"/>
          <c:max val="44348"/>
          <c:min val="44013"/>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1680000" spcFirstLastPara="1" vertOverflow="ellipsis"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877617280"/>
        <c:crosses val="autoZero"/>
        <c:auto val="0"/>
        <c:lblOffset val="100"/>
        <c:baseTimeUnit val="months"/>
        <c:majorUnit val="1"/>
        <c:majorTimeUnit val="months"/>
      </c:dateAx>
      <c:valAx>
        <c:axId val="877617280"/>
        <c:scaling>
          <c:orientation val="minMax"/>
          <c:max val="6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r>
                  <a:rPr lang="en-US"/>
                  <a:t>₹</a:t>
                </a:r>
                <a:r>
                  <a:rPr lang="en-IN"/>
                  <a:t> crore</a:t>
                </a:r>
              </a:p>
            </c:rich>
          </c:tx>
          <c:layout>
            <c:manualLayout>
              <c:xMode val="edge"/>
              <c:yMode val="edge"/>
              <c:x val="1.6062712945958148E-2"/>
              <c:y val="0.28741147368959113"/>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877618064"/>
        <c:crosses val="autoZero"/>
        <c:crossBetween val="between"/>
      </c:valAx>
      <c:valAx>
        <c:axId val="877617672"/>
        <c:scaling>
          <c:orientation val="minMax"/>
          <c:max val="3000"/>
          <c:min val="0"/>
        </c:scaling>
        <c:delete val="0"/>
        <c:axPos val="r"/>
        <c:title>
          <c:tx>
            <c:rich>
              <a:bodyPr rot="5400000" spcFirstLastPara="1" vertOverflow="ellipsis"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r>
                  <a:rPr lang="en-US"/>
                  <a:t>₹</a:t>
                </a:r>
                <a:r>
                  <a:rPr lang="en-IN"/>
                  <a:t> crore</a:t>
                </a:r>
              </a:p>
            </c:rich>
          </c:tx>
          <c:layout/>
          <c:overlay val="0"/>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877618456"/>
        <c:crosses val="max"/>
        <c:crossBetween val="between"/>
        <c:majorUnit val="1000"/>
      </c:valAx>
      <c:dateAx>
        <c:axId val="877618456"/>
        <c:scaling>
          <c:orientation val="minMax"/>
        </c:scaling>
        <c:delete val="1"/>
        <c:axPos val="b"/>
        <c:numFmt formatCode="mmm\-yy" sourceLinked="1"/>
        <c:majorTickMark val="out"/>
        <c:minorTickMark val="none"/>
        <c:tickLblPos val="nextTo"/>
        <c:crossAx val="877617672"/>
        <c:crosses val="autoZero"/>
        <c:auto val="0"/>
        <c:lblOffset val="100"/>
        <c:baseTimeUnit val="months"/>
      </c:dateAx>
      <c:spPr>
        <a:noFill/>
        <a:ln>
          <a:noFill/>
        </a:ln>
        <a:effectLst/>
      </c:spPr>
    </c:plotArea>
    <c:legend>
      <c:legendPos val="b"/>
      <c:layout>
        <c:manualLayout>
          <c:xMode val="edge"/>
          <c:yMode val="edge"/>
          <c:x val="0.10164675814571447"/>
          <c:y val="0.81530778480276167"/>
          <c:w val="0.82665128174197633"/>
          <c:h val="0.1846922450343574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bg1">
          <a:lumMod val="65000"/>
        </a:schemeClr>
      </a:solidFill>
      <a:round/>
    </a:ln>
    <a:effectLst/>
  </c:spPr>
  <c:txPr>
    <a:bodyPr/>
    <a:lstStyle/>
    <a:p>
      <a:pPr>
        <a:defRPr sz="900">
          <a:solidFill>
            <a:sysClr val="windowText" lastClr="000000"/>
          </a:solidFill>
          <a:latin typeface="Palatino Linotype" panose="02040502050505030304" pitchFamily="18" charset="0"/>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23035631089595"/>
          <c:y val="2.8574616789475059E-2"/>
          <c:w val="0.79733110443956479"/>
          <c:h val="0.72457814568050793"/>
        </c:manualLayout>
      </c:layout>
      <c:barChart>
        <c:barDir val="col"/>
        <c:grouping val="stacked"/>
        <c:varyColors val="0"/>
        <c:ser>
          <c:idx val="0"/>
          <c:order val="0"/>
          <c:tx>
            <c:strRef>
              <c:f>'Turnover charts'!$K$3</c:f>
              <c:strCache>
                <c:ptCount val="1"/>
                <c:pt idx="0">
                  <c:v>MCX Futures (LHS)</c:v>
                </c:pt>
              </c:strCache>
            </c:strRef>
          </c:tx>
          <c:spPr>
            <a:solidFill>
              <a:srgbClr val="92D050"/>
            </a:solidFill>
            <a:ln>
              <a:solidFill>
                <a:sysClr val="windowText" lastClr="000000"/>
              </a:solidFill>
            </a:ln>
            <a:effectLst/>
          </c:spPr>
          <c:invertIfNegative val="0"/>
          <c:cat>
            <c:numRef>
              <c:f>'Turnover charts'!$J$47:$J$58</c:f>
              <c:numCache>
                <c:formatCode>mmm\-yy</c:formatCode>
                <c:ptCount val="12"/>
                <c:pt idx="0">
                  <c:v>44013</c:v>
                </c:pt>
                <c:pt idx="1">
                  <c:v>44044</c:v>
                </c:pt>
                <c:pt idx="2">
                  <c:v>44075</c:v>
                </c:pt>
                <c:pt idx="3">
                  <c:v>44105</c:v>
                </c:pt>
                <c:pt idx="4">
                  <c:v>44136</c:v>
                </c:pt>
                <c:pt idx="5">
                  <c:v>44166</c:v>
                </c:pt>
                <c:pt idx="6">
                  <c:v>44197</c:v>
                </c:pt>
                <c:pt idx="7">
                  <c:v>44228</c:v>
                </c:pt>
                <c:pt idx="8">
                  <c:v>44256</c:v>
                </c:pt>
                <c:pt idx="9">
                  <c:v>44287</c:v>
                </c:pt>
                <c:pt idx="10">
                  <c:v>44317</c:v>
                </c:pt>
                <c:pt idx="11">
                  <c:v>44348</c:v>
                </c:pt>
              </c:numCache>
            </c:numRef>
          </c:cat>
          <c:val>
            <c:numRef>
              <c:f>'Turnover charts'!$K$47:$K$58</c:f>
              <c:numCache>
                <c:formatCode>_(* #,##0_);_(* \(#,##0\);_(* "-"??_);_(@_)</c:formatCode>
                <c:ptCount val="12"/>
                <c:pt idx="0">
                  <c:v>846844.32924410037</c:v>
                </c:pt>
                <c:pt idx="1">
                  <c:v>904796.19616849977</c:v>
                </c:pt>
                <c:pt idx="2">
                  <c:v>745965.04735440004</c:v>
                </c:pt>
                <c:pt idx="3">
                  <c:v>691669.15749930032</c:v>
                </c:pt>
                <c:pt idx="4">
                  <c:v>722827.83065649983</c:v>
                </c:pt>
                <c:pt idx="5">
                  <c:v>649285.71545270004</c:v>
                </c:pt>
                <c:pt idx="6">
                  <c:v>631081.49217339978</c:v>
                </c:pt>
                <c:pt idx="7">
                  <c:v>732338.52416479995</c:v>
                </c:pt>
                <c:pt idx="8">
                  <c:v>602584.41504829994</c:v>
                </c:pt>
                <c:pt idx="9">
                  <c:v>525273.25289939984</c:v>
                </c:pt>
                <c:pt idx="10">
                  <c:v>657112.92129150021</c:v>
                </c:pt>
                <c:pt idx="11">
                  <c:v>573244.30666690005</c:v>
                </c:pt>
              </c:numCache>
            </c:numRef>
          </c:val>
          <c:extLst xmlns:c15="http://schemas.microsoft.com/office/drawing/2012/chart">
            <c:ext xmlns:c16="http://schemas.microsoft.com/office/drawing/2014/chart" uri="{C3380CC4-5D6E-409C-BE32-E72D297353CC}">
              <c16:uniqueId val="{00000000-F1F2-45E1-9544-431AF5481D5C}"/>
            </c:ext>
          </c:extLst>
        </c:ser>
        <c:dLbls>
          <c:showLegendKey val="0"/>
          <c:showVal val="0"/>
          <c:showCatName val="0"/>
          <c:showSerName val="0"/>
          <c:showPercent val="0"/>
          <c:showBubbleSize val="0"/>
        </c:dLbls>
        <c:gapWidth val="219"/>
        <c:overlap val="100"/>
        <c:axId val="877619240"/>
        <c:axId val="877619632"/>
        <c:extLst>
          <c:ext xmlns:c15="http://schemas.microsoft.com/office/drawing/2012/chart" uri="{02D57815-91ED-43cb-92C2-25804820EDAC}">
            <c15:filteredBarSeries>
              <c15:ser>
                <c:idx val="1"/>
                <c:order val="1"/>
                <c:tx>
                  <c:strRef>
                    <c:extLst>
                      <c:ext uri="{02D57815-91ED-43cb-92C2-25804820EDAC}">
                        <c15:formulaRef>
                          <c15:sqref>'[2]Turnover charts'!$L$3</c15:sqref>
                        </c15:formulaRef>
                      </c:ext>
                    </c:extLst>
                    <c:strCache>
                      <c:ptCount val="1"/>
                      <c:pt idx="0">
                        <c:v>MCX Options (RHS)</c:v>
                      </c:pt>
                    </c:strCache>
                  </c:strRef>
                </c:tx>
                <c:spPr>
                  <a:solidFill>
                    <a:srgbClr val="92D050"/>
                  </a:solidFill>
                  <a:ln w="12700">
                    <a:solidFill>
                      <a:schemeClr val="tx1">
                        <a:lumMod val="75000"/>
                        <a:lumOff val="25000"/>
                      </a:schemeClr>
                    </a:solidFill>
                  </a:ln>
                  <a:effectLst/>
                </c:spPr>
                <c:invertIfNegative val="0"/>
                <c:cat>
                  <c:numRef>
                    <c:extLst>
                      <c:ext uri="{02D57815-91ED-43cb-92C2-25804820EDAC}">
                        <c15:formulaRef>
                          <c15:sqref>'Turnover charts'!$J$47:$J$58</c15:sqref>
                        </c15:formulaRef>
                      </c:ext>
                    </c:extLst>
                    <c:numCache>
                      <c:formatCode>mmm\-yy</c:formatCode>
                      <c:ptCount val="12"/>
                      <c:pt idx="0">
                        <c:v>44013</c:v>
                      </c:pt>
                      <c:pt idx="1">
                        <c:v>44044</c:v>
                      </c:pt>
                      <c:pt idx="2">
                        <c:v>44075</c:v>
                      </c:pt>
                      <c:pt idx="3">
                        <c:v>44105</c:v>
                      </c:pt>
                      <c:pt idx="4">
                        <c:v>44136</c:v>
                      </c:pt>
                      <c:pt idx="5">
                        <c:v>44166</c:v>
                      </c:pt>
                      <c:pt idx="6">
                        <c:v>44197</c:v>
                      </c:pt>
                      <c:pt idx="7">
                        <c:v>44228</c:v>
                      </c:pt>
                      <c:pt idx="8">
                        <c:v>44256</c:v>
                      </c:pt>
                      <c:pt idx="9">
                        <c:v>44287</c:v>
                      </c:pt>
                      <c:pt idx="10">
                        <c:v>44317</c:v>
                      </c:pt>
                      <c:pt idx="11">
                        <c:v>44348</c:v>
                      </c:pt>
                    </c:numCache>
                  </c:numRef>
                </c:cat>
                <c:val>
                  <c:numRef>
                    <c:extLst>
                      <c:ext uri="{02D57815-91ED-43cb-92C2-25804820EDAC}">
                        <c15:formulaRef>
                          <c15:sqref>'[2]Turnover charts'!$L$4:$L$55</c15:sqref>
                        </c15:formulaRef>
                      </c:ext>
                    </c:extLst>
                    <c:numCache>
                      <c:formatCode>_(* #,##0_);_(* \(#,##0\);_(* "-"??_);_(@_)</c:formatCode>
                      <c:ptCount val="13"/>
                      <c:pt idx="0">
                        <c:v>46819.111044999998</c:v>
                      </c:pt>
                      <c:pt idx="1">
                        <c:v>8497.2066059999997</c:v>
                      </c:pt>
                      <c:pt idx="2">
                        <c:v>16049.714781499999</c:v>
                      </c:pt>
                      <c:pt idx="3">
                        <c:v>15138.664696</c:v>
                      </c:pt>
                      <c:pt idx="4">
                        <c:v>21064.531812000001</c:v>
                      </c:pt>
                      <c:pt idx="5">
                        <c:v>28998.239947999999</c:v>
                      </c:pt>
                      <c:pt idx="6">
                        <c:v>26027.212639000005</c:v>
                      </c:pt>
                      <c:pt idx="7">
                        <c:v>9915.5255409999991</c:v>
                      </c:pt>
                      <c:pt idx="8">
                        <c:v>26564.103460999999</c:v>
                      </c:pt>
                      <c:pt idx="9">
                        <c:v>15258.518517999999</c:v>
                      </c:pt>
                      <c:pt idx="10">
                        <c:v>25959.086283000004</c:v>
                      </c:pt>
                      <c:pt idx="11">
                        <c:v>17156.310860000001</c:v>
                      </c:pt>
                      <c:pt idx="12">
                        <c:v>28949.873640999998</c:v>
                      </c:pt>
                    </c:numCache>
                  </c:numRef>
                </c:val>
                <c:extLst>
                  <c:ext xmlns:c16="http://schemas.microsoft.com/office/drawing/2014/chart" uri="{C3380CC4-5D6E-409C-BE32-E72D297353CC}">
                    <c16:uniqueId val="{00000005-F1F2-45E1-9544-431AF5481D5C}"/>
                  </c:ext>
                </c:extLst>
              </c15:ser>
            </c15:filteredBarSeries>
          </c:ext>
        </c:extLst>
      </c:barChart>
      <c:lineChart>
        <c:grouping val="standard"/>
        <c:varyColors val="0"/>
        <c:ser>
          <c:idx val="4"/>
          <c:order val="4"/>
          <c:tx>
            <c:strRef>
              <c:f>'Turnover charts'!$O$3</c:f>
              <c:strCache>
                <c:ptCount val="1"/>
                <c:pt idx="0">
                  <c:v>NSE Futures (RHS)</c:v>
                </c:pt>
              </c:strCache>
            </c:strRef>
          </c:tx>
          <c:spPr>
            <a:ln w="19050" cap="rnd">
              <a:solidFill>
                <a:sysClr val="windowText" lastClr="000000"/>
              </a:solidFill>
              <a:prstDash val="sysDash"/>
              <a:round/>
            </a:ln>
            <a:effectLst/>
          </c:spPr>
          <c:marker>
            <c:symbol val="none"/>
          </c:marker>
          <c:cat>
            <c:numRef>
              <c:f>'Turnover charts'!$J$47:$J$58</c:f>
              <c:numCache>
                <c:formatCode>mmm\-yy</c:formatCode>
                <c:ptCount val="12"/>
                <c:pt idx="0">
                  <c:v>44013</c:v>
                </c:pt>
                <c:pt idx="1">
                  <c:v>44044</c:v>
                </c:pt>
                <c:pt idx="2">
                  <c:v>44075</c:v>
                </c:pt>
                <c:pt idx="3">
                  <c:v>44105</c:v>
                </c:pt>
                <c:pt idx="4">
                  <c:v>44136</c:v>
                </c:pt>
                <c:pt idx="5">
                  <c:v>44166</c:v>
                </c:pt>
                <c:pt idx="6">
                  <c:v>44197</c:v>
                </c:pt>
                <c:pt idx="7">
                  <c:v>44228</c:v>
                </c:pt>
                <c:pt idx="8">
                  <c:v>44256</c:v>
                </c:pt>
                <c:pt idx="9">
                  <c:v>44287</c:v>
                </c:pt>
                <c:pt idx="10">
                  <c:v>44317</c:v>
                </c:pt>
                <c:pt idx="11">
                  <c:v>44348</c:v>
                </c:pt>
              </c:numCache>
            </c:numRef>
          </c:cat>
          <c:val>
            <c:numRef>
              <c:f>'Turnover charts'!$O$47:$O$58</c:f>
              <c:numCache>
                <c:formatCode>_(* #,##0_);_(* \(#,##0\);_(* "-"??_);_(@_)</c:formatCode>
                <c:ptCount val="12"/>
                <c:pt idx="0">
                  <c:v>45.493170000000013</c:v>
                </c:pt>
                <c:pt idx="1">
                  <c:v>92.012484999999998</c:v>
                </c:pt>
                <c:pt idx="2">
                  <c:v>65.526607000000013</c:v>
                </c:pt>
                <c:pt idx="3">
                  <c:v>14.122890999999999</c:v>
                </c:pt>
                <c:pt idx="4">
                  <c:v>18.669679000000002</c:v>
                </c:pt>
                <c:pt idx="5">
                  <c:v>15.143264000000002</c:v>
                </c:pt>
                <c:pt idx="6">
                  <c:v>11.035423000000002</c:v>
                </c:pt>
                <c:pt idx="7">
                  <c:v>14.295155499999996</c:v>
                </c:pt>
                <c:pt idx="8">
                  <c:v>11.136143500000001</c:v>
                </c:pt>
                <c:pt idx="9">
                  <c:v>6.284978999999999</c:v>
                </c:pt>
                <c:pt idx="10">
                  <c:v>6.4907739999999965</c:v>
                </c:pt>
                <c:pt idx="11">
                  <c:v>7.6833960999999995</c:v>
                </c:pt>
              </c:numCache>
            </c:numRef>
          </c:val>
          <c:smooth val="0"/>
          <c:extLst>
            <c:ext xmlns:c16="http://schemas.microsoft.com/office/drawing/2014/chart" uri="{C3380CC4-5D6E-409C-BE32-E72D297353CC}">
              <c16:uniqueId val="{00000001-F1F2-45E1-9544-431AF5481D5C}"/>
            </c:ext>
          </c:extLst>
        </c:ser>
        <c:ser>
          <c:idx val="2"/>
          <c:order val="2"/>
          <c:tx>
            <c:strRef>
              <c:f>'Turnover charts'!$M$3</c:f>
              <c:strCache>
                <c:ptCount val="1"/>
                <c:pt idx="0">
                  <c:v>BSE Futures (RHS)</c:v>
                </c:pt>
              </c:strCache>
            </c:strRef>
          </c:tx>
          <c:spPr>
            <a:ln w="19050" cap="rnd">
              <a:solidFill>
                <a:srgbClr val="0070C0"/>
              </a:solidFill>
              <a:prstDash val="dash"/>
              <a:round/>
            </a:ln>
            <a:effectLst/>
          </c:spPr>
          <c:marker>
            <c:symbol val="diamond"/>
            <c:size val="5"/>
            <c:spPr>
              <a:solidFill>
                <a:srgbClr val="7030A0"/>
              </a:solidFill>
              <a:ln w="19050">
                <a:solidFill>
                  <a:srgbClr val="0070C0"/>
                </a:solidFill>
                <a:prstDash val="dash"/>
              </a:ln>
              <a:effectLst/>
            </c:spPr>
          </c:marker>
          <c:cat>
            <c:numRef>
              <c:f>'Turnover charts'!$J$47:$J$58</c:f>
              <c:numCache>
                <c:formatCode>mmm\-yy</c:formatCode>
                <c:ptCount val="12"/>
                <c:pt idx="0">
                  <c:v>44013</c:v>
                </c:pt>
                <c:pt idx="1">
                  <c:v>44044</c:v>
                </c:pt>
                <c:pt idx="2">
                  <c:v>44075</c:v>
                </c:pt>
                <c:pt idx="3">
                  <c:v>44105</c:v>
                </c:pt>
                <c:pt idx="4">
                  <c:v>44136</c:v>
                </c:pt>
                <c:pt idx="5">
                  <c:v>44166</c:v>
                </c:pt>
                <c:pt idx="6">
                  <c:v>44197</c:v>
                </c:pt>
                <c:pt idx="7">
                  <c:v>44228</c:v>
                </c:pt>
                <c:pt idx="8">
                  <c:v>44256</c:v>
                </c:pt>
                <c:pt idx="9">
                  <c:v>44287</c:v>
                </c:pt>
                <c:pt idx="10">
                  <c:v>44317</c:v>
                </c:pt>
                <c:pt idx="11">
                  <c:v>44348</c:v>
                </c:pt>
              </c:numCache>
            </c:numRef>
          </c:cat>
          <c:val>
            <c:numRef>
              <c:f>'Turnover charts'!$M$47:$M$58</c:f>
              <c:numCache>
                <c:formatCode>0.00</c:formatCode>
                <c:ptCount val="12"/>
                <c:pt idx="0">
                  <c:v>0</c:v>
                </c:pt>
                <c:pt idx="1">
                  <c:v>0</c:v>
                </c:pt>
                <c:pt idx="2" formatCode="_(* #,##0_);_(* \(#,##0\);_(* &quot;-&quot;??_);_(@_)">
                  <c:v>4.01</c:v>
                </c:pt>
                <c:pt idx="3" formatCode="_(* #,##0_);_(* \(#,##0\);_(* &quot;-&quot;??_);_(@_)">
                  <c:v>11.15</c:v>
                </c:pt>
                <c:pt idx="4" formatCode="_(* #,##0_);_(* \(#,##0\);_(* &quot;-&quot;??_);_(@_)">
                  <c:v>10.53</c:v>
                </c:pt>
                <c:pt idx="5" formatCode="_(* #,##0_);_(* \(#,##0\);_(* &quot;-&quot;??_);_(@_)">
                  <c:v>11.42</c:v>
                </c:pt>
                <c:pt idx="6" formatCode="_(* #,##0_);_(* \(#,##0\);_(* &quot;-&quot;??_);_(@_)">
                  <c:v>10.02</c:v>
                </c:pt>
                <c:pt idx="7" formatCode="_(* #,##0_);_(* \(#,##0\);_(* &quot;-&quot;??_);_(@_)">
                  <c:v>9.8699999999999992</c:v>
                </c:pt>
                <c:pt idx="8" formatCode="_(* #,##0_);_(* \(#,##0\);_(* &quot;-&quot;??_);_(@_)">
                  <c:v>11.647484</c:v>
                </c:pt>
                <c:pt idx="9" formatCode="_(* #,##0_);_(* \(#,##0\);_(* &quot;-&quot;??_);_(@_)">
                  <c:v>10.74</c:v>
                </c:pt>
                <c:pt idx="10" formatCode="_(* #,##0_);_(* \(#,##0\);_(* &quot;-&quot;??_);_(@_)">
                  <c:v>10.59</c:v>
                </c:pt>
                <c:pt idx="11" formatCode="_(* #,##0_);_(* \(#,##0\);_(* &quot;-&quot;??_);_(@_)">
                  <c:v>11</c:v>
                </c:pt>
              </c:numCache>
            </c:numRef>
          </c:val>
          <c:smooth val="0"/>
          <c:extLst>
            <c:ext xmlns:c16="http://schemas.microsoft.com/office/drawing/2014/chart" uri="{C3380CC4-5D6E-409C-BE32-E72D297353CC}">
              <c16:uniqueId val="{00000002-F1F2-45E1-9544-431AF5481D5C}"/>
            </c:ext>
          </c:extLst>
        </c:ser>
        <c:ser>
          <c:idx val="6"/>
          <c:order val="6"/>
          <c:tx>
            <c:strRef>
              <c:f>'Turnover charts'!$Q$3</c:f>
              <c:strCache>
                <c:ptCount val="1"/>
                <c:pt idx="0">
                  <c:v>NCDEX futures (RHS)</c:v>
                </c:pt>
              </c:strCache>
            </c:strRef>
          </c:tx>
          <c:spPr>
            <a:ln w="19050" cap="rnd">
              <a:solidFill>
                <a:srgbClr val="FF0000"/>
              </a:solidFill>
              <a:round/>
            </a:ln>
            <a:effectLst/>
          </c:spPr>
          <c:marker>
            <c:symbol val="circle"/>
            <c:size val="5"/>
            <c:spPr>
              <a:solidFill>
                <a:schemeClr val="accent1">
                  <a:lumMod val="60000"/>
                </a:schemeClr>
              </a:solidFill>
              <a:ln w="9525">
                <a:solidFill>
                  <a:srgbClr val="FF0000"/>
                </a:solidFill>
              </a:ln>
              <a:effectLst/>
            </c:spPr>
          </c:marker>
          <c:cat>
            <c:numRef>
              <c:f>'Turnover charts'!$J$47:$J$58</c:f>
              <c:numCache>
                <c:formatCode>mmm\-yy</c:formatCode>
                <c:ptCount val="12"/>
                <c:pt idx="0">
                  <c:v>44013</c:v>
                </c:pt>
                <c:pt idx="1">
                  <c:v>44044</c:v>
                </c:pt>
                <c:pt idx="2">
                  <c:v>44075</c:v>
                </c:pt>
                <c:pt idx="3">
                  <c:v>44105</c:v>
                </c:pt>
                <c:pt idx="4">
                  <c:v>44136</c:v>
                </c:pt>
                <c:pt idx="5">
                  <c:v>44166</c:v>
                </c:pt>
                <c:pt idx="6">
                  <c:v>44197</c:v>
                </c:pt>
                <c:pt idx="7">
                  <c:v>44228</c:v>
                </c:pt>
                <c:pt idx="8">
                  <c:v>44256</c:v>
                </c:pt>
                <c:pt idx="9">
                  <c:v>44287</c:v>
                </c:pt>
                <c:pt idx="10">
                  <c:v>44317</c:v>
                </c:pt>
                <c:pt idx="11">
                  <c:v>44348</c:v>
                </c:pt>
              </c:numCache>
            </c:numRef>
          </c:cat>
          <c:val>
            <c:numRef>
              <c:f>'Turnover charts'!$Q$47:$Q$58</c:f>
              <c:numCache>
                <c:formatCode>General</c:formatCode>
                <c:ptCount val="12"/>
                <c:pt idx="6" formatCode="_ * #,##0_ ;_ * \-#,##0_ ;_ * &quot;-&quot;??_ ;_ @_ ">
                  <c:v>24.235309999999998</c:v>
                </c:pt>
                <c:pt idx="7" formatCode="_ * #,##0_ ;_ * \-#,##0_ ;_ * &quot;-&quot;??_ ;_ @_ ">
                  <c:v>38.773069999999997</c:v>
                </c:pt>
                <c:pt idx="8" formatCode="_ * #,##0_ ;_ * \-#,##0_ ;_ * &quot;-&quot;??_ ;_ @_ ">
                  <c:v>25.14254</c:v>
                </c:pt>
                <c:pt idx="9" formatCode="_ * #,##0_ ;_ * \-#,##0_ ;_ * &quot;-&quot;??_ ;_ @_ ">
                  <c:v>11.57</c:v>
                </c:pt>
                <c:pt idx="10" formatCode="_ * #,##0_ ;_ * \-#,##0_ ;_ * &quot;-&quot;??_ ;_ @_ ">
                  <c:v>15.86</c:v>
                </c:pt>
                <c:pt idx="11" formatCode="_ * #,##0_ ;_ * \-#,##0_ ;_ * &quot;-&quot;??_ ;_ @_ ">
                  <c:v>17.549300000000002</c:v>
                </c:pt>
              </c:numCache>
            </c:numRef>
          </c:val>
          <c:smooth val="0"/>
          <c:extLst>
            <c:ext xmlns:c16="http://schemas.microsoft.com/office/drawing/2014/chart" uri="{C3380CC4-5D6E-409C-BE32-E72D297353CC}">
              <c16:uniqueId val="{00000003-F1F2-45E1-9544-431AF5481D5C}"/>
            </c:ext>
          </c:extLst>
        </c:ser>
        <c:ser>
          <c:idx val="7"/>
          <c:order val="7"/>
          <c:tx>
            <c:strRef>
              <c:f>'Turnover charts'!$R$3</c:f>
              <c:strCache>
                <c:ptCount val="1"/>
                <c:pt idx="0">
                  <c:v>ICEX Futures (RHS)</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'Turnover charts'!$J$47:$J$58</c:f>
              <c:numCache>
                <c:formatCode>mmm\-yy</c:formatCode>
                <c:ptCount val="12"/>
                <c:pt idx="0">
                  <c:v>44013</c:v>
                </c:pt>
                <c:pt idx="1">
                  <c:v>44044</c:v>
                </c:pt>
                <c:pt idx="2">
                  <c:v>44075</c:v>
                </c:pt>
                <c:pt idx="3">
                  <c:v>44105</c:v>
                </c:pt>
                <c:pt idx="4">
                  <c:v>44136</c:v>
                </c:pt>
                <c:pt idx="5">
                  <c:v>44166</c:v>
                </c:pt>
                <c:pt idx="6">
                  <c:v>44197</c:v>
                </c:pt>
                <c:pt idx="7">
                  <c:v>44228</c:v>
                </c:pt>
                <c:pt idx="8">
                  <c:v>44256</c:v>
                </c:pt>
                <c:pt idx="9">
                  <c:v>44287</c:v>
                </c:pt>
                <c:pt idx="10">
                  <c:v>44317</c:v>
                </c:pt>
                <c:pt idx="11">
                  <c:v>44348</c:v>
                </c:pt>
              </c:numCache>
            </c:numRef>
          </c:cat>
          <c:val>
            <c:numRef>
              <c:f>'Turnover charts'!$R$47:$R$58</c:f>
              <c:numCache>
                <c:formatCode>_ * #,##0.000_ ;_ * \-#,##0.000_ ;_ * "-"??_ ;_ @_ </c:formatCode>
                <c:ptCount val="12"/>
                <c:pt idx="0" formatCode="_ * #,##0_ ;_ * \-#,##0_ ;_ * &quot;-&quot;??_ ;_ @_ ">
                  <c:v>4.3270248599999999</c:v>
                </c:pt>
                <c:pt idx="1">
                  <c:v>1.6379999999999999E-3</c:v>
                </c:pt>
                <c:pt idx="2" formatCode="_ * #,##0.0_ ;_ * \-#,##0.0_ ;_ * &quot;-&quot;??_ ;_ @_ ">
                  <c:v>0.1153</c:v>
                </c:pt>
                <c:pt idx="3" formatCode="_ * #,##0.0_ ;_ * \-#,##0.0_ ;_ * &quot;-&quot;??_ ;_ @_ ">
                  <c:v>0.1066</c:v>
                </c:pt>
                <c:pt idx="4" formatCode="_(* #,##0.00_);_(* \(#,##0.00\);_(* &quot;-&quot;??_);_(@_)">
                  <c:v>2.7824999999999999E-2</c:v>
                </c:pt>
                <c:pt idx="5" formatCode="_(* #,##0_);_(* \(#,##0\);_(* &quot;-&quot;??_);_(@_)">
                  <c:v>1.8845000000000001</c:v>
                </c:pt>
                <c:pt idx="6" formatCode="_(* #,##0_);_(* \(#,##0\);_(* &quot;-&quot;??_);_(@_)">
                  <c:v>10.392370000000001</c:v>
                </c:pt>
                <c:pt idx="7" formatCode="_(* #,##0_);_(* \(#,##0\);_(* &quot;-&quot;??_);_(@_)">
                  <c:v>16.025917</c:v>
                </c:pt>
                <c:pt idx="8" formatCode="_(* #,##0_);_(* \(#,##0\);_(* &quot;-&quot;??_);_(@_)">
                  <c:v>19.011840000000003</c:v>
                </c:pt>
                <c:pt idx="9" formatCode="_(* #,##0_);_(* \(#,##0\);_(* &quot;-&quot;??_);_(@_)">
                  <c:v>16.042120000000001</c:v>
                </c:pt>
                <c:pt idx="10" formatCode="_(* #,##0_);_(* \(#,##0\);_(* &quot;-&quot;??_);_(@_)">
                  <c:v>18.87</c:v>
                </c:pt>
                <c:pt idx="11" formatCode="_(* #,##0_);_(* \(#,##0\);_(* &quot;-&quot;??_);_(@_)">
                  <c:v>22.58</c:v>
                </c:pt>
              </c:numCache>
            </c:numRef>
          </c:val>
          <c:smooth val="0"/>
          <c:extLst>
            <c:ext xmlns:c16="http://schemas.microsoft.com/office/drawing/2014/chart" uri="{C3380CC4-5D6E-409C-BE32-E72D297353CC}">
              <c16:uniqueId val="{00000004-F1F2-45E1-9544-431AF5481D5C}"/>
            </c:ext>
          </c:extLst>
        </c:ser>
        <c:dLbls>
          <c:showLegendKey val="0"/>
          <c:showVal val="0"/>
          <c:showCatName val="0"/>
          <c:showSerName val="0"/>
          <c:showPercent val="0"/>
          <c:showBubbleSize val="0"/>
        </c:dLbls>
        <c:marker val="1"/>
        <c:smooth val="0"/>
        <c:axId val="877620808"/>
        <c:axId val="877620416"/>
        <c:extLst>
          <c:ext xmlns:c15="http://schemas.microsoft.com/office/drawing/2012/chart" uri="{02D57815-91ED-43cb-92C2-25804820EDAC}">
            <c15:filteredLineSeries>
              <c15:ser>
                <c:idx val="3"/>
                <c:order val="3"/>
                <c:tx>
                  <c:strRef>
                    <c:extLst>
                      <c:ext uri="{02D57815-91ED-43cb-92C2-25804820EDAC}">
                        <c15:formulaRef>
                          <c15:sqref>'[2]Turnover charts'!$N$3</c15:sqref>
                        </c15:formulaRef>
                      </c:ext>
                    </c:extLst>
                    <c:strCache>
                      <c:ptCount val="1"/>
                      <c:pt idx="0">
                        <c:v>BSE Options (LHS)</c:v>
                      </c:pt>
                    </c:strCache>
                  </c:strRef>
                </c:tx>
                <c:spPr>
                  <a:ln w="28575" cap="rnd">
                    <a:solidFill>
                      <a:srgbClr val="0070C0"/>
                    </a:solidFill>
                    <a:round/>
                  </a:ln>
                  <a:effectLst/>
                </c:spPr>
                <c:marker>
                  <c:symbol val="circle"/>
                  <c:size val="5"/>
                  <c:spPr>
                    <a:solidFill>
                      <a:srgbClr val="0070C0"/>
                    </a:solidFill>
                    <a:ln w="9525">
                      <a:solidFill>
                        <a:srgbClr val="0070C0"/>
                      </a:solidFill>
                    </a:ln>
                    <a:effectLst/>
                  </c:spPr>
                </c:marker>
                <c:cat>
                  <c:numRef>
                    <c:extLst>
                      <c:ext uri="{02D57815-91ED-43cb-92C2-25804820EDAC}">
                        <c15:formulaRef>
                          <c15:sqref>'Turnover charts'!$J$47:$J$58</c15:sqref>
                        </c15:formulaRef>
                      </c:ext>
                    </c:extLst>
                    <c:numCache>
                      <c:formatCode>mmm\-yy</c:formatCode>
                      <c:ptCount val="12"/>
                      <c:pt idx="0">
                        <c:v>44013</c:v>
                      </c:pt>
                      <c:pt idx="1">
                        <c:v>44044</c:v>
                      </c:pt>
                      <c:pt idx="2">
                        <c:v>44075</c:v>
                      </c:pt>
                      <c:pt idx="3">
                        <c:v>44105</c:v>
                      </c:pt>
                      <c:pt idx="4">
                        <c:v>44136</c:v>
                      </c:pt>
                      <c:pt idx="5">
                        <c:v>44166</c:v>
                      </c:pt>
                      <c:pt idx="6">
                        <c:v>44197</c:v>
                      </c:pt>
                      <c:pt idx="7">
                        <c:v>44228</c:v>
                      </c:pt>
                      <c:pt idx="8">
                        <c:v>44256</c:v>
                      </c:pt>
                      <c:pt idx="9">
                        <c:v>44287</c:v>
                      </c:pt>
                      <c:pt idx="10">
                        <c:v>44317</c:v>
                      </c:pt>
                      <c:pt idx="11">
                        <c:v>44348</c:v>
                      </c:pt>
                    </c:numCache>
                  </c:numRef>
                </c:cat>
                <c:val>
                  <c:numRef>
                    <c:extLst>
                      <c:ext uri="{02D57815-91ED-43cb-92C2-25804820EDAC}">
                        <c15:formulaRef>
                          <c15:sqref>'[2]Turnover charts'!$N$4:$N$55</c15:sqref>
                        </c15:formulaRef>
                      </c:ext>
                    </c:extLst>
                    <c:numCache>
                      <c:formatCode>General</c:formatCode>
                      <c:ptCount val="13"/>
                      <c:pt idx="3" formatCode="_ * #,##0_ ;_ * \-#,##0_ ;_ * &quot;-&quot;??_ ;_ @_ ">
                        <c:v>26816.769999999997</c:v>
                      </c:pt>
                      <c:pt idx="4" formatCode="_ * #,##0_ ;_ * \-#,##0_ ;_ * &quot;-&quot;??_ ;_ @_ ">
                        <c:v>72242.989999999991</c:v>
                      </c:pt>
                      <c:pt idx="5" formatCode="_ * #,##0_ ;_ * \-#,##0_ ;_ * &quot;-&quot;??_ ;_ @_ ">
                        <c:v>71670.850000000006</c:v>
                      </c:pt>
                      <c:pt idx="6" formatCode="_ * #,##0_ ;_ * \-#,##0_ ;_ * &quot;-&quot;??_ ;_ @_ ">
                        <c:v>58331.41</c:v>
                      </c:pt>
                      <c:pt idx="7" formatCode="_ * #,##0_ ;_ * \-#,##0_ ;_ * &quot;-&quot;??_ ;_ @_ ">
                        <c:v>56137.399999999994</c:v>
                      </c:pt>
                      <c:pt idx="8" formatCode="_ * #,##0_ ;_ * \-#,##0_ ;_ * &quot;-&quot;??_ ;_ @_ ">
                        <c:v>53954.21</c:v>
                      </c:pt>
                      <c:pt idx="9" formatCode="_ * #,##0_ ;_ * \-#,##0_ ;_ * &quot;-&quot;??_ ;_ @_ ">
                        <c:v>66801.039999999994</c:v>
                      </c:pt>
                      <c:pt idx="10" formatCode="_ * #,##0_ ;_ * \-#,##0_ ;_ * &quot;-&quot;??_ ;_ @_ ">
                        <c:v>62440.93</c:v>
                      </c:pt>
                      <c:pt idx="11" formatCode="_ * #,##0_ ;_ * \-#,##0_ ;_ * &quot;-&quot;??_ ;_ @_ ">
                        <c:v>65087.26</c:v>
                      </c:pt>
                      <c:pt idx="12" formatCode="_ * #,##0_ ;_ * \-#,##0_ ;_ * &quot;-&quot;??_ ;_ @_ ">
                        <c:v>71581.36</c:v>
                      </c:pt>
                    </c:numCache>
                  </c:numRef>
                </c:val>
                <c:smooth val="0"/>
                <c:extLst>
                  <c:ext xmlns:c16="http://schemas.microsoft.com/office/drawing/2014/chart" uri="{C3380CC4-5D6E-409C-BE32-E72D297353CC}">
                    <c16:uniqueId val="{00000006-F1F2-45E1-9544-431AF5481D5C}"/>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'[2]Turnover charts'!$P$3</c15:sqref>
                        </c15:formulaRef>
                      </c:ext>
                    </c:extLst>
                    <c:strCache>
                      <c:ptCount val="1"/>
                      <c:pt idx="0">
                        <c:v>NSE option (RHS)</c:v>
                      </c:pt>
                    </c:strCache>
                  </c:strRef>
                </c:tx>
                <c:spPr>
                  <a:ln w="28575" cap="rnd">
                    <a:solidFill>
                      <a:schemeClr val="accent6"/>
                    </a:solidFill>
                    <a:round/>
                  </a:ln>
                  <a:effectLst/>
                </c:spPr>
                <c:marker>
                  <c:symbol val="none"/>
                </c:marker>
                <c:cat>
                  <c:numRef>
                    <c:extLst xmlns:c15="http://schemas.microsoft.com/office/drawing/2012/chart">
                      <c:ext xmlns:c15="http://schemas.microsoft.com/office/drawing/2012/chart" uri="{02D57815-91ED-43cb-92C2-25804820EDAC}">
                        <c15:formulaRef>
                          <c15:sqref>'Turnover charts'!$J$47:$J$58</c15:sqref>
                        </c15:formulaRef>
                      </c:ext>
                    </c:extLst>
                    <c:numCache>
                      <c:formatCode>mmm\-yy</c:formatCode>
                      <c:ptCount val="12"/>
                      <c:pt idx="0">
                        <c:v>44013</c:v>
                      </c:pt>
                      <c:pt idx="1">
                        <c:v>44044</c:v>
                      </c:pt>
                      <c:pt idx="2">
                        <c:v>44075</c:v>
                      </c:pt>
                      <c:pt idx="3">
                        <c:v>44105</c:v>
                      </c:pt>
                      <c:pt idx="4">
                        <c:v>44136</c:v>
                      </c:pt>
                      <c:pt idx="5">
                        <c:v>44166</c:v>
                      </c:pt>
                      <c:pt idx="6">
                        <c:v>44197</c:v>
                      </c:pt>
                      <c:pt idx="7">
                        <c:v>44228</c:v>
                      </c:pt>
                      <c:pt idx="8">
                        <c:v>44256</c:v>
                      </c:pt>
                      <c:pt idx="9">
                        <c:v>44287</c:v>
                      </c:pt>
                      <c:pt idx="10">
                        <c:v>44317</c:v>
                      </c:pt>
                      <c:pt idx="11">
                        <c:v>44348</c:v>
                      </c:pt>
                    </c:numCache>
                  </c:numRef>
                </c:cat>
                <c:val>
                  <c:numRef>
                    <c:extLst xmlns:c15="http://schemas.microsoft.com/office/drawing/2012/chart">
                      <c:ext xmlns:c15="http://schemas.microsoft.com/office/drawing/2012/chart" uri="{02D57815-91ED-43cb-92C2-25804820EDAC}">
                        <c15:formulaRef>
                          <c15:sqref>'[2]Turnover charts'!$P$4:$P$55</c15:sqref>
                        </c15:formulaRef>
                      </c:ext>
                    </c:extLst>
                    <c:numCache>
                      <c:formatCode>General</c:formatCode>
                      <c:ptCount val="13"/>
                      <c:pt idx="3" formatCode="_ * #,##0_ ;_ * \-#,##0_ ;_ * &quot;-&quot;??_ ;_ @_ ">
                        <c:v>1751.8752035000002</c:v>
                      </c:pt>
                      <c:pt idx="4" formatCode="_ * #,##0_ ;_ * \-#,##0_ ;_ * &quot;-&quot;??_ ;_ @_ ">
                        <c:v>6235.7549739999995</c:v>
                      </c:pt>
                      <c:pt idx="5" formatCode="_ * #,##0_ ;_ * \-#,##0_ ;_ * &quot;-&quot;??_ ;_ @_ ">
                        <c:v>2381.9200970000002</c:v>
                      </c:pt>
                      <c:pt idx="6" formatCode="_ * #,##0_ ;_ * \-#,##0_ ;_ * &quot;-&quot;??_ ;_ @_ ">
                        <c:v>1734.4075534999997</c:v>
                      </c:pt>
                      <c:pt idx="7" formatCode="_ * #,##0_ ;_ * \-#,##0_ ;_ * &quot;-&quot;??_ ;_ @_ ">
                        <c:v>1856.5995699999994</c:v>
                      </c:pt>
                      <c:pt idx="8" formatCode="_ * #,##0_ ;_ * \-#,##0_ ;_ * &quot;-&quot;??_ ;_ @_ ">
                        <c:v>2633.3125410000002</c:v>
                      </c:pt>
                      <c:pt idx="9" formatCode="_ * #,##0_ ;_ * \-#,##0_ ;_ * &quot;-&quot;??_ ;_ @_ ">
                        <c:v>1537.8181204999996</c:v>
                      </c:pt>
                      <c:pt idx="10" formatCode="_ * #,##0_ ;_ * \-#,##0_ ;_ * &quot;-&quot;??_ ;_ @_ ">
                        <c:v>1913.7781235000002</c:v>
                      </c:pt>
                      <c:pt idx="11" formatCode="_ * #,##0_ ;_ * \-#,##0_ ;_ * &quot;-&quot;??_ ;_ @_ ">
                        <c:v>1103.8054694999996</c:v>
                      </c:pt>
                      <c:pt idx="12" formatCode="_ * #,##0_ ;_ * \-#,##0_ ;_ * &quot;-&quot;??_ ;_ @_ ">
                        <c:v>1206.0163299999995</c:v>
                      </c:pt>
                    </c:numCache>
                  </c:numRef>
                </c:val>
                <c:smooth val="0"/>
                <c:extLst xmlns:c15="http://schemas.microsoft.com/office/drawing/2012/chart">
                  <c:ext xmlns:c16="http://schemas.microsoft.com/office/drawing/2014/chart" uri="{C3380CC4-5D6E-409C-BE32-E72D297353CC}">
                    <c16:uniqueId val="{00000007-F1F2-45E1-9544-431AF5481D5C}"/>
                  </c:ext>
                </c:extLst>
              </c15:ser>
            </c15:filteredLineSeries>
          </c:ext>
        </c:extLst>
      </c:lineChart>
      <c:dateAx>
        <c:axId val="877619240"/>
        <c:scaling>
          <c:orientation val="minMax"/>
          <c:min val="44013"/>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2400000" spcFirstLastPara="1" vertOverflow="ellipsis"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877619632"/>
        <c:crosses val="autoZero"/>
        <c:auto val="1"/>
        <c:lblOffset val="100"/>
        <c:baseTimeUnit val="months"/>
      </c:dateAx>
      <c:valAx>
        <c:axId val="877619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sz="900" b="0" i="0" u="none" strike="noStrike" kern="1200" baseline="0">
                    <a:solidFill>
                      <a:sysClr val="windowText" lastClr="000000"/>
                    </a:solidFill>
                    <a:latin typeface="Palatino Linotype" panose="02040502050505030304" pitchFamily="18" charset="0"/>
                    <a:ea typeface="+mn-ea"/>
                    <a:cs typeface="+mn-cs"/>
                  </a:defRPr>
                </a:pPr>
                <a:r>
                  <a:rPr lang="en-US"/>
                  <a:t>₹</a:t>
                </a:r>
                <a:r>
                  <a:rPr lang="en-IN"/>
                  <a:t> crore</a:t>
                </a:r>
              </a:p>
            </c:rich>
          </c:tx>
          <c:layout/>
          <c:overlay val="0"/>
          <c:spPr>
            <a:noFill/>
            <a:ln>
              <a:noFill/>
            </a:ln>
            <a:effectLst/>
          </c:spPr>
          <c:txPr>
            <a:bodyPr rot="-5400000" spcFirstLastPara="1" vertOverflow="ellipsis" vert="horz" wrap="square" anchor="ctr" anchorCtr="1"/>
            <a:lstStyle/>
            <a:p>
              <a:pPr algn="ctr" rtl="0">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877619240"/>
        <c:crosses val="autoZero"/>
        <c:crossBetween val="between"/>
        <c:dispUnits>
          <c:builtInUnit val="thousands"/>
          <c:dispUnitsLbl>
            <c:layout/>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dispUnitsLbl>
        </c:dispUnits>
      </c:valAx>
      <c:valAx>
        <c:axId val="877620416"/>
        <c:scaling>
          <c:orientation val="minMax"/>
        </c:scaling>
        <c:delete val="0"/>
        <c:axPos val="r"/>
        <c:title>
          <c:tx>
            <c:rich>
              <a:bodyPr rot="5400000" spcFirstLastPara="1" vertOverflow="ellipsis"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r>
                  <a:rPr lang="en-US" sz="900" b="0" i="0" baseline="0">
                    <a:effectLst/>
                  </a:rPr>
                  <a:t>₹</a:t>
                </a:r>
                <a:r>
                  <a:rPr lang="en-IN" sz="900" b="0" i="0" baseline="0">
                    <a:effectLst/>
                  </a:rPr>
                  <a:t> crore</a:t>
                </a:r>
                <a:endParaRPr lang="en-IN" sz="900">
                  <a:effectLst/>
                </a:endParaRPr>
              </a:p>
            </c:rich>
          </c:tx>
          <c:layout>
            <c:manualLayout>
              <c:xMode val="edge"/>
              <c:yMode val="edge"/>
              <c:x val="0.95815518500568275"/>
              <c:y val="0.34085390604819366"/>
            </c:manualLayout>
          </c:layout>
          <c:overlay val="0"/>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title>
        <c:numFmt formatCode="_(* #,##0_);_(* \(#,##0\);_(*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877620808"/>
        <c:crosses val="max"/>
        <c:crossBetween val="between"/>
      </c:valAx>
      <c:dateAx>
        <c:axId val="877620808"/>
        <c:scaling>
          <c:orientation val="minMax"/>
        </c:scaling>
        <c:delete val="1"/>
        <c:axPos val="b"/>
        <c:numFmt formatCode="mmm\-yy" sourceLinked="1"/>
        <c:majorTickMark val="out"/>
        <c:minorTickMark val="none"/>
        <c:tickLblPos val="nextTo"/>
        <c:crossAx val="877620416"/>
        <c:crosses val="autoZero"/>
        <c:auto val="1"/>
        <c:lblOffset val="100"/>
        <c:baseTimeUnit val="months"/>
        <c:majorUnit val="1"/>
        <c:minorUnit val="1"/>
      </c:dateAx>
      <c:spPr>
        <a:noFill/>
        <a:ln>
          <a:noFill/>
        </a:ln>
        <a:effectLst/>
      </c:spPr>
    </c:plotArea>
    <c:legend>
      <c:legendPos val="b"/>
      <c:layout>
        <c:manualLayout>
          <c:xMode val="edge"/>
          <c:yMode val="edge"/>
          <c:x val="0.10228638086905803"/>
          <c:y val="0.88298072419128193"/>
          <c:w val="0.73554005798164013"/>
          <c:h val="0.1044547531214697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rgbClr val="0070C0"/>
      </a:solidFill>
      <a:round/>
    </a:ln>
    <a:effectLst/>
  </c:spPr>
  <c:txPr>
    <a:bodyPr/>
    <a:lstStyle/>
    <a:p>
      <a:pPr>
        <a:defRPr sz="900">
          <a:solidFill>
            <a:sysClr val="windowText" lastClr="000000"/>
          </a:solidFill>
          <a:latin typeface="Palatino Linotype" panose="02040502050505030304" pitchFamily="18" charset="0"/>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23031447844071"/>
          <c:y val="9.651967030781583E-2"/>
          <c:w val="0.88482163359362909"/>
          <c:h val="0.67292797006548177"/>
        </c:manualLayout>
      </c:layout>
      <c:lineChart>
        <c:grouping val="standard"/>
        <c:varyColors val="0"/>
        <c:ser>
          <c:idx val="3"/>
          <c:order val="0"/>
          <c:tx>
            <c:strRef>
              <c:f>'Turnover charts'!$N$3</c:f>
              <c:strCache>
                <c:ptCount val="1"/>
                <c:pt idx="0">
                  <c:v>BSE Options</c:v>
                </c:pt>
              </c:strCache>
            </c:strRef>
          </c:tx>
          <c:spPr>
            <a:ln w="22225" cap="rnd">
              <a:solidFill>
                <a:srgbClr val="0070C0"/>
              </a:solidFill>
              <a:round/>
            </a:ln>
            <a:effectLst/>
          </c:spPr>
          <c:marker>
            <c:symbol val="circle"/>
            <c:size val="5"/>
            <c:spPr>
              <a:solidFill>
                <a:srgbClr val="0070C0"/>
              </a:solidFill>
              <a:ln w="9525">
                <a:solidFill>
                  <a:srgbClr val="0070C0"/>
                </a:solidFill>
              </a:ln>
              <a:effectLst/>
            </c:spPr>
          </c:marker>
          <c:cat>
            <c:numRef>
              <c:f>'Turnover charts'!$J$4:$J$58</c:f>
              <c:numCache>
                <c:formatCode>mmm\-yy</c:formatCode>
                <c:ptCount val="40"/>
                <c:pt idx="0">
                  <c:v>43160</c:v>
                </c:pt>
                <c:pt idx="1">
                  <c:v>43191</c:v>
                </c:pt>
                <c:pt idx="2">
                  <c:v>43221</c:v>
                </c:pt>
                <c:pt idx="3">
                  <c:v>43252</c:v>
                </c:pt>
                <c:pt idx="4">
                  <c:v>43282</c:v>
                </c:pt>
                <c:pt idx="5">
                  <c:v>43313</c:v>
                </c:pt>
                <c:pt idx="6">
                  <c:v>43344</c:v>
                </c:pt>
                <c:pt idx="7">
                  <c:v>43374</c:v>
                </c:pt>
                <c:pt idx="8">
                  <c:v>43405</c:v>
                </c:pt>
                <c:pt idx="9">
                  <c:v>43435</c:v>
                </c:pt>
                <c:pt idx="10">
                  <c:v>43466</c:v>
                </c:pt>
                <c:pt idx="11">
                  <c:v>43497</c:v>
                </c:pt>
                <c:pt idx="12">
                  <c:v>43525</c:v>
                </c:pt>
                <c:pt idx="13">
                  <c:v>43556</c:v>
                </c:pt>
                <c:pt idx="14">
                  <c:v>43586</c:v>
                </c:pt>
                <c:pt idx="15">
                  <c:v>43617</c:v>
                </c:pt>
                <c:pt idx="16">
                  <c:v>43647</c:v>
                </c:pt>
                <c:pt idx="17">
                  <c:v>43678</c:v>
                </c:pt>
                <c:pt idx="18">
                  <c:v>43709</c:v>
                </c:pt>
                <c:pt idx="19">
                  <c:v>43739</c:v>
                </c:pt>
                <c:pt idx="20">
                  <c:v>43770</c:v>
                </c:pt>
                <c:pt idx="21">
                  <c:v>43800</c:v>
                </c:pt>
                <c:pt idx="22">
                  <c:v>43831</c:v>
                </c:pt>
                <c:pt idx="23">
                  <c:v>43862</c:v>
                </c:pt>
                <c:pt idx="24">
                  <c:v>43891</c:v>
                </c:pt>
                <c:pt idx="25">
                  <c:v>43922</c:v>
                </c:pt>
                <c:pt idx="26">
                  <c:v>43952</c:v>
                </c:pt>
                <c:pt idx="27">
                  <c:v>43983</c:v>
                </c:pt>
                <c:pt idx="28">
                  <c:v>44013</c:v>
                </c:pt>
                <c:pt idx="29">
                  <c:v>44044</c:v>
                </c:pt>
                <c:pt idx="30">
                  <c:v>44075</c:v>
                </c:pt>
                <c:pt idx="31">
                  <c:v>44105</c:v>
                </c:pt>
                <c:pt idx="32">
                  <c:v>44136</c:v>
                </c:pt>
                <c:pt idx="33">
                  <c:v>44166</c:v>
                </c:pt>
                <c:pt idx="34">
                  <c:v>44197</c:v>
                </c:pt>
                <c:pt idx="35">
                  <c:v>44228</c:v>
                </c:pt>
                <c:pt idx="36">
                  <c:v>44256</c:v>
                </c:pt>
                <c:pt idx="37">
                  <c:v>44287</c:v>
                </c:pt>
                <c:pt idx="38">
                  <c:v>44317</c:v>
                </c:pt>
                <c:pt idx="39">
                  <c:v>44348</c:v>
                </c:pt>
              </c:numCache>
            </c:numRef>
          </c:cat>
          <c:val>
            <c:numRef>
              <c:f>'Turnover charts'!$N$4:$N$58</c:f>
              <c:numCache>
                <c:formatCode>General</c:formatCode>
                <c:ptCount val="40"/>
                <c:pt idx="7" formatCode="_(* #,##0_);_(* \(#,##0\);_(* &quot;-&quot;??_);_(@_)">
                  <c:v>0</c:v>
                </c:pt>
                <c:pt idx="8" formatCode="_(* #,##0_);_(* \(#,##0\);_(* &quot;-&quot;??_);_(@_)">
                  <c:v>0</c:v>
                </c:pt>
                <c:pt idx="9" formatCode="_(* #,##0_);_(* \(#,##0\);_(* &quot;-&quot;??_);_(@_)">
                  <c:v>0</c:v>
                </c:pt>
                <c:pt idx="10" formatCode="_(* #,##0_);_(* \(#,##0\);_(* &quot;-&quot;??_);_(@_)">
                  <c:v>0</c:v>
                </c:pt>
                <c:pt idx="11" formatCode="_(* #,##0_);_(* \(#,##0\);_(* &quot;-&quot;??_);_(@_)">
                  <c:v>0</c:v>
                </c:pt>
                <c:pt idx="12" formatCode="_(* #,##0_);_(* \(#,##0\);_(* &quot;-&quot;??_);_(@_)">
                  <c:v>0</c:v>
                </c:pt>
                <c:pt idx="13" formatCode="_(* #,##0_);_(* \(#,##0\);_(* &quot;-&quot;??_);_(@_)">
                  <c:v>0</c:v>
                </c:pt>
                <c:pt idx="14" formatCode="_(* #,##0_);_(* \(#,##0\);_(* &quot;-&quot;??_);_(@_)">
                  <c:v>0</c:v>
                </c:pt>
                <c:pt idx="15" formatCode="_(* #,##0_);_(* \(#,##0\);_(* &quot;-&quot;??_);_(@_)">
                  <c:v>0</c:v>
                </c:pt>
                <c:pt idx="16" formatCode="_(* #,##0_);_(* \(#,##0\);_(* &quot;-&quot;??_);_(@_)">
                  <c:v>0</c:v>
                </c:pt>
                <c:pt idx="17" formatCode="_(* #,##0_);_(* \(#,##0\);_(* &quot;-&quot;??_);_(@_)">
                  <c:v>0</c:v>
                </c:pt>
                <c:pt idx="18" formatCode="_(* #,##0_);_(* \(#,##0\);_(* &quot;-&quot;??_);_(@_)">
                  <c:v>0</c:v>
                </c:pt>
                <c:pt idx="19" formatCode="_(* #,##0_);_(* \(#,##0\);_(* &quot;-&quot;??_);_(@_)">
                  <c:v>0</c:v>
                </c:pt>
                <c:pt idx="20" formatCode="_(* #,##0_);_(* \(#,##0\);_(* &quot;-&quot;??_);_(@_)">
                  <c:v>0</c:v>
                </c:pt>
                <c:pt idx="21" formatCode="_(* #,##0_);_(* \(#,##0\);_(* &quot;-&quot;??_);_(@_)">
                  <c:v>0</c:v>
                </c:pt>
                <c:pt idx="22" formatCode="_(* #,##0_);_(* \(#,##0\);_(* &quot;-&quot;??_);_(@_)">
                  <c:v>0</c:v>
                </c:pt>
                <c:pt idx="23" formatCode="_(* #,##0_);_(* \(#,##0\);_(* &quot;-&quot;??_);_(@_)">
                  <c:v>0</c:v>
                </c:pt>
                <c:pt idx="24" formatCode="_(* #,##0_);_(* \(#,##0\);_(* &quot;-&quot;??_);_(@_)">
                  <c:v>0</c:v>
                </c:pt>
                <c:pt idx="25" formatCode="_(* #,##0_);_(* \(#,##0\);_(* &quot;-&quot;??_);_(@_)">
                  <c:v>0</c:v>
                </c:pt>
                <c:pt idx="26" formatCode="_(* #,##0_);_(* \(#,##0\);_(* &quot;-&quot;??_);_(@_)">
                  <c:v>0</c:v>
                </c:pt>
                <c:pt idx="27" formatCode="_ * #,##0_ ;_ * \-#,##0_ ;_ * &quot;-&quot;??_ ;_ @_ ">
                  <c:v>26816.769999999997</c:v>
                </c:pt>
                <c:pt idx="28" formatCode="_ * #,##0_ ;_ * \-#,##0_ ;_ * &quot;-&quot;??_ ;_ @_ ">
                  <c:v>72242.989999999991</c:v>
                </c:pt>
                <c:pt idx="29" formatCode="_ * #,##0_ ;_ * \-#,##0_ ;_ * &quot;-&quot;??_ ;_ @_ ">
                  <c:v>71670.850000000006</c:v>
                </c:pt>
                <c:pt idx="30" formatCode="_ * #,##0_ ;_ * \-#,##0_ ;_ * &quot;-&quot;??_ ;_ @_ ">
                  <c:v>58331.41</c:v>
                </c:pt>
                <c:pt idx="31" formatCode="_ * #,##0_ ;_ * \-#,##0_ ;_ * &quot;-&quot;??_ ;_ @_ ">
                  <c:v>56137.399999999994</c:v>
                </c:pt>
                <c:pt idx="32" formatCode="_ * #,##0_ ;_ * \-#,##0_ ;_ * &quot;-&quot;??_ ;_ @_ ">
                  <c:v>53954.21</c:v>
                </c:pt>
                <c:pt idx="33" formatCode="_ * #,##0_ ;_ * \-#,##0_ ;_ * &quot;-&quot;??_ ;_ @_ ">
                  <c:v>66801.039999999994</c:v>
                </c:pt>
                <c:pt idx="34" formatCode="_ * #,##0_ ;_ * \-#,##0_ ;_ * &quot;-&quot;??_ ;_ @_ ">
                  <c:v>62440.93</c:v>
                </c:pt>
                <c:pt idx="35" formatCode="_ * #,##0_ ;_ * \-#,##0_ ;_ * &quot;-&quot;??_ ;_ @_ ">
                  <c:v>65087.26</c:v>
                </c:pt>
                <c:pt idx="36" formatCode="_ * #,##0_ ;_ * \-#,##0_ ;_ * &quot;-&quot;??_ ;_ @_ ">
                  <c:v>71581.36</c:v>
                </c:pt>
                <c:pt idx="37" formatCode="_ * #,##0_ ;_ * \-#,##0_ ;_ * &quot;-&quot;??_ ;_ @_ ">
                  <c:v>66089.42</c:v>
                </c:pt>
                <c:pt idx="38" formatCode="_ * #,##0_ ;_ * \-#,##0_ ;_ * &quot;-&quot;??_ ;_ @_ ">
                  <c:v>67971.709999999992</c:v>
                </c:pt>
                <c:pt idx="39" formatCode="_ * #,##0_ ;_ * \-#,##0_ ;_ * &quot;-&quot;??_ ;_ @_ ">
                  <c:v>71633.320000000007</c:v>
                </c:pt>
              </c:numCache>
            </c:numRef>
          </c:val>
          <c:smooth val="0"/>
          <c:extLst>
            <c:ext xmlns:c16="http://schemas.microsoft.com/office/drawing/2014/chart" uri="{C3380CC4-5D6E-409C-BE32-E72D297353CC}">
              <c16:uniqueId val="{00000000-EB58-4482-AE83-D26964028D5A}"/>
            </c:ext>
          </c:extLst>
        </c:ser>
        <c:ser>
          <c:idx val="1"/>
          <c:order val="1"/>
          <c:tx>
            <c:v>MCX Options</c:v>
          </c:tx>
          <c:spPr>
            <a:ln w="22225" cap="rnd">
              <a:solidFill>
                <a:sysClr val="windowText" lastClr="000000">
                  <a:lumMod val="75000"/>
                  <a:lumOff val="25000"/>
                </a:sysClr>
              </a:solidFill>
              <a:round/>
            </a:ln>
            <a:effectLst/>
          </c:spPr>
          <c:marker>
            <c:symbol val="circle"/>
            <c:size val="5"/>
            <c:spPr>
              <a:solidFill>
                <a:schemeClr val="accent2"/>
              </a:solidFill>
              <a:ln w="9525">
                <a:solidFill>
                  <a:schemeClr val="accent2"/>
                </a:solidFill>
              </a:ln>
              <a:effectLst/>
            </c:spPr>
          </c:marker>
          <c:cat>
            <c:numRef>
              <c:f>'Turnover charts'!$J$4:$J$58</c:f>
              <c:numCache>
                <c:formatCode>mmm\-yy</c:formatCode>
                <c:ptCount val="40"/>
                <c:pt idx="0">
                  <c:v>43160</c:v>
                </c:pt>
                <c:pt idx="1">
                  <c:v>43191</c:v>
                </c:pt>
                <c:pt idx="2">
                  <c:v>43221</c:v>
                </c:pt>
                <c:pt idx="3">
                  <c:v>43252</c:v>
                </c:pt>
                <c:pt idx="4">
                  <c:v>43282</c:v>
                </c:pt>
                <c:pt idx="5">
                  <c:v>43313</c:v>
                </c:pt>
                <c:pt idx="6">
                  <c:v>43344</c:v>
                </c:pt>
                <c:pt idx="7">
                  <c:v>43374</c:v>
                </c:pt>
                <c:pt idx="8">
                  <c:v>43405</c:v>
                </c:pt>
                <c:pt idx="9">
                  <c:v>43435</c:v>
                </c:pt>
                <c:pt idx="10">
                  <c:v>43466</c:v>
                </c:pt>
                <c:pt idx="11">
                  <c:v>43497</c:v>
                </c:pt>
                <c:pt idx="12">
                  <c:v>43525</c:v>
                </c:pt>
                <c:pt idx="13">
                  <c:v>43556</c:v>
                </c:pt>
                <c:pt idx="14">
                  <c:v>43586</c:v>
                </c:pt>
                <c:pt idx="15">
                  <c:v>43617</c:v>
                </c:pt>
                <c:pt idx="16">
                  <c:v>43647</c:v>
                </c:pt>
                <c:pt idx="17">
                  <c:v>43678</c:v>
                </c:pt>
                <c:pt idx="18">
                  <c:v>43709</c:v>
                </c:pt>
                <c:pt idx="19">
                  <c:v>43739</c:v>
                </c:pt>
                <c:pt idx="20">
                  <c:v>43770</c:v>
                </c:pt>
                <c:pt idx="21">
                  <c:v>43800</c:v>
                </c:pt>
                <c:pt idx="22">
                  <c:v>43831</c:v>
                </c:pt>
                <c:pt idx="23">
                  <c:v>43862</c:v>
                </c:pt>
                <c:pt idx="24">
                  <c:v>43891</c:v>
                </c:pt>
                <c:pt idx="25">
                  <c:v>43922</c:v>
                </c:pt>
                <c:pt idx="26">
                  <c:v>43952</c:v>
                </c:pt>
                <c:pt idx="27">
                  <c:v>43983</c:v>
                </c:pt>
                <c:pt idx="28">
                  <c:v>44013</c:v>
                </c:pt>
                <c:pt idx="29">
                  <c:v>44044</c:v>
                </c:pt>
                <c:pt idx="30">
                  <c:v>44075</c:v>
                </c:pt>
                <c:pt idx="31">
                  <c:v>44105</c:v>
                </c:pt>
                <c:pt idx="32">
                  <c:v>44136</c:v>
                </c:pt>
                <c:pt idx="33">
                  <c:v>44166</c:v>
                </c:pt>
                <c:pt idx="34">
                  <c:v>44197</c:v>
                </c:pt>
                <c:pt idx="35">
                  <c:v>44228</c:v>
                </c:pt>
                <c:pt idx="36">
                  <c:v>44256</c:v>
                </c:pt>
                <c:pt idx="37">
                  <c:v>44287</c:v>
                </c:pt>
                <c:pt idx="38">
                  <c:v>44317</c:v>
                </c:pt>
                <c:pt idx="39">
                  <c:v>44348</c:v>
                </c:pt>
              </c:numCache>
            </c:numRef>
          </c:cat>
          <c:val>
            <c:numRef>
              <c:f>'Turnover charts'!$L$4:$L$58</c:f>
              <c:numCache>
                <c:formatCode>_(* #,##0_);_(* \(#,##0\);_(* "-"??_);_(@_)</c:formatCode>
                <c:ptCount val="40"/>
                <c:pt idx="0">
                  <c:v>703.93000000000006</c:v>
                </c:pt>
                <c:pt idx="1">
                  <c:v>2640.42</c:v>
                </c:pt>
                <c:pt idx="2">
                  <c:v>16870.32</c:v>
                </c:pt>
                <c:pt idx="3">
                  <c:v>15987.750000000002</c:v>
                </c:pt>
                <c:pt idx="4">
                  <c:v>19672.011136500001</c:v>
                </c:pt>
                <c:pt idx="5">
                  <c:v>11041.360000000002</c:v>
                </c:pt>
                <c:pt idx="6">
                  <c:v>46624.133279499998</c:v>
                </c:pt>
                <c:pt idx="7">
                  <c:v>15644.809233</c:v>
                </c:pt>
                <c:pt idx="8">
                  <c:v>10235</c:v>
                </c:pt>
                <c:pt idx="9">
                  <c:v>9813.9104735000001</c:v>
                </c:pt>
                <c:pt idx="10">
                  <c:v>10472.720000000001</c:v>
                </c:pt>
                <c:pt idx="11">
                  <c:v>9291.3051825000002</c:v>
                </c:pt>
                <c:pt idx="12">
                  <c:v>12651.029999999999</c:v>
                </c:pt>
                <c:pt idx="13">
                  <c:v>8685.25</c:v>
                </c:pt>
                <c:pt idx="14">
                  <c:v>16861.852479000001</c:v>
                </c:pt>
                <c:pt idx="15">
                  <c:v>14616.749534499999</c:v>
                </c:pt>
                <c:pt idx="16">
                  <c:v>21042.729179999998</c:v>
                </c:pt>
                <c:pt idx="17">
                  <c:v>23329.757045500002</c:v>
                </c:pt>
                <c:pt idx="18">
                  <c:v>31458.28</c:v>
                </c:pt>
                <c:pt idx="19">
                  <c:v>17859.342895000002</c:v>
                </c:pt>
                <c:pt idx="20">
                  <c:v>21219.491989000002</c:v>
                </c:pt>
                <c:pt idx="21">
                  <c:v>15383.161334999999</c:v>
                </c:pt>
                <c:pt idx="22">
                  <c:v>40469.633901499998</c:v>
                </c:pt>
                <c:pt idx="23">
                  <c:v>33997.311160500001</c:v>
                </c:pt>
                <c:pt idx="24">
                  <c:v>46819.111044999998</c:v>
                </c:pt>
                <c:pt idx="25">
                  <c:v>8497.2066059999997</c:v>
                </c:pt>
                <c:pt idx="26">
                  <c:v>16049.714781499999</c:v>
                </c:pt>
                <c:pt idx="27">
                  <c:v>15138.664696</c:v>
                </c:pt>
                <c:pt idx="28">
                  <c:v>21064.531812000001</c:v>
                </c:pt>
                <c:pt idx="29">
                  <c:v>28998.239947999999</c:v>
                </c:pt>
                <c:pt idx="30">
                  <c:v>26027.212639000005</c:v>
                </c:pt>
                <c:pt idx="31">
                  <c:v>9915.5255409999991</c:v>
                </c:pt>
                <c:pt idx="32">
                  <c:v>26564.103460999999</c:v>
                </c:pt>
                <c:pt idx="33">
                  <c:v>15258.518517999999</c:v>
                </c:pt>
                <c:pt idx="34">
                  <c:v>25959.086283000004</c:v>
                </c:pt>
                <c:pt idx="35">
                  <c:v>17156.310860000001</c:v>
                </c:pt>
                <c:pt idx="36">
                  <c:v>28949.873640999998</c:v>
                </c:pt>
                <c:pt idx="37">
                  <c:v>29746.30315299999</c:v>
                </c:pt>
                <c:pt idx="38">
                  <c:v>41737.770531000002</c:v>
                </c:pt>
                <c:pt idx="39">
                  <c:v>50098.683639000003</c:v>
                </c:pt>
              </c:numCache>
            </c:numRef>
          </c:val>
          <c:smooth val="0"/>
          <c:extLst>
            <c:ext xmlns:c16="http://schemas.microsoft.com/office/drawing/2014/chart" uri="{C3380CC4-5D6E-409C-BE32-E72D297353CC}">
              <c16:uniqueId val="{00000001-EB58-4482-AE83-D26964028D5A}"/>
            </c:ext>
          </c:extLst>
        </c:ser>
        <c:ser>
          <c:idx val="5"/>
          <c:order val="2"/>
          <c:tx>
            <c:v>NSE Options</c:v>
          </c:tx>
          <c:spPr>
            <a:ln w="28575" cap="rnd">
              <a:solidFill>
                <a:schemeClr val="accent6"/>
              </a:solidFill>
              <a:round/>
            </a:ln>
            <a:effectLst/>
          </c:spPr>
          <c:marker>
            <c:symbol val="circle"/>
            <c:size val="5"/>
            <c:spPr>
              <a:solidFill>
                <a:srgbClr val="C00000"/>
              </a:solidFill>
              <a:ln w="9525">
                <a:solidFill>
                  <a:schemeClr val="accent6"/>
                </a:solidFill>
              </a:ln>
              <a:effectLst/>
            </c:spPr>
          </c:marker>
          <c:cat>
            <c:numRef>
              <c:f>'Turnover charts'!$J$4:$J$58</c:f>
              <c:numCache>
                <c:formatCode>mmm\-yy</c:formatCode>
                <c:ptCount val="40"/>
                <c:pt idx="0">
                  <c:v>43160</c:v>
                </c:pt>
                <c:pt idx="1">
                  <c:v>43191</c:v>
                </c:pt>
                <c:pt idx="2">
                  <c:v>43221</c:v>
                </c:pt>
                <c:pt idx="3">
                  <c:v>43252</c:v>
                </c:pt>
                <c:pt idx="4">
                  <c:v>43282</c:v>
                </c:pt>
                <c:pt idx="5">
                  <c:v>43313</c:v>
                </c:pt>
                <c:pt idx="6">
                  <c:v>43344</c:v>
                </c:pt>
                <c:pt idx="7">
                  <c:v>43374</c:v>
                </c:pt>
                <c:pt idx="8">
                  <c:v>43405</c:v>
                </c:pt>
                <c:pt idx="9">
                  <c:v>43435</c:v>
                </c:pt>
                <c:pt idx="10">
                  <c:v>43466</c:v>
                </c:pt>
                <c:pt idx="11">
                  <c:v>43497</c:v>
                </c:pt>
                <c:pt idx="12">
                  <c:v>43525</c:v>
                </c:pt>
                <c:pt idx="13">
                  <c:v>43556</c:v>
                </c:pt>
                <c:pt idx="14">
                  <c:v>43586</c:v>
                </c:pt>
                <c:pt idx="15">
                  <c:v>43617</c:v>
                </c:pt>
                <c:pt idx="16">
                  <c:v>43647</c:v>
                </c:pt>
                <c:pt idx="17">
                  <c:v>43678</c:v>
                </c:pt>
                <c:pt idx="18">
                  <c:v>43709</c:v>
                </c:pt>
                <c:pt idx="19">
                  <c:v>43739</c:v>
                </c:pt>
                <c:pt idx="20">
                  <c:v>43770</c:v>
                </c:pt>
                <c:pt idx="21">
                  <c:v>43800</c:v>
                </c:pt>
                <c:pt idx="22">
                  <c:v>43831</c:v>
                </c:pt>
                <c:pt idx="23">
                  <c:v>43862</c:v>
                </c:pt>
                <c:pt idx="24">
                  <c:v>43891</c:v>
                </c:pt>
                <c:pt idx="25">
                  <c:v>43922</c:v>
                </c:pt>
                <c:pt idx="26">
                  <c:v>43952</c:v>
                </c:pt>
                <c:pt idx="27">
                  <c:v>43983</c:v>
                </c:pt>
                <c:pt idx="28">
                  <c:v>44013</c:v>
                </c:pt>
                <c:pt idx="29">
                  <c:v>44044</c:v>
                </c:pt>
                <c:pt idx="30">
                  <c:v>44075</c:v>
                </c:pt>
                <c:pt idx="31">
                  <c:v>44105</c:v>
                </c:pt>
                <c:pt idx="32">
                  <c:v>44136</c:v>
                </c:pt>
                <c:pt idx="33">
                  <c:v>44166</c:v>
                </c:pt>
                <c:pt idx="34">
                  <c:v>44197</c:v>
                </c:pt>
                <c:pt idx="35">
                  <c:v>44228</c:v>
                </c:pt>
                <c:pt idx="36">
                  <c:v>44256</c:v>
                </c:pt>
                <c:pt idx="37">
                  <c:v>44287</c:v>
                </c:pt>
                <c:pt idx="38">
                  <c:v>44317</c:v>
                </c:pt>
                <c:pt idx="39">
                  <c:v>44348</c:v>
                </c:pt>
              </c:numCache>
            </c:numRef>
          </c:cat>
          <c:val>
            <c:numRef>
              <c:f>'Turnover charts'!$P$4:$P$58</c:f>
              <c:numCache>
                <c:formatCode>General</c:formatCode>
                <c:ptCount val="40"/>
                <c:pt idx="7" formatCode="_(* #,##0_);_(* \(#,##0\);_(* &quot;-&quot;??_);_(@_)">
                  <c:v>0</c:v>
                </c:pt>
                <c:pt idx="8" formatCode="_(* #,##0_);_(* \(#,##0\);_(* &quot;-&quot;??_);_(@_)">
                  <c:v>0</c:v>
                </c:pt>
                <c:pt idx="9" formatCode="_(* #,##0_);_(* \(#,##0\);_(* &quot;-&quot;??_);_(@_)">
                  <c:v>0</c:v>
                </c:pt>
                <c:pt idx="10" formatCode="_(* #,##0_);_(* \(#,##0\);_(* &quot;-&quot;??_);_(@_)">
                  <c:v>0</c:v>
                </c:pt>
                <c:pt idx="11" formatCode="_(* #,##0_);_(* \(#,##0\);_(* &quot;-&quot;??_);_(@_)">
                  <c:v>0</c:v>
                </c:pt>
                <c:pt idx="12" formatCode="_(* #,##0_);_(* \(#,##0\);_(* &quot;-&quot;??_);_(@_)">
                  <c:v>0</c:v>
                </c:pt>
                <c:pt idx="13" formatCode="_ * #,##0_ ;_ * \-#,##0_ ;_ * &quot;-&quot;??_ ;_ @_ ">
                  <c:v>0</c:v>
                </c:pt>
                <c:pt idx="14" formatCode="_ * #,##0_ ;_ * \-#,##0_ ;_ * &quot;-&quot;??_ ;_ @_ ">
                  <c:v>0</c:v>
                </c:pt>
                <c:pt idx="15" formatCode="_ * #,##0_ ;_ * \-#,##0_ ;_ * &quot;-&quot;??_ ;_ @_ ">
                  <c:v>0</c:v>
                </c:pt>
                <c:pt idx="16" formatCode="_ * #,##0_ ;_ * \-#,##0_ ;_ * &quot;-&quot;??_ ;_ @_ ">
                  <c:v>0</c:v>
                </c:pt>
                <c:pt idx="17" formatCode="_ * #,##0_ ;_ * \-#,##0_ ;_ * &quot;-&quot;??_ ;_ @_ ">
                  <c:v>0</c:v>
                </c:pt>
                <c:pt idx="18" formatCode="_ * #,##0_ ;_ * \-#,##0_ ;_ * &quot;-&quot;??_ ;_ @_ ">
                  <c:v>0</c:v>
                </c:pt>
                <c:pt idx="19" formatCode="_ * #,##0_ ;_ * \-#,##0_ ;_ * &quot;-&quot;??_ ;_ @_ ">
                  <c:v>0</c:v>
                </c:pt>
                <c:pt idx="20" formatCode="_ * #,##0_ ;_ * \-#,##0_ ;_ * &quot;-&quot;??_ ;_ @_ ">
                  <c:v>0</c:v>
                </c:pt>
                <c:pt idx="21" formatCode="_ * #,##0_ ;_ * \-#,##0_ ;_ * &quot;-&quot;??_ ;_ @_ ">
                  <c:v>0</c:v>
                </c:pt>
                <c:pt idx="22" formatCode="_ * #,##0_ ;_ * \-#,##0_ ;_ * &quot;-&quot;??_ ;_ @_ ">
                  <c:v>0</c:v>
                </c:pt>
                <c:pt idx="23" formatCode="_ * #,##0_ ;_ * \-#,##0_ ;_ * &quot;-&quot;??_ ;_ @_ ">
                  <c:v>0</c:v>
                </c:pt>
                <c:pt idx="24" formatCode="_(* #,##0_);_(* \(#,##0\);_(* &quot;-&quot;??_);_(@_)">
                  <c:v>0</c:v>
                </c:pt>
                <c:pt idx="25" formatCode="_(* #,##0_);_(* \(#,##0\);_(* &quot;-&quot;??_);_(@_)">
                  <c:v>0</c:v>
                </c:pt>
                <c:pt idx="26" formatCode="_(* #,##0_);_(* \(#,##0\);_(* &quot;-&quot;??_);_(@_)">
                  <c:v>0</c:v>
                </c:pt>
                <c:pt idx="27" formatCode="_ * #,##0_ ;_ * \-#,##0_ ;_ * &quot;-&quot;??_ ;_ @_ ">
                  <c:v>1751.8752035000002</c:v>
                </c:pt>
                <c:pt idx="28" formatCode="_ * #,##0_ ;_ * \-#,##0_ ;_ * &quot;-&quot;??_ ;_ @_ ">
                  <c:v>6235.7549739999995</c:v>
                </c:pt>
                <c:pt idx="29" formatCode="_ * #,##0_ ;_ * \-#,##0_ ;_ * &quot;-&quot;??_ ;_ @_ ">
                  <c:v>2381.9200970000002</c:v>
                </c:pt>
                <c:pt idx="30" formatCode="_ * #,##0_ ;_ * \-#,##0_ ;_ * &quot;-&quot;??_ ;_ @_ ">
                  <c:v>1734.4075534999997</c:v>
                </c:pt>
                <c:pt idx="31" formatCode="_ * #,##0_ ;_ * \-#,##0_ ;_ * &quot;-&quot;??_ ;_ @_ ">
                  <c:v>1856.5995699999994</c:v>
                </c:pt>
                <c:pt idx="32" formatCode="_ * #,##0_ ;_ * \-#,##0_ ;_ * &quot;-&quot;??_ ;_ @_ ">
                  <c:v>2633.3125410000002</c:v>
                </c:pt>
                <c:pt idx="33" formatCode="_ * #,##0_ ;_ * \-#,##0_ ;_ * &quot;-&quot;??_ ;_ @_ ">
                  <c:v>1537.8181204999996</c:v>
                </c:pt>
                <c:pt idx="34" formatCode="_ * #,##0_ ;_ * \-#,##0_ ;_ * &quot;-&quot;??_ ;_ @_ ">
                  <c:v>1913.7781235000002</c:v>
                </c:pt>
                <c:pt idx="35" formatCode="_ * #,##0_ ;_ * \-#,##0_ ;_ * &quot;-&quot;??_ ;_ @_ ">
                  <c:v>1103.8054694999996</c:v>
                </c:pt>
                <c:pt idx="36" formatCode="_ * #,##0_ ;_ * \-#,##0_ ;_ * &quot;-&quot;??_ ;_ @_ ">
                  <c:v>1206.0163299999995</c:v>
                </c:pt>
                <c:pt idx="37" formatCode="_ * #,##0_ ;_ * \-#,##0_ ;_ * &quot;-&quot;??_ ;_ @_ ">
                  <c:v>950.66633899999977</c:v>
                </c:pt>
                <c:pt idx="38" formatCode="_ * #,##0_ ;_ * \-#,##0_ ;_ * &quot;-&quot;??_ ;_ @_ ">
                  <c:v>846.21426750000001</c:v>
                </c:pt>
                <c:pt idx="39" formatCode="_ * #,##0_ ;_ * \-#,##0_ ;_ * &quot;-&quot;??_ ;_ @_ ">
                  <c:v>699.2709150000004</c:v>
                </c:pt>
              </c:numCache>
            </c:numRef>
          </c:val>
          <c:smooth val="0"/>
          <c:extLst>
            <c:ext xmlns:c16="http://schemas.microsoft.com/office/drawing/2014/chart" uri="{C3380CC4-5D6E-409C-BE32-E72D297353CC}">
              <c16:uniqueId val="{00000002-EB58-4482-AE83-D26964028D5A}"/>
            </c:ext>
          </c:extLst>
        </c:ser>
        <c:dLbls>
          <c:showLegendKey val="0"/>
          <c:showVal val="0"/>
          <c:showCatName val="0"/>
          <c:showSerName val="0"/>
          <c:showPercent val="0"/>
          <c:showBubbleSize val="0"/>
        </c:dLbls>
        <c:marker val="1"/>
        <c:smooth val="0"/>
        <c:axId val="653602064"/>
        <c:axId val="653602848"/>
      </c:lineChart>
      <c:dateAx>
        <c:axId val="653602064"/>
        <c:scaling>
          <c:orientation val="minMax"/>
          <c:min val="43983"/>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2400000" spcFirstLastPara="1" vertOverflow="ellipsis"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653602848"/>
        <c:crosses val="autoZero"/>
        <c:auto val="1"/>
        <c:lblOffset val="100"/>
        <c:baseTimeUnit val="months"/>
      </c:dateAx>
      <c:valAx>
        <c:axId val="653602848"/>
        <c:scaling>
          <c:orientation val="minMax"/>
          <c:max val="8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sz="900" b="0" i="0" u="none" strike="noStrike" kern="1200" baseline="0">
                    <a:solidFill>
                      <a:sysClr val="windowText" lastClr="000000"/>
                    </a:solidFill>
                    <a:latin typeface="Palatino Linotype" panose="02040502050505030304" pitchFamily="18" charset="0"/>
                    <a:ea typeface="+mn-ea"/>
                    <a:cs typeface="+mn-cs"/>
                  </a:defRPr>
                </a:pPr>
                <a:r>
                  <a:rPr lang="en-US"/>
                  <a:t>₹</a:t>
                </a:r>
                <a:r>
                  <a:rPr lang="en-IN" baseline="0"/>
                  <a:t> </a:t>
                </a:r>
                <a:r>
                  <a:rPr lang="en-IN"/>
                  <a:t> crore</a:t>
                </a:r>
              </a:p>
            </c:rich>
          </c:tx>
          <c:layout/>
          <c:overlay val="0"/>
          <c:spPr>
            <a:noFill/>
            <a:ln>
              <a:noFill/>
            </a:ln>
            <a:effectLst/>
          </c:spPr>
          <c:txPr>
            <a:bodyPr rot="-5400000" spcFirstLastPara="1" vertOverflow="ellipsis" vert="horz" wrap="square" anchor="ctr" anchorCtr="1"/>
            <a:lstStyle/>
            <a:p>
              <a:pPr algn="ctr" rtl="0">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653602064"/>
        <c:crosses val="autoZero"/>
        <c:crossBetween val="between"/>
        <c:majorUnit val="10000"/>
        <c:minorUnit val="5000"/>
        <c:dispUnits>
          <c:builtInUnit val="thousands"/>
          <c:dispUnitsLbl>
            <c:layout/>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dispUnitsLbl>
        </c:dispUnits>
      </c:valAx>
      <c:spPr>
        <a:noFill/>
        <a:ln>
          <a:noFill/>
        </a:ln>
        <a:effectLst/>
      </c:spPr>
    </c:plotArea>
    <c:legend>
      <c:legendPos val="b"/>
      <c:layout>
        <c:manualLayout>
          <c:xMode val="edge"/>
          <c:yMode val="edge"/>
          <c:x val="0.10228638086905803"/>
          <c:y val="0.88298072419128193"/>
          <c:w val="0.82778999518551322"/>
          <c:h val="0.1170192758087181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rgbClr val="0070C0"/>
      </a:solidFill>
      <a:round/>
    </a:ln>
    <a:effectLst/>
  </c:spPr>
  <c:txPr>
    <a:bodyPr/>
    <a:lstStyle/>
    <a:p>
      <a:pPr>
        <a:defRPr sz="900">
          <a:solidFill>
            <a:sysClr val="windowText" lastClr="000000"/>
          </a:solidFill>
          <a:latin typeface="Palatino Linotype" panose="0204050205050503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2"/>
          <c:order val="0"/>
          <c:tx>
            <c:strRef>
              <c:f>'F2&amp;F3'!$D$4</c:f>
              <c:strCache>
                <c:ptCount val="1"/>
                <c:pt idx="0">
                  <c:v>ADT at NSE (LHS)</c:v>
                </c:pt>
              </c:strCache>
            </c:strRef>
          </c:tx>
          <c:spPr>
            <a:solidFill>
              <a:srgbClr val="00B050"/>
            </a:solidFill>
            <a:ln>
              <a:noFill/>
            </a:ln>
            <a:effectLst/>
          </c:spPr>
          <c:invertIfNegative val="0"/>
          <c:cat>
            <c:numRef>
              <c:f>'F2&amp;F3'!$A$5:$A$16</c:f>
              <c:numCache>
                <c:formatCode>[$-409]mmm\-yy</c:formatCode>
                <c:ptCount val="12"/>
                <c:pt idx="0">
                  <c:v>44022</c:v>
                </c:pt>
                <c:pt idx="1">
                  <c:v>44053</c:v>
                </c:pt>
                <c:pt idx="2">
                  <c:v>44084</c:v>
                </c:pt>
                <c:pt idx="3">
                  <c:v>44114</c:v>
                </c:pt>
                <c:pt idx="4">
                  <c:v>44145</c:v>
                </c:pt>
                <c:pt idx="5">
                  <c:v>44175</c:v>
                </c:pt>
                <c:pt idx="6">
                  <c:v>44206</c:v>
                </c:pt>
                <c:pt idx="7">
                  <c:v>44237</c:v>
                </c:pt>
                <c:pt idx="8">
                  <c:v>44265</c:v>
                </c:pt>
                <c:pt idx="9">
                  <c:v>44296</c:v>
                </c:pt>
                <c:pt idx="10">
                  <c:v>44317</c:v>
                </c:pt>
                <c:pt idx="11">
                  <c:v>44348</c:v>
                </c:pt>
              </c:numCache>
            </c:numRef>
          </c:cat>
          <c:val>
            <c:numRef>
              <c:f>'F2&amp;F3'!$D$5:$D$16</c:f>
              <c:numCache>
                <c:formatCode>[&gt;=10000000]#\,##\,##\,##0;[&gt;=100000]#\,##\,##0;##,##0</c:formatCode>
                <c:ptCount val="12"/>
                <c:pt idx="0">
                  <c:v>58631.347159999998</c:v>
                </c:pt>
                <c:pt idx="1">
                  <c:v>61074.12</c:v>
                </c:pt>
                <c:pt idx="2">
                  <c:v>55605.851524328958</c:v>
                </c:pt>
                <c:pt idx="3">
                  <c:v>52327.798311617102</c:v>
                </c:pt>
                <c:pt idx="4">
                  <c:v>66863.595756470837</c:v>
                </c:pt>
                <c:pt idx="5">
                  <c:v>62479.615040464567</c:v>
                </c:pt>
                <c:pt idx="6">
                  <c:v>72472.244728850172</c:v>
                </c:pt>
                <c:pt idx="7" formatCode="#,##0;\-#,##0;0">
                  <c:v>81373.180989999993</c:v>
                </c:pt>
                <c:pt idx="8" formatCode="#,##0;\-#,##0;0">
                  <c:v>66616.515109999993</c:v>
                </c:pt>
                <c:pt idx="9" formatCode="#,##0;\-#,##0;0">
                  <c:v>70036.149999999994</c:v>
                </c:pt>
                <c:pt idx="10" formatCode="#,##0;\-#,##0;0">
                  <c:v>78395.767018697938</c:v>
                </c:pt>
                <c:pt idx="11" formatCode="#,##0;\-#,##0;0">
                  <c:v>70667.895154310216</c:v>
                </c:pt>
              </c:numCache>
            </c:numRef>
          </c:val>
          <c:extLst>
            <c:ext xmlns:c16="http://schemas.microsoft.com/office/drawing/2014/chart" uri="{C3380CC4-5D6E-409C-BE32-E72D297353CC}">
              <c16:uniqueId val="{00000000-AD67-4396-A323-73F15E98D87D}"/>
            </c:ext>
          </c:extLst>
        </c:ser>
        <c:dLbls>
          <c:showLegendKey val="0"/>
          <c:showVal val="0"/>
          <c:showCatName val="0"/>
          <c:showSerName val="0"/>
          <c:showPercent val="0"/>
          <c:showBubbleSize val="0"/>
        </c:dLbls>
        <c:gapWidth val="219"/>
        <c:overlap val="-27"/>
        <c:axId val="756619312"/>
        <c:axId val="660152512"/>
      </c:barChart>
      <c:lineChart>
        <c:grouping val="standard"/>
        <c:varyColors val="0"/>
        <c:ser>
          <c:idx val="3"/>
          <c:order val="1"/>
          <c:tx>
            <c:strRef>
              <c:f>'F2&amp;F3'!$E$4</c:f>
              <c:strCache>
                <c:ptCount val="1"/>
                <c:pt idx="0">
                  <c:v>ADV of Nifty 50 (RHS)</c:v>
                </c:pt>
              </c:strCache>
            </c:strRef>
          </c:tx>
          <c:spPr>
            <a:ln w="28575" cap="rnd">
              <a:solidFill>
                <a:srgbClr val="FF0000"/>
              </a:solidFill>
              <a:round/>
            </a:ln>
            <a:effectLst/>
          </c:spPr>
          <c:marker>
            <c:symbol val="none"/>
          </c:marker>
          <c:cat>
            <c:numRef>
              <c:f>'F2&amp;F3'!$A$5:$A$16</c:f>
              <c:numCache>
                <c:formatCode>[$-409]mmm\-yy</c:formatCode>
                <c:ptCount val="12"/>
                <c:pt idx="0">
                  <c:v>44022</c:v>
                </c:pt>
                <c:pt idx="1">
                  <c:v>44053</c:v>
                </c:pt>
                <c:pt idx="2">
                  <c:v>44084</c:v>
                </c:pt>
                <c:pt idx="3">
                  <c:v>44114</c:v>
                </c:pt>
                <c:pt idx="4">
                  <c:v>44145</c:v>
                </c:pt>
                <c:pt idx="5">
                  <c:v>44175</c:v>
                </c:pt>
                <c:pt idx="6">
                  <c:v>44206</c:v>
                </c:pt>
                <c:pt idx="7">
                  <c:v>44237</c:v>
                </c:pt>
                <c:pt idx="8">
                  <c:v>44265</c:v>
                </c:pt>
                <c:pt idx="9">
                  <c:v>44296</c:v>
                </c:pt>
                <c:pt idx="10">
                  <c:v>44317</c:v>
                </c:pt>
                <c:pt idx="11">
                  <c:v>44348</c:v>
                </c:pt>
              </c:numCache>
            </c:numRef>
          </c:cat>
          <c:val>
            <c:numRef>
              <c:f>'F2&amp;F3'!$E$5:$E$16</c:f>
              <c:numCache>
                <c:formatCode>[&gt;=10000000]#\,##\,##\,##0;[&gt;=100000]#\,##\,##0;##,##0</c:formatCode>
                <c:ptCount val="12"/>
                <c:pt idx="0" formatCode="#,##0">
                  <c:v>10897.695652173914</c:v>
                </c:pt>
                <c:pt idx="1">
                  <c:v>11318.57</c:v>
                </c:pt>
                <c:pt idx="2">
                  <c:v>11336.702272727271</c:v>
                </c:pt>
                <c:pt idx="3">
                  <c:v>11789.709523809524</c:v>
                </c:pt>
                <c:pt idx="4">
                  <c:v>12602.3225</c:v>
                </c:pt>
                <c:pt idx="5">
                  <c:v>13550.44090909091</c:v>
                </c:pt>
                <c:pt idx="6">
                  <c:v>14284.602499999999</c:v>
                </c:pt>
                <c:pt idx="7">
                  <c:v>14956.842499999999</c:v>
                </c:pt>
                <c:pt idx="8">
                  <c:v>14835.099999999999</c:v>
                </c:pt>
                <c:pt idx="9">
                  <c:v>14613.852631578948</c:v>
                </c:pt>
                <c:pt idx="10">
                  <c:v>15121.611538461539</c:v>
                </c:pt>
                <c:pt idx="11">
                  <c:v>15733.677272727275</c:v>
                </c:pt>
              </c:numCache>
            </c:numRef>
          </c:val>
          <c:smooth val="0"/>
          <c:extLst>
            <c:ext xmlns:c16="http://schemas.microsoft.com/office/drawing/2014/chart" uri="{C3380CC4-5D6E-409C-BE32-E72D297353CC}">
              <c16:uniqueId val="{00000001-AD67-4396-A323-73F15E98D87D}"/>
            </c:ext>
          </c:extLst>
        </c:ser>
        <c:dLbls>
          <c:showLegendKey val="0"/>
          <c:showVal val="0"/>
          <c:showCatName val="0"/>
          <c:showSerName val="0"/>
          <c:showPercent val="0"/>
          <c:showBubbleSize val="0"/>
        </c:dLbls>
        <c:marker val="1"/>
        <c:smooth val="0"/>
        <c:axId val="660153296"/>
        <c:axId val="660152904"/>
      </c:lineChart>
      <c:dateAx>
        <c:axId val="756619312"/>
        <c:scaling>
          <c:orientation val="minMax"/>
        </c:scaling>
        <c:delete val="0"/>
        <c:axPos val="b"/>
        <c:numFmt formatCode="[$-409]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660152512"/>
        <c:crosses val="autoZero"/>
        <c:auto val="1"/>
        <c:lblOffset val="100"/>
        <c:baseTimeUnit val="months"/>
      </c:dateAx>
      <c:valAx>
        <c:axId val="660152512"/>
        <c:scaling>
          <c:orientation val="minMax"/>
          <c:min val="35000"/>
        </c:scaling>
        <c:delete val="0"/>
        <c:axPos val="l"/>
        <c:numFmt formatCode="[&gt;=10000000]#\,##\,##\,##0;[&gt;=100000]#\,##\,##0;##,##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756619312"/>
        <c:crosses val="autoZero"/>
        <c:crossBetween val="between"/>
        <c:majorUnit val="5000.01"/>
      </c:valAx>
      <c:valAx>
        <c:axId val="660152904"/>
        <c:scaling>
          <c:orientation val="minMax"/>
          <c:min val="8000"/>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660153296"/>
        <c:crosses val="max"/>
        <c:crossBetween val="between"/>
      </c:valAx>
      <c:dateAx>
        <c:axId val="660153296"/>
        <c:scaling>
          <c:orientation val="minMax"/>
        </c:scaling>
        <c:delete val="1"/>
        <c:axPos val="b"/>
        <c:numFmt formatCode="[$-409]mmm\-yy" sourceLinked="1"/>
        <c:majorTickMark val="out"/>
        <c:minorTickMark val="none"/>
        <c:tickLblPos val="nextTo"/>
        <c:crossAx val="660152904"/>
        <c:crosses val="autoZero"/>
        <c:auto val="1"/>
        <c:lblOffset val="100"/>
        <c:baseTimeUnit val="days"/>
      </c:date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latin typeface="Palatino Linotype" panose="02040502050505030304" pitchFamily="18"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'F2&amp;F3'!$B$4</c:f>
              <c:strCache>
                <c:ptCount val="1"/>
                <c:pt idx="0">
                  <c:v>ADT at BSE (LHS)</c:v>
                </c:pt>
              </c:strCache>
            </c:strRef>
          </c:tx>
          <c:spPr>
            <a:solidFill>
              <a:srgbClr val="00B050"/>
            </a:solidFill>
            <a:ln>
              <a:noFill/>
            </a:ln>
            <a:effectLst/>
          </c:spPr>
          <c:invertIfNegative val="0"/>
          <c:cat>
            <c:numRef>
              <c:f>'F2&amp;F3'!$A$5:$A$16</c:f>
              <c:numCache>
                <c:formatCode>[$-409]mmm\-yy</c:formatCode>
                <c:ptCount val="12"/>
                <c:pt idx="0">
                  <c:v>44022</c:v>
                </c:pt>
                <c:pt idx="1">
                  <c:v>44053</c:v>
                </c:pt>
                <c:pt idx="2">
                  <c:v>44084</c:v>
                </c:pt>
                <c:pt idx="3">
                  <c:v>44114</c:v>
                </c:pt>
                <c:pt idx="4">
                  <c:v>44145</c:v>
                </c:pt>
                <c:pt idx="5">
                  <c:v>44175</c:v>
                </c:pt>
                <c:pt idx="6">
                  <c:v>44206</c:v>
                </c:pt>
                <c:pt idx="7">
                  <c:v>44237</c:v>
                </c:pt>
                <c:pt idx="8">
                  <c:v>44265</c:v>
                </c:pt>
                <c:pt idx="9">
                  <c:v>44296</c:v>
                </c:pt>
                <c:pt idx="10">
                  <c:v>44317</c:v>
                </c:pt>
                <c:pt idx="11">
                  <c:v>44348</c:v>
                </c:pt>
              </c:numCache>
            </c:numRef>
          </c:cat>
          <c:val>
            <c:numRef>
              <c:f>'F2&amp;F3'!$B$5:$B$16</c:f>
              <c:numCache>
                <c:formatCode>[&gt;=10000000]#\,##\,##\,##0;[&gt;=100000]#\,##\,##0;##,##0</c:formatCode>
                <c:ptCount val="12"/>
                <c:pt idx="0">
                  <c:v>3482.2930434782606</c:v>
                </c:pt>
                <c:pt idx="1">
                  <c:v>4432.38</c:v>
                </c:pt>
                <c:pt idx="2">
                  <c:v>3182.9668181818183</c:v>
                </c:pt>
                <c:pt idx="3">
                  <c:v>2755.5385714285712</c:v>
                </c:pt>
                <c:pt idx="4">
                  <c:v>3533.7944999999991</c:v>
                </c:pt>
                <c:pt idx="5">
                  <c:v>4518.8545454545456</c:v>
                </c:pt>
                <c:pt idx="6">
                  <c:v>5203.16</c:v>
                </c:pt>
                <c:pt idx="7" formatCode="#,##0;\-#,##0;0">
                  <c:v>7247.7254999999996</c:v>
                </c:pt>
                <c:pt idx="8" formatCode="#,##0;\-#,##0;0">
                  <c:v>5010.8952380950004</c:v>
                </c:pt>
                <c:pt idx="9" formatCode="#,##0;\-#,##0;0">
                  <c:v>4362.0763157900001</c:v>
                </c:pt>
                <c:pt idx="10" formatCode="#,##0;\-#,##0;0">
                  <c:v>5625.0295000000006</c:v>
                </c:pt>
                <c:pt idx="11" formatCode="#,##0;\-#,##0;0">
                  <c:v>6815.7186363636347</c:v>
                </c:pt>
              </c:numCache>
            </c:numRef>
          </c:val>
          <c:extLst>
            <c:ext xmlns:c16="http://schemas.microsoft.com/office/drawing/2014/chart" uri="{C3380CC4-5D6E-409C-BE32-E72D297353CC}">
              <c16:uniqueId val="{00000000-1AC8-428F-B423-EEDB774752E0}"/>
            </c:ext>
          </c:extLst>
        </c:ser>
        <c:dLbls>
          <c:showLegendKey val="0"/>
          <c:showVal val="0"/>
          <c:showCatName val="0"/>
          <c:showSerName val="0"/>
          <c:showPercent val="0"/>
          <c:showBubbleSize val="0"/>
        </c:dLbls>
        <c:gapWidth val="219"/>
        <c:overlap val="-27"/>
        <c:axId val="990062168"/>
        <c:axId val="990063344"/>
      </c:barChart>
      <c:lineChart>
        <c:grouping val="standard"/>
        <c:varyColors val="0"/>
        <c:ser>
          <c:idx val="1"/>
          <c:order val="1"/>
          <c:tx>
            <c:strRef>
              <c:f>'F2&amp;F3'!$C$4</c:f>
              <c:strCache>
                <c:ptCount val="1"/>
                <c:pt idx="0">
                  <c:v>ADV of Sensex (RHS)</c:v>
                </c:pt>
              </c:strCache>
            </c:strRef>
          </c:tx>
          <c:spPr>
            <a:ln w="28575" cap="rnd">
              <a:solidFill>
                <a:srgbClr val="FF0000"/>
              </a:solidFill>
              <a:round/>
            </a:ln>
            <a:effectLst/>
          </c:spPr>
          <c:marker>
            <c:symbol val="none"/>
          </c:marker>
          <c:cat>
            <c:numRef>
              <c:f>'F2&amp;F3'!$A$5:$A$16</c:f>
              <c:numCache>
                <c:formatCode>[$-409]mmm\-yy</c:formatCode>
                <c:ptCount val="12"/>
                <c:pt idx="0">
                  <c:v>44022</c:v>
                </c:pt>
                <c:pt idx="1">
                  <c:v>44053</c:v>
                </c:pt>
                <c:pt idx="2">
                  <c:v>44084</c:v>
                </c:pt>
                <c:pt idx="3">
                  <c:v>44114</c:v>
                </c:pt>
                <c:pt idx="4">
                  <c:v>44145</c:v>
                </c:pt>
                <c:pt idx="5">
                  <c:v>44175</c:v>
                </c:pt>
                <c:pt idx="6">
                  <c:v>44206</c:v>
                </c:pt>
                <c:pt idx="7">
                  <c:v>44237</c:v>
                </c:pt>
                <c:pt idx="8">
                  <c:v>44265</c:v>
                </c:pt>
                <c:pt idx="9">
                  <c:v>44296</c:v>
                </c:pt>
                <c:pt idx="10">
                  <c:v>44317</c:v>
                </c:pt>
                <c:pt idx="11">
                  <c:v>44348</c:v>
                </c:pt>
              </c:numCache>
            </c:numRef>
          </c:cat>
          <c:val>
            <c:numRef>
              <c:f>'F2&amp;F3'!$C$5:$C$16</c:f>
              <c:numCache>
                <c:formatCode>[&gt;=10000000]#\,##\,##\,##0;[&gt;=100000]#\,##\,##0;##,##0</c:formatCode>
                <c:ptCount val="12"/>
                <c:pt idx="0" formatCode="0">
                  <c:v>37030.641739130428</c:v>
                </c:pt>
                <c:pt idx="1">
                  <c:v>38347</c:v>
                </c:pt>
                <c:pt idx="2">
                  <c:v>38378.977272727272</c:v>
                </c:pt>
                <c:pt idx="3">
                  <c:v>40115.386666666658</c:v>
                </c:pt>
                <c:pt idx="4">
                  <c:v>43011.3845</c:v>
                </c:pt>
                <c:pt idx="5">
                  <c:v>46211.837272727265</c:v>
                </c:pt>
                <c:pt idx="6">
                  <c:v>48580.33</c:v>
                </c:pt>
                <c:pt idx="7" formatCode="#,##0;\-#,##0;0">
                  <c:v>50782.818000000007</c:v>
                </c:pt>
                <c:pt idx="8" formatCode="#,##0;\-#,##0;0">
                  <c:v>50782.818000000007</c:v>
                </c:pt>
                <c:pt idx="9" formatCode="#,##0;\-#,##0;0">
                  <c:v>48877.900526315789</c:v>
                </c:pt>
                <c:pt idx="10" formatCode="#,##0;\-#,##0;0">
                  <c:v>49822.895499999999</c:v>
                </c:pt>
                <c:pt idx="11" formatCode="#,##0;\-#,##0;0">
                  <c:v>52399.699090909089</c:v>
                </c:pt>
              </c:numCache>
            </c:numRef>
          </c:val>
          <c:smooth val="0"/>
          <c:extLst>
            <c:ext xmlns:c16="http://schemas.microsoft.com/office/drawing/2014/chart" uri="{C3380CC4-5D6E-409C-BE32-E72D297353CC}">
              <c16:uniqueId val="{00000001-1AC8-428F-B423-EEDB774752E0}"/>
            </c:ext>
          </c:extLst>
        </c:ser>
        <c:dLbls>
          <c:showLegendKey val="0"/>
          <c:showVal val="0"/>
          <c:showCatName val="0"/>
          <c:showSerName val="0"/>
          <c:showPercent val="0"/>
          <c:showBubbleSize val="0"/>
        </c:dLbls>
        <c:marker val="1"/>
        <c:smooth val="0"/>
        <c:axId val="990060992"/>
        <c:axId val="990063736"/>
      </c:lineChart>
      <c:dateAx>
        <c:axId val="990062168"/>
        <c:scaling>
          <c:orientation val="minMax"/>
        </c:scaling>
        <c:delete val="0"/>
        <c:axPos val="b"/>
        <c:numFmt formatCode="[$-409]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990063344"/>
        <c:crosses val="autoZero"/>
        <c:auto val="1"/>
        <c:lblOffset val="100"/>
        <c:baseTimeUnit val="months"/>
      </c:dateAx>
      <c:valAx>
        <c:axId val="990063344"/>
        <c:scaling>
          <c:orientation val="minMax"/>
          <c:min val="2000"/>
        </c:scaling>
        <c:delete val="0"/>
        <c:axPos val="l"/>
        <c:numFmt formatCode="[&gt;=10000000]#\,##\,##\,##0;[&gt;=10000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990062168"/>
        <c:crosses val="autoZero"/>
        <c:crossBetween val="between"/>
      </c:valAx>
      <c:valAx>
        <c:axId val="990063736"/>
        <c:scaling>
          <c:orientation val="minMax"/>
          <c:min val="30000"/>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990060992"/>
        <c:crosses val="max"/>
        <c:crossBetween val="between"/>
        <c:majorUnit val="5000"/>
      </c:valAx>
      <c:dateAx>
        <c:axId val="990060992"/>
        <c:scaling>
          <c:orientation val="minMax"/>
        </c:scaling>
        <c:delete val="1"/>
        <c:axPos val="b"/>
        <c:numFmt formatCode="[$-409]mmm\-yy" sourceLinked="1"/>
        <c:majorTickMark val="out"/>
        <c:minorTickMark val="none"/>
        <c:tickLblPos val="nextTo"/>
        <c:crossAx val="990063736"/>
        <c:crosses val="autoZero"/>
        <c:auto val="1"/>
        <c:lblOffset val="100"/>
        <c:baseTimeUnit val="days"/>
      </c:date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Palatino Linotype" panose="02040502050505030304" pitchFamily="18"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'F4&amp;5 '!$E$4</c:f>
              <c:strCache>
                <c:ptCount val="1"/>
                <c:pt idx="0">
                  <c:v>Return (LHS)</c:v>
                </c:pt>
              </c:strCache>
            </c:strRef>
          </c:tx>
          <c:spPr>
            <a:solidFill>
              <a:srgbClr val="00B050"/>
            </a:solidFill>
            <a:ln>
              <a:noFill/>
            </a:ln>
            <a:effectLst/>
          </c:spPr>
          <c:invertIfNegative val="0"/>
          <c:cat>
            <c:strRef>
              <c:f>'F4&amp;5 '!$D$5:$D$14</c:f>
              <c:strCache>
                <c:ptCount val="10"/>
                <c:pt idx="0">
                  <c:v>BSETECK</c:v>
                </c:pt>
                <c:pt idx="1">
                  <c:v>BSECD</c:v>
                </c:pt>
                <c:pt idx="2">
                  <c:v>BSEREAL</c:v>
                </c:pt>
                <c:pt idx="3">
                  <c:v>BSEPSU</c:v>
                </c:pt>
                <c:pt idx="4">
                  <c:v>BSECG</c:v>
                </c:pt>
                <c:pt idx="5">
                  <c:v>BSEAUTO</c:v>
                </c:pt>
                <c:pt idx="6">
                  <c:v>BSEMET</c:v>
                </c:pt>
                <c:pt idx="7">
                  <c:v>BSEOIL</c:v>
                </c:pt>
                <c:pt idx="8">
                  <c:v>BSEPOWER</c:v>
                </c:pt>
                <c:pt idx="9">
                  <c:v>BSEBANK</c:v>
                </c:pt>
              </c:strCache>
            </c:strRef>
          </c:cat>
          <c:val>
            <c:numRef>
              <c:f>'F4&amp;5 '!$E$5:$E$14</c:f>
              <c:numCache>
                <c:formatCode>0.0</c:formatCode>
                <c:ptCount val="10"/>
                <c:pt idx="0">
                  <c:v>7.8937238411827648</c:v>
                </c:pt>
                <c:pt idx="1">
                  <c:v>6.5474926525797228</c:v>
                </c:pt>
                <c:pt idx="2">
                  <c:v>2.2637975231435625</c:v>
                </c:pt>
                <c:pt idx="3">
                  <c:v>2.2413618560916282</c:v>
                </c:pt>
                <c:pt idx="4">
                  <c:v>2.0033095878038587</c:v>
                </c:pt>
                <c:pt idx="5">
                  <c:v>0.97973248511540323</c:v>
                </c:pt>
                <c:pt idx="6">
                  <c:v>-1.126112644108046</c:v>
                </c:pt>
                <c:pt idx="7">
                  <c:v>-1.8018116463325518</c:v>
                </c:pt>
                <c:pt idx="8">
                  <c:v>-2.1644345343767357</c:v>
                </c:pt>
                <c:pt idx="9">
                  <c:v>-2.4655047456070944</c:v>
                </c:pt>
              </c:numCache>
            </c:numRef>
          </c:val>
          <c:extLst>
            <c:ext xmlns:c16="http://schemas.microsoft.com/office/drawing/2014/chart" uri="{C3380CC4-5D6E-409C-BE32-E72D297353CC}">
              <c16:uniqueId val="{00000000-D603-42B5-A2BA-DD1876993503}"/>
            </c:ext>
          </c:extLst>
        </c:ser>
        <c:dLbls>
          <c:showLegendKey val="0"/>
          <c:showVal val="0"/>
          <c:showCatName val="0"/>
          <c:showSerName val="0"/>
          <c:showPercent val="0"/>
          <c:showBubbleSize val="0"/>
        </c:dLbls>
        <c:gapWidth val="219"/>
        <c:overlap val="-27"/>
        <c:axId val="990064128"/>
        <c:axId val="990061384"/>
      </c:barChart>
      <c:lineChart>
        <c:grouping val="standard"/>
        <c:varyColors val="0"/>
        <c:ser>
          <c:idx val="1"/>
          <c:order val="1"/>
          <c:tx>
            <c:strRef>
              <c:f>'F4&amp;5 '!$F$4</c:f>
              <c:strCache>
                <c:ptCount val="1"/>
                <c:pt idx="0">
                  <c:v>Volatility (RHS)</c:v>
                </c:pt>
              </c:strCache>
            </c:strRef>
          </c:tx>
          <c:spPr>
            <a:ln w="28575" cap="rnd">
              <a:solidFill>
                <a:srgbClr val="FF0000"/>
              </a:solidFill>
              <a:round/>
            </a:ln>
            <a:effectLst/>
          </c:spPr>
          <c:marker>
            <c:symbol val="none"/>
          </c:marker>
          <c:cat>
            <c:strRef>
              <c:f>'F4&amp;5 '!$D$5:$D$14</c:f>
              <c:strCache>
                <c:ptCount val="10"/>
                <c:pt idx="0">
                  <c:v>BSETECK</c:v>
                </c:pt>
                <c:pt idx="1">
                  <c:v>BSECD</c:v>
                </c:pt>
                <c:pt idx="2">
                  <c:v>BSEREAL</c:v>
                </c:pt>
                <c:pt idx="3">
                  <c:v>BSEPSU</c:v>
                </c:pt>
                <c:pt idx="4">
                  <c:v>BSECG</c:v>
                </c:pt>
                <c:pt idx="5">
                  <c:v>BSEAUTO</c:v>
                </c:pt>
                <c:pt idx="6">
                  <c:v>BSEMET</c:v>
                </c:pt>
                <c:pt idx="7">
                  <c:v>BSEOIL</c:v>
                </c:pt>
                <c:pt idx="8">
                  <c:v>BSEPOWER</c:v>
                </c:pt>
                <c:pt idx="9">
                  <c:v>BSEBANK</c:v>
                </c:pt>
              </c:strCache>
            </c:strRef>
          </c:cat>
          <c:val>
            <c:numRef>
              <c:f>'F4&amp;5 '!$F$5:$F$14</c:f>
              <c:numCache>
                <c:formatCode>0.0</c:formatCode>
                <c:ptCount val="10"/>
                <c:pt idx="0">
                  <c:v>0.75793250803292567</c:v>
                </c:pt>
                <c:pt idx="1">
                  <c:v>1.0403023304698449</c:v>
                </c:pt>
                <c:pt idx="2">
                  <c:v>1.5447764854834793</c:v>
                </c:pt>
                <c:pt idx="3">
                  <c:v>0.89331771679209759</c:v>
                </c:pt>
                <c:pt idx="4">
                  <c:v>0.89896029598839877</c:v>
                </c:pt>
                <c:pt idx="5">
                  <c:v>0.79591133297184491</c:v>
                </c:pt>
                <c:pt idx="6">
                  <c:v>1.5119938525939582</c:v>
                </c:pt>
                <c:pt idx="7">
                  <c:v>1.0094473054541475</c:v>
                </c:pt>
                <c:pt idx="8">
                  <c:v>1.4172757583391469</c:v>
                </c:pt>
                <c:pt idx="9">
                  <c:v>0.78421194295713925</c:v>
                </c:pt>
              </c:numCache>
            </c:numRef>
          </c:val>
          <c:smooth val="0"/>
          <c:extLst>
            <c:ext xmlns:c16="http://schemas.microsoft.com/office/drawing/2014/chart" uri="{C3380CC4-5D6E-409C-BE32-E72D297353CC}">
              <c16:uniqueId val="{00000001-D603-42B5-A2BA-DD1876993503}"/>
            </c:ext>
          </c:extLst>
        </c:ser>
        <c:dLbls>
          <c:showLegendKey val="0"/>
          <c:showVal val="0"/>
          <c:showCatName val="0"/>
          <c:showSerName val="0"/>
          <c:showPercent val="0"/>
          <c:showBubbleSize val="0"/>
        </c:dLbls>
        <c:marker val="1"/>
        <c:smooth val="0"/>
        <c:axId val="990062952"/>
        <c:axId val="990062560"/>
      </c:lineChart>
      <c:catAx>
        <c:axId val="99006412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990061384"/>
        <c:crosses val="autoZero"/>
        <c:auto val="1"/>
        <c:lblAlgn val="ctr"/>
        <c:lblOffset val="100"/>
        <c:noMultiLvlLbl val="0"/>
      </c:catAx>
      <c:valAx>
        <c:axId val="990061384"/>
        <c:scaling>
          <c:orientation val="minMax"/>
          <c:min val="-5"/>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990064128"/>
        <c:crosses val="autoZero"/>
        <c:crossBetween val="between"/>
      </c:valAx>
      <c:valAx>
        <c:axId val="990062560"/>
        <c:scaling>
          <c:orientation val="minMax"/>
          <c:min val="0.60000000000000009"/>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990062952"/>
        <c:crosses val="max"/>
        <c:crossBetween val="between"/>
        <c:majorUnit val="0.5"/>
      </c:valAx>
      <c:catAx>
        <c:axId val="990062952"/>
        <c:scaling>
          <c:orientation val="minMax"/>
        </c:scaling>
        <c:delete val="1"/>
        <c:axPos val="b"/>
        <c:numFmt formatCode="General" sourceLinked="1"/>
        <c:majorTickMark val="out"/>
        <c:minorTickMark val="none"/>
        <c:tickLblPos val="nextTo"/>
        <c:crossAx val="990062560"/>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latin typeface="Palatino Linotype" panose="02040502050505030304" pitchFamily="18"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'F4&amp;5 '!$B$4</c:f>
              <c:strCache>
                <c:ptCount val="1"/>
                <c:pt idx="0">
                  <c:v>Return (LHS)</c:v>
                </c:pt>
              </c:strCache>
            </c:strRef>
          </c:tx>
          <c:spPr>
            <a:solidFill>
              <a:srgbClr val="00B050"/>
            </a:solidFill>
            <a:ln>
              <a:noFill/>
            </a:ln>
            <a:effectLst/>
          </c:spPr>
          <c:invertIfNegative val="0"/>
          <c:cat>
            <c:strRef>
              <c:f>'F4&amp;5 '!$A$5:$A$14</c:f>
              <c:strCache>
                <c:ptCount val="10"/>
                <c:pt idx="0">
                  <c:v>NIFTYIT</c:v>
                </c:pt>
                <c:pt idx="1">
                  <c:v>NIFTYPSU</c:v>
                </c:pt>
                <c:pt idx="2">
                  <c:v>NIFTYPSE</c:v>
                </c:pt>
                <c:pt idx="3">
                  <c:v>NIFTYFMCG</c:v>
                </c:pt>
                <c:pt idx="4">
                  <c:v>NIFTYREAL</c:v>
                </c:pt>
                <c:pt idx="5">
                  <c:v>NIPHARM</c:v>
                </c:pt>
                <c:pt idx="6">
                  <c:v>NIFTYSER</c:v>
                </c:pt>
                <c:pt idx="7">
                  <c:v>NIFTYINFR</c:v>
                </c:pt>
                <c:pt idx="8">
                  <c:v>NIFTYENR</c:v>
                </c:pt>
                <c:pt idx="9">
                  <c:v>NSEBANK</c:v>
                </c:pt>
              </c:strCache>
            </c:strRef>
          </c:cat>
          <c:val>
            <c:numRef>
              <c:f>'F4&amp;5 '!$B$5:$B$14</c:f>
              <c:numCache>
                <c:formatCode>0.0</c:formatCode>
                <c:ptCount val="10"/>
                <c:pt idx="0">
                  <c:v>7.5712565530950515</c:v>
                </c:pt>
                <c:pt idx="1">
                  <c:v>3.8123892346370924</c:v>
                </c:pt>
                <c:pt idx="2">
                  <c:v>2.6359564939219426</c:v>
                </c:pt>
                <c:pt idx="3">
                  <c:v>2.4121033620765342</c:v>
                </c:pt>
                <c:pt idx="4">
                  <c:v>2.320392681838479</c:v>
                </c:pt>
                <c:pt idx="5">
                  <c:v>1.8300211717401815</c:v>
                </c:pt>
                <c:pt idx="6">
                  <c:v>1.2811822596279665</c:v>
                </c:pt>
                <c:pt idx="7">
                  <c:v>0.26225190045980895</c:v>
                </c:pt>
                <c:pt idx="8">
                  <c:v>-0.434729104247078</c:v>
                </c:pt>
                <c:pt idx="9">
                  <c:v>-2.1236170593061932</c:v>
                </c:pt>
              </c:numCache>
            </c:numRef>
          </c:val>
          <c:extLst>
            <c:ext xmlns:c16="http://schemas.microsoft.com/office/drawing/2014/chart" uri="{C3380CC4-5D6E-409C-BE32-E72D297353CC}">
              <c16:uniqueId val="{00000000-2B0E-436A-BEC8-723E223CDFAF}"/>
            </c:ext>
          </c:extLst>
        </c:ser>
        <c:dLbls>
          <c:showLegendKey val="0"/>
          <c:showVal val="0"/>
          <c:showCatName val="0"/>
          <c:showSerName val="0"/>
          <c:showPercent val="0"/>
          <c:showBubbleSize val="0"/>
        </c:dLbls>
        <c:gapWidth val="219"/>
        <c:overlap val="-27"/>
        <c:axId val="204297000"/>
        <c:axId val="204295040"/>
      </c:barChart>
      <c:lineChart>
        <c:grouping val="standard"/>
        <c:varyColors val="0"/>
        <c:ser>
          <c:idx val="1"/>
          <c:order val="1"/>
          <c:tx>
            <c:strRef>
              <c:f>'F4&amp;5 '!$C$4</c:f>
              <c:strCache>
                <c:ptCount val="1"/>
                <c:pt idx="0">
                  <c:v>Volatility (RHS)</c:v>
                </c:pt>
              </c:strCache>
            </c:strRef>
          </c:tx>
          <c:spPr>
            <a:ln w="28575" cap="rnd">
              <a:solidFill>
                <a:srgbClr val="FF0000"/>
              </a:solidFill>
              <a:round/>
            </a:ln>
            <a:effectLst/>
          </c:spPr>
          <c:marker>
            <c:symbol val="none"/>
          </c:marker>
          <c:cat>
            <c:strRef>
              <c:f>'F4&amp;5 '!$A$5:$A$14</c:f>
              <c:strCache>
                <c:ptCount val="10"/>
                <c:pt idx="0">
                  <c:v>NIFTYIT</c:v>
                </c:pt>
                <c:pt idx="1">
                  <c:v>NIFTYPSU</c:v>
                </c:pt>
                <c:pt idx="2">
                  <c:v>NIFTYPSE</c:v>
                </c:pt>
                <c:pt idx="3">
                  <c:v>NIFTYFMCG</c:v>
                </c:pt>
                <c:pt idx="4">
                  <c:v>NIFTYREAL</c:v>
                </c:pt>
                <c:pt idx="5">
                  <c:v>NIPHARM</c:v>
                </c:pt>
                <c:pt idx="6">
                  <c:v>NIFTYSER</c:v>
                </c:pt>
                <c:pt idx="7">
                  <c:v>NIFTYINFR</c:v>
                </c:pt>
                <c:pt idx="8">
                  <c:v>NIFTYENR</c:v>
                </c:pt>
                <c:pt idx="9">
                  <c:v>NSEBANK</c:v>
                </c:pt>
              </c:strCache>
            </c:strRef>
          </c:cat>
          <c:val>
            <c:numRef>
              <c:f>'F4&amp;5 '!$C$5:$C$14</c:f>
              <c:numCache>
                <c:formatCode>0.0</c:formatCode>
                <c:ptCount val="10"/>
                <c:pt idx="0">
                  <c:v>0.83971229089738475</c:v>
                </c:pt>
                <c:pt idx="1">
                  <c:v>1.6731120677371227</c:v>
                </c:pt>
                <c:pt idx="2">
                  <c:v>0.90864430184565603</c:v>
                </c:pt>
                <c:pt idx="3">
                  <c:v>0.43444173349816984</c:v>
                </c:pt>
                <c:pt idx="4">
                  <c:v>1.5067133980674365</c:v>
                </c:pt>
                <c:pt idx="5">
                  <c:v>0.68302238720442199</c:v>
                </c:pt>
                <c:pt idx="6">
                  <c:v>0.55526107248842449</c:v>
                </c:pt>
                <c:pt idx="7">
                  <c:v>0.68685914356269251</c:v>
                </c:pt>
                <c:pt idx="8">
                  <c:v>0.87154523756726476</c:v>
                </c:pt>
                <c:pt idx="9">
                  <c:v>0.77640221008104127</c:v>
                </c:pt>
              </c:numCache>
            </c:numRef>
          </c:val>
          <c:smooth val="0"/>
          <c:extLst>
            <c:ext xmlns:c16="http://schemas.microsoft.com/office/drawing/2014/chart" uri="{C3380CC4-5D6E-409C-BE32-E72D297353CC}">
              <c16:uniqueId val="{00000001-2B0E-436A-BEC8-723E223CDFAF}"/>
            </c:ext>
          </c:extLst>
        </c:ser>
        <c:dLbls>
          <c:showLegendKey val="0"/>
          <c:showVal val="0"/>
          <c:showCatName val="0"/>
          <c:showSerName val="0"/>
          <c:showPercent val="0"/>
          <c:showBubbleSize val="0"/>
        </c:dLbls>
        <c:marker val="1"/>
        <c:smooth val="0"/>
        <c:axId val="204296608"/>
        <c:axId val="204293472"/>
      </c:lineChart>
      <c:catAx>
        <c:axId val="20429700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204295040"/>
        <c:crosses val="autoZero"/>
        <c:auto val="1"/>
        <c:lblAlgn val="ctr"/>
        <c:lblOffset val="100"/>
        <c:noMultiLvlLbl val="0"/>
      </c:catAx>
      <c:valAx>
        <c:axId val="204295040"/>
        <c:scaling>
          <c:orientation val="minMax"/>
          <c:max val="8"/>
          <c:min val="-3"/>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204297000"/>
        <c:crosses val="autoZero"/>
        <c:crossBetween val="between"/>
      </c:valAx>
      <c:valAx>
        <c:axId val="204293472"/>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204296608"/>
        <c:crosses val="max"/>
        <c:crossBetween val="between"/>
        <c:majorUnit val="0.5"/>
      </c:valAx>
      <c:catAx>
        <c:axId val="204296608"/>
        <c:scaling>
          <c:orientation val="minMax"/>
        </c:scaling>
        <c:delete val="1"/>
        <c:axPos val="b"/>
        <c:numFmt formatCode="General" sourceLinked="1"/>
        <c:majorTickMark val="out"/>
        <c:minorTickMark val="none"/>
        <c:tickLblPos val="nextTo"/>
        <c:crossAx val="204293472"/>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latin typeface="Palatino Linotype" panose="02040502050505030304" pitchFamily="18"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181333257938808"/>
          <c:y val="5.3641462625391004E-2"/>
          <c:w val="0.69482934920388084"/>
          <c:h val="0.59820767267105301"/>
        </c:manualLayout>
      </c:layout>
      <c:barChart>
        <c:barDir val="col"/>
        <c:grouping val="clustered"/>
        <c:varyColors val="0"/>
        <c:ser>
          <c:idx val="1"/>
          <c:order val="1"/>
          <c:tx>
            <c:strRef>
              <c:f>'F4 '!$E$1</c:f>
              <c:strCache>
                <c:ptCount val="1"/>
                <c:pt idx="0">
                  <c:v>ADNT at NSE (RHS)</c:v>
                </c:pt>
              </c:strCache>
            </c:strRef>
          </c:tx>
          <c:spPr>
            <a:solidFill>
              <a:srgbClr val="00B050"/>
            </a:solidFill>
            <a:ln>
              <a:noFill/>
            </a:ln>
            <a:effectLst/>
          </c:spPr>
          <c:invertIfNegative val="0"/>
          <c:cat>
            <c:numRef>
              <c:f>'F4 '!$A$2:$A$13</c:f>
              <c:numCache>
                <c:formatCode>[$-409]mmm\-yy</c:formatCode>
                <c:ptCount val="12"/>
                <c:pt idx="0">
                  <c:v>44022</c:v>
                </c:pt>
                <c:pt idx="1">
                  <c:v>44053</c:v>
                </c:pt>
                <c:pt idx="2">
                  <c:v>44084</c:v>
                </c:pt>
                <c:pt idx="3">
                  <c:v>44114</c:v>
                </c:pt>
                <c:pt idx="4">
                  <c:v>44145</c:v>
                </c:pt>
                <c:pt idx="5">
                  <c:v>44175</c:v>
                </c:pt>
                <c:pt idx="6">
                  <c:v>44206</c:v>
                </c:pt>
                <c:pt idx="7">
                  <c:v>44237</c:v>
                </c:pt>
                <c:pt idx="8">
                  <c:v>44265</c:v>
                </c:pt>
                <c:pt idx="9">
                  <c:v>44296</c:v>
                </c:pt>
                <c:pt idx="10">
                  <c:v>44317</c:v>
                </c:pt>
                <c:pt idx="11">
                  <c:v>44348</c:v>
                </c:pt>
              </c:numCache>
            </c:numRef>
          </c:cat>
          <c:val>
            <c:numRef>
              <c:f>'F4 '!$E$2:$E$13</c:f>
              <c:numCache>
                <c:formatCode>[&gt;=10000000]#\,##\,##\,##0;[&gt;=100000]#\,##\,##0;##,##0</c:formatCode>
                <c:ptCount val="12"/>
                <c:pt idx="0">
                  <c:v>1910248.1950051249</c:v>
                </c:pt>
                <c:pt idx="1">
                  <c:v>1877589.023486543</c:v>
                </c:pt>
                <c:pt idx="2">
                  <c:v>2157023.5625705258</c:v>
                </c:pt>
                <c:pt idx="3">
                  <c:v>2632458.2987257265</c:v>
                </c:pt>
                <c:pt idx="4">
                  <c:v>2844478.2670458574</c:v>
                </c:pt>
                <c:pt idx="5">
                  <c:v>3057374.9092755187</c:v>
                </c:pt>
                <c:pt idx="6">
                  <c:v>3595657.0081937932</c:v>
                </c:pt>
                <c:pt idx="7">
                  <c:v>4301098.4515000004</c:v>
                </c:pt>
                <c:pt idx="8">
                  <c:v>4438327.3871428566</c:v>
                </c:pt>
                <c:pt idx="9">
                  <c:v>4665024.3789473688</c:v>
                </c:pt>
                <c:pt idx="10">
                  <c:v>4332641.5880000005</c:v>
                </c:pt>
                <c:pt idx="11">
                  <c:v>4608723.0909090908</c:v>
                </c:pt>
              </c:numCache>
            </c:numRef>
          </c:val>
          <c:extLst>
            <c:ext xmlns:c16="http://schemas.microsoft.com/office/drawing/2014/chart" uri="{C3380CC4-5D6E-409C-BE32-E72D297353CC}">
              <c16:uniqueId val="{00000000-CB58-467A-82E7-6EBDEE85DC57}"/>
            </c:ext>
          </c:extLst>
        </c:ser>
        <c:dLbls>
          <c:showLegendKey val="0"/>
          <c:showVal val="0"/>
          <c:showCatName val="0"/>
          <c:showSerName val="0"/>
          <c:showPercent val="0"/>
          <c:showBubbleSize val="0"/>
        </c:dLbls>
        <c:gapWidth val="219"/>
        <c:overlap val="-27"/>
        <c:axId val="204294648"/>
        <c:axId val="204294256"/>
      </c:barChart>
      <c:lineChart>
        <c:grouping val="standard"/>
        <c:varyColors val="0"/>
        <c:ser>
          <c:idx val="0"/>
          <c:order val="0"/>
          <c:tx>
            <c:strRef>
              <c:f>'F4 '!$D$1</c:f>
              <c:strCache>
                <c:ptCount val="1"/>
                <c:pt idx="0">
                  <c:v>ADNT at BSE (LHS)</c:v>
                </c:pt>
              </c:strCache>
            </c:strRef>
          </c:tx>
          <c:spPr>
            <a:ln w="28575" cap="rnd">
              <a:solidFill>
                <a:srgbClr val="FF0000"/>
              </a:solidFill>
              <a:round/>
            </a:ln>
            <a:effectLst/>
          </c:spPr>
          <c:marker>
            <c:symbol val="none"/>
          </c:marker>
          <c:cat>
            <c:numRef>
              <c:f>'F4 '!$A$2:$A$13</c:f>
              <c:numCache>
                <c:formatCode>[$-409]mmm\-yy</c:formatCode>
                <c:ptCount val="12"/>
                <c:pt idx="0">
                  <c:v>44022</c:v>
                </c:pt>
                <c:pt idx="1">
                  <c:v>44053</c:v>
                </c:pt>
                <c:pt idx="2">
                  <c:v>44084</c:v>
                </c:pt>
                <c:pt idx="3">
                  <c:v>44114</c:v>
                </c:pt>
                <c:pt idx="4">
                  <c:v>44145</c:v>
                </c:pt>
                <c:pt idx="5">
                  <c:v>44175</c:v>
                </c:pt>
                <c:pt idx="6">
                  <c:v>44206</c:v>
                </c:pt>
                <c:pt idx="7">
                  <c:v>44237</c:v>
                </c:pt>
                <c:pt idx="8">
                  <c:v>44265</c:v>
                </c:pt>
                <c:pt idx="9">
                  <c:v>44296</c:v>
                </c:pt>
                <c:pt idx="10">
                  <c:v>44317</c:v>
                </c:pt>
                <c:pt idx="11">
                  <c:v>44348</c:v>
                </c:pt>
              </c:numCache>
            </c:numRef>
          </c:cat>
          <c:val>
            <c:numRef>
              <c:f>'F4 '!$D$2:$D$13</c:f>
              <c:numCache>
                <c:formatCode>#,##0</c:formatCode>
                <c:ptCount val="12"/>
                <c:pt idx="0">
                  <c:v>26196.207826086957</c:v>
                </c:pt>
                <c:pt idx="1">
                  <c:v>88005.567619047622</c:v>
                </c:pt>
                <c:pt idx="2">
                  <c:v>123934.84768617614</c:v>
                </c:pt>
                <c:pt idx="3">
                  <c:v>161548.20265396428</c:v>
                </c:pt>
                <c:pt idx="4">
                  <c:v>218924.7232084875</c:v>
                </c:pt>
                <c:pt idx="5">
                  <c:v>222827.48463496024</c:v>
                </c:pt>
                <c:pt idx="6">
                  <c:v>246651.46454715001</c:v>
                </c:pt>
                <c:pt idx="7">
                  <c:v>291858.57797283505</c:v>
                </c:pt>
                <c:pt idx="8">
                  <c:v>295833.62791219522</c:v>
                </c:pt>
                <c:pt idx="9">
                  <c:v>317790.11645149474</c:v>
                </c:pt>
                <c:pt idx="10">
                  <c:v>323982.19198160624</c:v>
                </c:pt>
                <c:pt idx="11">
                  <c:v>303244.85652462277</c:v>
                </c:pt>
              </c:numCache>
            </c:numRef>
          </c:val>
          <c:smooth val="0"/>
          <c:extLst>
            <c:ext xmlns:c16="http://schemas.microsoft.com/office/drawing/2014/chart" uri="{C3380CC4-5D6E-409C-BE32-E72D297353CC}">
              <c16:uniqueId val="{00000001-CB58-467A-82E7-6EBDEE85DC57}"/>
            </c:ext>
          </c:extLst>
        </c:ser>
        <c:dLbls>
          <c:showLegendKey val="0"/>
          <c:showVal val="0"/>
          <c:showCatName val="0"/>
          <c:showSerName val="0"/>
          <c:showPercent val="0"/>
          <c:showBubbleSize val="0"/>
        </c:dLbls>
        <c:marker val="1"/>
        <c:smooth val="0"/>
        <c:axId val="204295432"/>
        <c:axId val="204296216"/>
      </c:lineChart>
      <c:dateAx>
        <c:axId val="204295432"/>
        <c:scaling>
          <c:orientation val="minMax"/>
        </c:scaling>
        <c:delete val="0"/>
        <c:axPos val="b"/>
        <c:numFmt formatCode="[$-409]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204296216"/>
        <c:crosses val="autoZero"/>
        <c:auto val="1"/>
        <c:lblOffset val="100"/>
        <c:baseTimeUnit val="months"/>
      </c:dateAx>
      <c:valAx>
        <c:axId val="204296216"/>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r>
                  <a:rPr lang="en-US"/>
                  <a:t>BSE</a:t>
                </a:r>
              </a:p>
            </c:rich>
          </c:tx>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204295432"/>
        <c:crosses val="autoZero"/>
        <c:crossBetween val="between"/>
      </c:valAx>
      <c:valAx>
        <c:axId val="204294256"/>
        <c:scaling>
          <c:orientation val="minMax"/>
          <c:min val="1000000"/>
        </c:scaling>
        <c:delete val="0"/>
        <c:axPos val="r"/>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r>
                  <a:rPr lang="en-US"/>
                  <a:t>NSE</a:t>
                </a:r>
              </a:p>
            </c:rich>
          </c:tx>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title>
        <c:numFmt formatCode="[&gt;=10000000]#\,##\,##\,##0;[&gt;=100000]#\,##\,##0;##,##0" sourceLinked="1"/>
        <c:majorTickMark val="out"/>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204294648"/>
        <c:crosses val="max"/>
        <c:crossBetween val="between"/>
      </c:valAx>
      <c:dateAx>
        <c:axId val="204294648"/>
        <c:scaling>
          <c:orientation val="minMax"/>
        </c:scaling>
        <c:delete val="1"/>
        <c:axPos val="b"/>
        <c:numFmt formatCode="[$-409]mmm\-yy" sourceLinked="1"/>
        <c:majorTickMark val="out"/>
        <c:minorTickMark val="none"/>
        <c:tickLblPos val="nextTo"/>
        <c:crossAx val="204294256"/>
        <c:crosses val="autoZero"/>
        <c:auto val="1"/>
        <c:lblOffset val="100"/>
        <c:baseTimeUnit val="days"/>
      </c:date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latin typeface="Palatino Linotype" panose="02040502050505030304" pitchFamily="18"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1"/>
        <c:ser>
          <c:idx val="0"/>
          <c:order val="0"/>
          <c:tx>
            <c:strRef>
              <c:f>'F15'!$E$15</c:f>
              <c:strCache>
                <c:ptCount val="1"/>
                <c:pt idx="0">
                  <c:v>May-21</c:v>
                </c:pt>
              </c:strCache>
            </c:strRef>
          </c:tx>
          <c:spPr>
            <a:solidFill>
              <a:srgbClr val="FF0000"/>
            </a:solidFill>
          </c:spPr>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'F15'!$F$14:$H$14</c:f>
              <c:strCache>
                <c:ptCount val="3"/>
                <c:pt idx="0">
                  <c:v>Weekly</c:v>
                </c:pt>
                <c:pt idx="1">
                  <c:v>1 Month</c:v>
                </c:pt>
                <c:pt idx="2">
                  <c:v>&gt; 1 Month</c:v>
                </c:pt>
              </c:strCache>
            </c:strRef>
          </c:cat>
          <c:val>
            <c:numRef>
              <c:f>'F15'!$F$15:$H$15</c:f>
              <c:numCache>
                <c:formatCode>#,##0.0</c:formatCode>
                <c:ptCount val="3"/>
                <c:pt idx="0">
                  <c:v>73.475896918201016</c:v>
                </c:pt>
                <c:pt idx="1">
                  <c:v>26.006164496903171</c:v>
                </c:pt>
                <c:pt idx="2">
                  <c:v>0.51793858489582589</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5BD2-41A6-8A65-989EBB5D7771}"/>
            </c:ext>
          </c:extLst>
        </c:ser>
        <c:ser>
          <c:idx val="1"/>
          <c:order val="1"/>
          <c:tx>
            <c:strRef>
              <c:f>'F15'!$E$16</c:f>
              <c:strCache>
                <c:ptCount val="1"/>
                <c:pt idx="0">
                  <c:v>Jun-21</c:v>
                </c:pt>
              </c:strCache>
            </c:strRef>
          </c:tx>
          <c:spPr>
            <a:solidFill>
              <a:srgbClr val="00B050"/>
            </a:solidFill>
          </c:spPr>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'F15'!$F$14:$H$14</c:f>
              <c:strCache>
                <c:ptCount val="3"/>
                <c:pt idx="0">
                  <c:v>Weekly</c:v>
                </c:pt>
                <c:pt idx="1">
                  <c:v>1 Month</c:v>
                </c:pt>
                <c:pt idx="2">
                  <c:v>&gt; 1 Month</c:v>
                </c:pt>
              </c:strCache>
            </c:strRef>
          </c:cat>
          <c:val>
            <c:numRef>
              <c:f>'F15'!$F$16:$H$16</c:f>
              <c:numCache>
                <c:formatCode>#,##0.0</c:formatCode>
                <c:ptCount val="3"/>
                <c:pt idx="0">
                  <c:v>74.98749462446051</c:v>
                </c:pt>
                <c:pt idx="1">
                  <c:v>24.554992330810183</c:v>
                </c:pt>
                <c:pt idx="2">
                  <c:v>0.45751304472931237</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5BD2-41A6-8A65-989EBB5D7771}"/>
            </c:ext>
          </c:extLst>
        </c:ser>
        <c:dLbls>
          <c:showLegendKey val="0"/>
          <c:showVal val="0"/>
          <c:showCatName val="0"/>
          <c:showSerName val="0"/>
          <c:showPercent val="0"/>
          <c:showBubbleSize val="0"/>
        </c:dLbls>
        <c:gapWidth val="150"/>
        <c:axId val="567673224"/>
        <c:axId val="567674400"/>
      </c:barChart>
      <c:catAx>
        <c:axId val="567673224"/>
        <c:scaling>
          <c:orientation val="minMax"/>
        </c:scaling>
        <c:delete val="0"/>
        <c:axPos val="l"/>
        <c:numFmt formatCode="General" sourceLinked="1"/>
        <c:majorTickMark val="out"/>
        <c:minorTickMark val="cross"/>
        <c:tickLblPos val="nextTo"/>
        <c:crossAx val="567674400"/>
        <c:crosses val="autoZero"/>
        <c:auto val="1"/>
        <c:lblAlgn val="ctr"/>
        <c:lblOffset val="100"/>
        <c:noMultiLvlLbl val="1"/>
      </c:catAx>
      <c:valAx>
        <c:axId val="567674400"/>
        <c:scaling>
          <c:orientation val="minMax"/>
        </c:scaling>
        <c:delete val="1"/>
        <c:axPos val="t"/>
        <c:numFmt formatCode="#,##0.0" sourceLinked="1"/>
        <c:majorTickMark val="out"/>
        <c:minorTickMark val="cross"/>
        <c:tickLblPos val="nextTo"/>
        <c:crossAx val="567673224"/>
        <c:crosses val="max"/>
        <c:crossBetween val="between"/>
      </c:valAx>
    </c:plotArea>
    <c:legend>
      <c:legendPos val="b"/>
      <c:layout/>
      <c:overlay val="0"/>
    </c:legend>
    <c:plotVisOnly val="1"/>
    <c:dispBlanksAs val="zero"/>
    <c:showDLblsOverMax val="1"/>
  </c:chart>
  <c:spPr>
    <a:solidFill>
      <a:srgbClr val="FFFFFF"/>
    </a:solidFill>
  </c:spPr>
  <c:txPr>
    <a:bodyPr/>
    <a:lstStyle/>
    <a:p>
      <a:pPr>
        <a:defRPr sz="1000">
          <a:latin typeface="Palatino Linotype" panose="02040502050505030304" pitchFamily="18"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'F6'!$C$2</c:f>
              <c:strCache>
                <c:ptCount val="1"/>
                <c:pt idx="0">
                  <c:v>NSE (LHS)</c:v>
                </c:pt>
              </c:strCache>
            </c:strRef>
          </c:tx>
          <c:spPr>
            <a:ln w="28575" cap="rnd">
              <a:solidFill>
                <a:schemeClr val="accent1"/>
              </a:solidFill>
              <a:round/>
            </a:ln>
            <a:effectLst/>
          </c:spPr>
          <c:marker>
            <c:symbol val="none"/>
          </c:marker>
          <c:cat>
            <c:numRef>
              <c:f>'F6'!$A$3:$A$14</c:f>
              <c:numCache>
                <c:formatCode>[$-409]mmm\-yy</c:formatCode>
                <c:ptCount val="12"/>
                <c:pt idx="0">
                  <c:v>44022</c:v>
                </c:pt>
                <c:pt idx="1">
                  <c:v>44053</c:v>
                </c:pt>
                <c:pt idx="2">
                  <c:v>44084</c:v>
                </c:pt>
                <c:pt idx="3">
                  <c:v>44114</c:v>
                </c:pt>
                <c:pt idx="4">
                  <c:v>44145</c:v>
                </c:pt>
                <c:pt idx="5">
                  <c:v>44175</c:v>
                </c:pt>
                <c:pt idx="6">
                  <c:v>44206</c:v>
                </c:pt>
                <c:pt idx="7">
                  <c:v>44237</c:v>
                </c:pt>
                <c:pt idx="8">
                  <c:v>44265</c:v>
                </c:pt>
                <c:pt idx="9">
                  <c:v>44296</c:v>
                </c:pt>
                <c:pt idx="10">
                  <c:v>44317</c:v>
                </c:pt>
                <c:pt idx="11">
                  <c:v>44348</c:v>
                </c:pt>
              </c:numCache>
            </c:numRef>
          </c:cat>
          <c:val>
            <c:numRef>
              <c:f>'F6'!$C$3:$C$14</c:f>
              <c:numCache>
                <c:formatCode>0\,00\,000;\-0\,00\,000;0</c:formatCode>
                <c:ptCount val="12"/>
                <c:pt idx="0">
                  <c:v>943395.67188321159</c:v>
                </c:pt>
                <c:pt idx="1">
                  <c:v>976864.32951144269</c:v>
                </c:pt>
                <c:pt idx="2">
                  <c:v>1120073.5900000001</c:v>
                </c:pt>
                <c:pt idx="3">
                  <c:v>977668.28209999995</c:v>
                </c:pt>
                <c:pt idx="4">
                  <c:v>1024112.012</c:v>
                </c:pt>
                <c:pt idx="5">
                  <c:v>1160618.8376070948</c:v>
                </c:pt>
                <c:pt idx="6">
                  <c:v>1001205.5174880214</c:v>
                </c:pt>
                <c:pt idx="7">
                  <c:v>1082488.916</c:v>
                </c:pt>
                <c:pt idx="8">
                  <c:v>1444570.959</c:v>
                </c:pt>
                <c:pt idx="9">
                  <c:v>1490637.77</c:v>
                </c:pt>
                <c:pt idx="10">
                  <c:v>1105377.56</c:v>
                </c:pt>
                <c:pt idx="11">
                  <c:v>1378693.62</c:v>
                </c:pt>
              </c:numCache>
            </c:numRef>
          </c:val>
          <c:smooth val="0"/>
          <c:extLst>
            <c:ext xmlns:c16="http://schemas.microsoft.com/office/drawing/2014/chart" uri="{C3380CC4-5D6E-409C-BE32-E72D297353CC}">
              <c16:uniqueId val="{00000000-C74F-428E-8E7A-B453E7BC672C}"/>
            </c:ext>
          </c:extLst>
        </c:ser>
        <c:ser>
          <c:idx val="3"/>
          <c:order val="2"/>
          <c:tx>
            <c:strRef>
              <c:f>'F6'!$B$2</c:f>
              <c:strCache>
                <c:ptCount val="1"/>
                <c:pt idx="0">
                  <c:v>BSE  (LHS)</c:v>
                </c:pt>
              </c:strCache>
            </c:strRef>
          </c:tx>
          <c:spPr>
            <a:ln w="28575" cap="rnd">
              <a:solidFill>
                <a:schemeClr val="accent4"/>
              </a:solidFill>
              <a:round/>
            </a:ln>
            <a:effectLst/>
          </c:spPr>
          <c:marker>
            <c:symbol val="none"/>
          </c:marker>
          <c:cat>
            <c:numRef>
              <c:f>'F6'!$A$3:$A$14</c:f>
              <c:numCache>
                <c:formatCode>[$-409]mmm\-yy</c:formatCode>
                <c:ptCount val="12"/>
                <c:pt idx="0">
                  <c:v>44022</c:v>
                </c:pt>
                <c:pt idx="1">
                  <c:v>44053</c:v>
                </c:pt>
                <c:pt idx="2">
                  <c:v>44084</c:v>
                </c:pt>
                <c:pt idx="3">
                  <c:v>44114</c:v>
                </c:pt>
                <c:pt idx="4">
                  <c:v>44145</c:v>
                </c:pt>
                <c:pt idx="5">
                  <c:v>44175</c:v>
                </c:pt>
                <c:pt idx="6">
                  <c:v>44206</c:v>
                </c:pt>
                <c:pt idx="7">
                  <c:v>44237</c:v>
                </c:pt>
                <c:pt idx="8">
                  <c:v>44265</c:v>
                </c:pt>
                <c:pt idx="9">
                  <c:v>44296</c:v>
                </c:pt>
                <c:pt idx="10">
                  <c:v>44317</c:v>
                </c:pt>
                <c:pt idx="11">
                  <c:v>44348</c:v>
                </c:pt>
              </c:numCache>
            </c:numRef>
          </c:cat>
          <c:val>
            <c:numRef>
              <c:f>'F6'!$B$3:$B$14</c:f>
              <c:numCache>
                <c:formatCode>0\,00\,000;\-0\,00\,000;0</c:formatCode>
                <c:ptCount val="12"/>
                <c:pt idx="0">
                  <c:v>437166.34</c:v>
                </c:pt>
                <c:pt idx="1">
                  <c:v>451790.26</c:v>
                </c:pt>
                <c:pt idx="2">
                  <c:v>429477.39090000006</c:v>
                </c:pt>
                <c:pt idx="3">
                  <c:v>408890.7488</c:v>
                </c:pt>
                <c:pt idx="4">
                  <c:v>402246.89210000006</c:v>
                </c:pt>
                <c:pt idx="5">
                  <c:v>496940.56949999998</c:v>
                </c:pt>
                <c:pt idx="6" formatCode="#,##0">
                  <c:v>440262.21429999999</c:v>
                </c:pt>
                <c:pt idx="7">
                  <c:v>449170.83260000002</c:v>
                </c:pt>
                <c:pt idx="8">
                  <c:v>563283.70030000003</c:v>
                </c:pt>
                <c:pt idx="9">
                  <c:v>448635.7488</c:v>
                </c:pt>
                <c:pt idx="10">
                  <c:v>417945.56279999996</c:v>
                </c:pt>
                <c:pt idx="11">
                  <c:v>503265.83970000001</c:v>
                </c:pt>
              </c:numCache>
            </c:numRef>
          </c:val>
          <c:smooth val="0"/>
          <c:extLst>
            <c:ext xmlns:c16="http://schemas.microsoft.com/office/drawing/2014/chart" uri="{C3380CC4-5D6E-409C-BE32-E72D297353CC}">
              <c16:uniqueId val="{00000001-C74F-428E-8E7A-B453E7BC672C}"/>
            </c:ext>
          </c:extLst>
        </c:ser>
        <c:dLbls>
          <c:showLegendKey val="0"/>
          <c:showVal val="0"/>
          <c:showCatName val="0"/>
          <c:showSerName val="0"/>
          <c:showPercent val="0"/>
          <c:showBubbleSize val="0"/>
        </c:dLbls>
        <c:marker val="1"/>
        <c:smooth val="0"/>
        <c:axId val="567674792"/>
        <c:axId val="567675184"/>
      </c:lineChart>
      <c:lineChart>
        <c:grouping val="standard"/>
        <c:varyColors val="0"/>
        <c:ser>
          <c:idx val="1"/>
          <c:order val="1"/>
          <c:tx>
            <c:strRef>
              <c:f>'F6'!$D$2</c:f>
              <c:strCache>
                <c:ptCount val="1"/>
                <c:pt idx="0">
                  <c:v>MSEI (RHS)</c:v>
                </c:pt>
              </c:strCache>
            </c:strRef>
          </c:tx>
          <c:spPr>
            <a:ln w="28575" cap="rnd">
              <a:solidFill>
                <a:schemeClr val="accent2"/>
              </a:solidFill>
              <a:round/>
            </a:ln>
            <a:effectLst/>
          </c:spPr>
          <c:marker>
            <c:symbol val="none"/>
          </c:marker>
          <c:cat>
            <c:numRef>
              <c:f>'F6'!$A$3:$A$14</c:f>
              <c:numCache>
                <c:formatCode>[$-409]mmm\-yy</c:formatCode>
                <c:ptCount val="12"/>
                <c:pt idx="0">
                  <c:v>44022</c:v>
                </c:pt>
                <c:pt idx="1">
                  <c:v>44053</c:v>
                </c:pt>
                <c:pt idx="2">
                  <c:v>44084</c:v>
                </c:pt>
                <c:pt idx="3">
                  <c:v>44114</c:v>
                </c:pt>
                <c:pt idx="4">
                  <c:v>44145</c:v>
                </c:pt>
                <c:pt idx="5">
                  <c:v>44175</c:v>
                </c:pt>
                <c:pt idx="6">
                  <c:v>44206</c:v>
                </c:pt>
                <c:pt idx="7">
                  <c:v>44237</c:v>
                </c:pt>
                <c:pt idx="8">
                  <c:v>44265</c:v>
                </c:pt>
                <c:pt idx="9">
                  <c:v>44296</c:v>
                </c:pt>
                <c:pt idx="10">
                  <c:v>44317</c:v>
                </c:pt>
                <c:pt idx="11">
                  <c:v>44348</c:v>
                </c:pt>
              </c:numCache>
            </c:numRef>
          </c:cat>
          <c:val>
            <c:numRef>
              <c:f>'F6'!$D$3:$D$14</c:f>
              <c:numCache>
                <c:formatCode>#,##0;\-#,##0;0</c:formatCode>
                <c:ptCount val="12"/>
                <c:pt idx="0">
                  <c:v>4064.4222235000007</c:v>
                </c:pt>
                <c:pt idx="1">
                  <c:v>5291.3987129999996</c:v>
                </c:pt>
                <c:pt idx="2">
                  <c:v>6888.6162975000007</c:v>
                </c:pt>
                <c:pt idx="3">
                  <c:v>9075.2012660000019</c:v>
                </c:pt>
                <c:pt idx="4">
                  <c:v>12344.712834499998</c:v>
                </c:pt>
                <c:pt idx="5">
                  <c:v>14310.276320249999</c:v>
                </c:pt>
                <c:pt idx="6">
                  <c:v>13562.270864749999</c:v>
                </c:pt>
                <c:pt idx="7">
                  <c:v>12191.89372125</c:v>
                </c:pt>
                <c:pt idx="8">
                  <c:v>14323.94781</c:v>
                </c:pt>
                <c:pt idx="9">
                  <c:v>9625.6356357500008</c:v>
                </c:pt>
                <c:pt idx="10">
                  <c:v>12607.516215999998</c:v>
                </c:pt>
                <c:pt idx="11">
                  <c:v>14464.578571</c:v>
                </c:pt>
              </c:numCache>
            </c:numRef>
          </c:val>
          <c:smooth val="0"/>
          <c:extLst>
            <c:ext xmlns:c16="http://schemas.microsoft.com/office/drawing/2014/chart" uri="{C3380CC4-5D6E-409C-BE32-E72D297353CC}">
              <c16:uniqueId val="{00000002-C74F-428E-8E7A-B453E7BC672C}"/>
            </c:ext>
          </c:extLst>
        </c:ser>
        <c:dLbls>
          <c:showLegendKey val="0"/>
          <c:showVal val="0"/>
          <c:showCatName val="0"/>
          <c:showSerName val="0"/>
          <c:showPercent val="0"/>
          <c:showBubbleSize val="0"/>
        </c:dLbls>
        <c:marker val="1"/>
        <c:smooth val="0"/>
        <c:axId val="567675968"/>
        <c:axId val="567675576"/>
      </c:lineChart>
      <c:dateAx>
        <c:axId val="567674792"/>
        <c:scaling>
          <c:orientation val="minMax"/>
        </c:scaling>
        <c:delete val="0"/>
        <c:axPos val="b"/>
        <c:numFmt formatCode="[$-409]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567675184"/>
        <c:crosses val="autoZero"/>
        <c:auto val="1"/>
        <c:lblOffset val="100"/>
        <c:baseTimeUnit val="months"/>
      </c:dateAx>
      <c:valAx>
        <c:axId val="567675184"/>
        <c:scaling>
          <c:orientation val="minMax"/>
        </c:scaling>
        <c:delete val="0"/>
        <c:axPos val="l"/>
        <c:numFmt formatCode="0\,00\,000;\-0\,00\,000;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567674792"/>
        <c:crosses val="autoZero"/>
        <c:crossBetween val="between"/>
      </c:valAx>
      <c:valAx>
        <c:axId val="567675576"/>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567675968"/>
        <c:crosses val="max"/>
        <c:crossBetween val="between"/>
      </c:valAx>
      <c:dateAx>
        <c:axId val="567675968"/>
        <c:scaling>
          <c:orientation val="minMax"/>
        </c:scaling>
        <c:delete val="1"/>
        <c:axPos val="b"/>
        <c:numFmt formatCode="[$-409]mmm\-yy" sourceLinked="1"/>
        <c:majorTickMark val="out"/>
        <c:minorTickMark val="none"/>
        <c:tickLblPos val="nextTo"/>
        <c:crossAx val="567675576"/>
        <c:crosses val="autoZero"/>
        <c:auto val="1"/>
        <c:lblOffset val="100"/>
        <c:baseTimeUnit val="days"/>
      </c:date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latin typeface="Palatino Linotype" panose="02040502050505030304" pitchFamily="18" charset="0"/>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'F7'!$B$2</c:f>
              <c:strCache>
                <c:ptCount val="1"/>
                <c:pt idx="0">
                  <c:v>BSE</c:v>
                </c:pt>
              </c:strCache>
            </c:strRef>
          </c:tx>
          <c:spPr>
            <a:ln w="28575" cap="rnd">
              <a:solidFill>
                <a:schemeClr val="accent1"/>
              </a:solidFill>
              <a:round/>
            </a:ln>
            <a:effectLst/>
          </c:spPr>
          <c:marker>
            <c:symbol val="none"/>
          </c:marker>
          <c:cat>
            <c:numRef>
              <c:f>'F7'!$A$3:$A$14</c:f>
              <c:numCache>
                <c:formatCode>[$-409]mmm\-yy</c:formatCode>
                <c:ptCount val="12"/>
                <c:pt idx="0">
                  <c:v>44022</c:v>
                </c:pt>
                <c:pt idx="1">
                  <c:v>44053</c:v>
                </c:pt>
                <c:pt idx="2">
                  <c:v>44084</c:v>
                </c:pt>
                <c:pt idx="3">
                  <c:v>44114</c:v>
                </c:pt>
                <c:pt idx="4">
                  <c:v>44145</c:v>
                </c:pt>
                <c:pt idx="5">
                  <c:v>44175</c:v>
                </c:pt>
                <c:pt idx="6">
                  <c:v>44206</c:v>
                </c:pt>
                <c:pt idx="7">
                  <c:v>44237</c:v>
                </c:pt>
                <c:pt idx="8">
                  <c:v>44265</c:v>
                </c:pt>
                <c:pt idx="9">
                  <c:v>44296</c:v>
                </c:pt>
                <c:pt idx="10">
                  <c:v>44317</c:v>
                </c:pt>
                <c:pt idx="11">
                  <c:v>44348</c:v>
                </c:pt>
              </c:numCache>
            </c:numRef>
          </c:cat>
          <c:val>
            <c:numRef>
              <c:f>'F7'!$B$3:$B$14</c:f>
              <c:numCache>
                <c:formatCode>#,##0;\-#,##0;0</c:formatCode>
                <c:ptCount val="12"/>
                <c:pt idx="0">
                  <c:v>4082.3089</c:v>
                </c:pt>
                <c:pt idx="1">
                  <c:v>1339.4258</c:v>
                </c:pt>
                <c:pt idx="2">
                  <c:v>618.83699999999999</c:v>
                </c:pt>
                <c:pt idx="3">
                  <c:v>1949.4366000000005</c:v>
                </c:pt>
                <c:pt idx="4">
                  <c:v>3284.3459999999995</c:v>
                </c:pt>
                <c:pt idx="5">
                  <c:v>1087.3935000000001</c:v>
                </c:pt>
                <c:pt idx="6">
                  <c:v>1100.9360999999999</c:v>
                </c:pt>
                <c:pt idx="7">
                  <c:v>5520.3626999999997</c:v>
                </c:pt>
                <c:pt idx="8">
                  <c:v>14649.4748</c:v>
                </c:pt>
                <c:pt idx="9">
                  <c:v>155.46360000000001</c:v>
                </c:pt>
                <c:pt idx="10">
                  <c:v>2276.2072000000003</c:v>
                </c:pt>
                <c:pt idx="11">
                  <c:v>3124.1062999999999</c:v>
                </c:pt>
              </c:numCache>
            </c:numRef>
          </c:val>
          <c:smooth val="0"/>
          <c:extLst>
            <c:ext xmlns:c16="http://schemas.microsoft.com/office/drawing/2014/chart" uri="{C3380CC4-5D6E-409C-BE32-E72D297353CC}">
              <c16:uniqueId val="{00000000-3423-479C-BC26-156F907DA5A4}"/>
            </c:ext>
          </c:extLst>
        </c:ser>
        <c:ser>
          <c:idx val="1"/>
          <c:order val="1"/>
          <c:tx>
            <c:strRef>
              <c:f>'F7'!$C$2</c:f>
              <c:strCache>
                <c:ptCount val="1"/>
                <c:pt idx="0">
                  <c:v>NSE</c:v>
                </c:pt>
              </c:strCache>
            </c:strRef>
          </c:tx>
          <c:spPr>
            <a:ln w="28575" cap="rnd">
              <a:solidFill>
                <a:schemeClr val="accent2"/>
              </a:solidFill>
              <a:round/>
            </a:ln>
            <a:effectLst/>
          </c:spPr>
          <c:marker>
            <c:symbol val="none"/>
          </c:marker>
          <c:cat>
            <c:numRef>
              <c:f>'F7'!$A$3:$A$14</c:f>
              <c:numCache>
                <c:formatCode>[$-409]mmm\-yy</c:formatCode>
                <c:ptCount val="12"/>
                <c:pt idx="0">
                  <c:v>44022</c:v>
                </c:pt>
                <c:pt idx="1">
                  <c:v>44053</c:v>
                </c:pt>
                <c:pt idx="2">
                  <c:v>44084</c:v>
                </c:pt>
                <c:pt idx="3">
                  <c:v>44114</c:v>
                </c:pt>
                <c:pt idx="4">
                  <c:v>44145</c:v>
                </c:pt>
                <c:pt idx="5">
                  <c:v>44175</c:v>
                </c:pt>
                <c:pt idx="6">
                  <c:v>44206</c:v>
                </c:pt>
                <c:pt idx="7">
                  <c:v>44237</c:v>
                </c:pt>
                <c:pt idx="8">
                  <c:v>44265</c:v>
                </c:pt>
                <c:pt idx="9">
                  <c:v>44296</c:v>
                </c:pt>
                <c:pt idx="10">
                  <c:v>44317</c:v>
                </c:pt>
                <c:pt idx="11">
                  <c:v>44348</c:v>
                </c:pt>
              </c:numCache>
            </c:numRef>
          </c:cat>
          <c:val>
            <c:numRef>
              <c:f>'F7'!$C$3:$C$14</c:f>
              <c:numCache>
                <c:formatCode>#,##0;\-#,##0;0</c:formatCode>
                <c:ptCount val="12"/>
                <c:pt idx="0">
                  <c:v>11477.779758999999</c:v>
                </c:pt>
                <c:pt idx="1">
                  <c:v>8836.0223354999998</c:v>
                </c:pt>
                <c:pt idx="2">
                  <c:v>7968.2005550000003</c:v>
                </c:pt>
                <c:pt idx="3">
                  <c:v>5969.361613</c:v>
                </c:pt>
                <c:pt idx="4">
                  <c:v>3735.2176584999997</c:v>
                </c:pt>
                <c:pt idx="5">
                  <c:v>5464.1321635000004</c:v>
                </c:pt>
                <c:pt idx="6">
                  <c:v>4093.5442204999999</c:v>
                </c:pt>
                <c:pt idx="7">
                  <c:v>6734.7814850000004</c:v>
                </c:pt>
                <c:pt idx="8">
                  <c:v>4389.8273959999997</c:v>
                </c:pt>
                <c:pt idx="9">
                  <c:v>2364.85</c:v>
                </c:pt>
                <c:pt idx="10">
                  <c:v>2810.9</c:v>
                </c:pt>
                <c:pt idx="11">
                  <c:v>1965.78</c:v>
                </c:pt>
              </c:numCache>
            </c:numRef>
          </c:val>
          <c:smooth val="0"/>
          <c:extLst>
            <c:ext xmlns:c16="http://schemas.microsoft.com/office/drawing/2014/chart" uri="{C3380CC4-5D6E-409C-BE32-E72D297353CC}">
              <c16:uniqueId val="{00000001-3423-479C-BC26-156F907DA5A4}"/>
            </c:ext>
          </c:extLst>
        </c:ser>
        <c:dLbls>
          <c:showLegendKey val="0"/>
          <c:showVal val="0"/>
          <c:showCatName val="0"/>
          <c:showSerName val="0"/>
          <c:showPercent val="0"/>
          <c:showBubbleSize val="0"/>
        </c:dLbls>
        <c:smooth val="0"/>
        <c:axId val="567673616"/>
        <c:axId val="880116968"/>
      </c:lineChart>
      <c:dateAx>
        <c:axId val="567673616"/>
        <c:scaling>
          <c:orientation val="minMax"/>
        </c:scaling>
        <c:delete val="0"/>
        <c:axPos val="b"/>
        <c:numFmt formatCode="[$-409]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880116968"/>
        <c:crosses val="autoZero"/>
        <c:auto val="1"/>
        <c:lblOffset val="100"/>
        <c:baseTimeUnit val="months"/>
      </c:dateAx>
      <c:valAx>
        <c:axId val="880116968"/>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5676736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latin typeface="Palatino Linotype" panose="0204050205050503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Klassify>
  <SNO>3</SNO>
  <KDate>2021-03-03 12:56:47</KDate>
  <Classification>SEBI-INTERNAL</Classification>
  <HostName>MUM0111564</HostName>
  <Domain_User>SEBINT/1564</Domain_User>
  <IPAdd>10.88.101.238</IPAdd>
  <FilePath>C:\Users\1564\AppData\Roaming\Klassify\47103\Bulletin-February 2021.docx</FilePath>
  <KID>7427EA48EFCA637066619672483538</KID>
</Klassify>
</file>

<file path=customXml/item10.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Klassify>
  <SNO>2</SNO>
  <KDate>2019-10-17 16:00:03</KDate>
  <Classification>SEBI-PUBLIC</Classification>
  <HostName>MUM0111515A</HostName>
  <Domain_User>SEBINT/1515</Domain_User>
  <IPAdd>10.21.53.15</IPAdd>
  <FilePath>E:\C Drive Data 19.12.2017\DEPA 2019\10. October 2019\SEBI Bulletin October 2019 Issue.docx</FilePath>
  <KID>7427EA48EFCA637066619672483538</KID>
  <UniqueName/>
  <Suggested/>
  <Justification/>
</Klassify>
</file>

<file path=customXml/item3.xml>
</file>

<file path=customXml/item4.xml><?xml version="1.0" encoding="utf-8"?>
<Klassify>
  <SNO>1</SNO>
  <KDate>2019-10-14 14:59:27</KDate>
  <Classification>SEBI-CONFIDENTIAL</Classification>
  <HostName>MUM0111832</HostName>
  <Domain_User>SEBINT/1832</Domain_User>
  <IPAdd>10.21.77.31</IPAdd>
  <FilePath>C:\Users\1832\Documents\Work_HO_DEPA\2019-20\Bulletin\October 2019\SEBI Bulletin October 2019 Issue.docx</FilePath>
  <KID>7427EA48EFCA637066619672483538</KID>
  <UniqueName/>
  <Suggested/>
  <Justification/>
</Klassify>
</file>

<file path=customXml/item5.xml>
</file>

<file path=customXml/item6.xml><?xml version="1.0" encoding="utf-8"?>
<Klassify>
  <SNO>4</SNO>
  <KDate>2021-03-04 12:07:01</KDate>
  <Classification>SEBI-INTERNAL</Classification>
  <HostName>MUM0111649</HostName>
  <Domain_User>SEBINT/1649</Domain_User>
  <IPAdd>10.88.99.116</IPAdd>
  <FilePath>C:\Users\1649\AppData\Roaming\Klassify\83779\Bulletin-February 2021.docx</FilePath>
  <KID>7427EA48EFCA637066619672483538</KID>
</Klassify>
</file>

<file path=customXml/item7.xml><?xml version="1.0" encoding="utf-8"?>
<Klassify>
  <SNO>6</SNO>
  <KDate>2021-03-04 13:03:23</KDate>
  <Classification>SEBI-PUBLIC</Classification>
  <HostName>MUM0111649</HostName>
  <Domain_User>SEBINT/1649</Domain_User>
  <IPAdd>10.88.99.116</IPAdd>
  <FilePath>C:\Users\1649\Desktop\Bulletin Feb 2021\Bulletin Files\Bulletin-February 2021 Revised.docx</FilePath>
  <KID>7427EA48EFCA637066619672483538</KID>
  <UniqueName/>
  <Suggested/>
  <Justification/>
</Klassify>
</file>

<file path=customXml/item8.xml><?xml version="1.0" encoding="utf-8"?>
<Klassify>
  <SNO>5</SNO>
  <KDate>2021-03-04 12:15:09</KDate>
  <Classification>SEBI-INTERNAL</Classification>
  <HostName>MUM0111832</HostName>
  <Domain_User>SEBINT/1832</Domain_User>
  <IPAdd>10.88.99.209</IPAdd>
  <FilePath>C:\Users\1832\AppData\Roaming\Klassify\57909\Bulletin-February 2021.docx</FilePath>
  <KID>7427EA48EFCA637066619672483538</KID>
</Klassify>
</file>

<file path=customXml/item9.xml>
</file>

<file path=customXml/itemProps1.xml><?xml version="1.0" encoding="utf-8"?>
<ds:datastoreItem xmlns:ds="http://schemas.openxmlformats.org/officeDocument/2006/customXml" ds:itemID="{D7543C77-5EBC-46F2-AC21-5D702358D3EF}">
  <ds:schemaRefs/>
</ds:datastoreItem>
</file>

<file path=customXml/itemProps10.xml><?xml version="1.0" encoding="utf-8"?>
<ds:datastoreItem xmlns:ds="http://schemas.openxmlformats.org/officeDocument/2006/customXml" ds:itemID="{E4AEE62F-3986-4F6D-AE39-A0CA740DAACA}">
  <ds:schemaRefs>
    <ds:schemaRef ds:uri="http://schemas.openxmlformats.org/officeDocument/2006/bibliography"/>
  </ds:schemaRefs>
</ds:datastoreItem>
</file>

<file path=customXml/itemProps2.xml><?xml version="1.0" encoding="utf-8"?>
<ds:datastoreItem xmlns:ds="http://schemas.openxmlformats.org/officeDocument/2006/customXml" ds:itemID="{982F008C-5608-4977-B1FB-BF780A09BDC2}">
  <ds:schemaRefs/>
</ds:datastoreItem>
</file>

<file path=customXml/itemProps3.xml><?xml version="1.0" encoding="utf-8"?>
<ds:datastoreItem xmlns:ds="http://schemas.openxmlformats.org/officeDocument/2006/customXml" ds:itemID="{8A5DE7B4-0207-485C-AD2D-76752FDBC33F}"/>
</file>

<file path=customXml/itemProps4.xml><?xml version="1.0" encoding="utf-8"?>
<ds:datastoreItem xmlns:ds="http://schemas.openxmlformats.org/officeDocument/2006/customXml" ds:itemID="{AC874CF5-52D4-4685-80EC-6F1B86646A89}">
  <ds:schemaRefs/>
</ds:datastoreItem>
</file>

<file path=customXml/itemProps5.xml><?xml version="1.0" encoding="utf-8"?>
<ds:datastoreItem xmlns:ds="http://schemas.openxmlformats.org/officeDocument/2006/customXml" ds:itemID="{F1A90E88-F8CE-47CC-B1F2-2802B9D4F2FE}"/>
</file>

<file path=customXml/itemProps6.xml><?xml version="1.0" encoding="utf-8"?>
<ds:datastoreItem xmlns:ds="http://schemas.openxmlformats.org/officeDocument/2006/customXml" ds:itemID="{D7543C77-5EBC-46F2-AC21-5D702358D3EF}">
  <ds:schemaRefs/>
</ds:datastoreItem>
</file>

<file path=customXml/itemProps7.xml><?xml version="1.0" encoding="utf-8"?>
<ds:datastoreItem xmlns:ds="http://schemas.openxmlformats.org/officeDocument/2006/customXml" ds:itemID="{2C38164C-8094-471D-AC2C-77D018C8E0F2}">
  <ds:schemaRefs/>
</ds:datastoreItem>
</file>

<file path=customXml/itemProps8.xml><?xml version="1.0" encoding="utf-8"?>
<ds:datastoreItem xmlns:ds="http://schemas.openxmlformats.org/officeDocument/2006/customXml" ds:itemID="{D7543C77-5EBC-46F2-AC21-5D702358D3EF}">
  <ds:schemaRefs/>
</ds:datastoreItem>
</file>

<file path=customXml/itemProps9.xml><?xml version="1.0" encoding="utf-8"?>
<ds:datastoreItem xmlns:ds="http://schemas.openxmlformats.org/officeDocument/2006/customXml" ds:itemID="{FFFCDC47-2152-406C-A3E3-98A02192763B}"/>
</file>

<file path=docProps/app.xml><?xml version="1.0" encoding="utf-8"?>
<Properties xmlns="http://schemas.openxmlformats.org/officeDocument/2006/extended-properties" xmlns:vt="http://schemas.openxmlformats.org/officeDocument/2006/docPropsVTypes">
  <Template>Normal.dotm</Template>
  <TotalTime>0</TotalTime>
  <Pages>59</Pages>
  <Words>13735</Words>
  <Characters>78294</Characters>
  <Application>Microsoft Office Word</Application>
  <DocSecurity>0</DocSecurity>
  <Lines>652</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Tathagata Biswas</dc:creator>
  <cp:keywords/>
  <dc:description/>
  <cp:lastModifiedBy>A V SUBBA RAO</cp:lastModifiedBy>
  <cp:revision>2</cp:revision>
  <cp:lastPrinted>2021-08-30T04:31:00Z</cp:lastPrinted>
  <dcterms:created xsi:type="dcterms:W3CDTF">2021-08-30T07:14:00Z</dcterms:created>
  <dcterms:modified xsi:type="dcterms:W3CDTF">2021-08-30T07:14:00Z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ules">
    <vt:lpwstr/>
  </property>
  <property fmtid="{D5CDD505-2E9C-101B-9397-08002B2CF9AE}" pid="3" name="Classification">
    <vt:lpwstr>SEBI-PUBLIC</vt:lpwstr>
  </property>
  <property fmtid="{D5CDD505-2E9C-101B-9397-08002B2CF9AE}" pid="4" name="KID">
    <vt:lpwstr>7427EA48EFCA637066619672483538</vt:lpwstr>
  </property>
</Properties>
</file>